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3.0 -->
  <w:body>
    <w:p>
      <w:pPr>
        <w:pStyle w:val="centeredstyle"/>
      </w:pPr>
      <w:r>
        <w:rPr>
          <w:b/>
          <w:bCs/>
        </w:rPr>
        <w:t>LEGAL ADVISORY AND DISCLAIMER</w:t>
      </w:r>
    </w:p>
    <w:p>
      <w:pPr>
        <w:pStyle w:val="disclaimerstyle"/>
        <w:numPr>
          <w:ilvl w:val="0"/>
          <w:numId w:val="11"/>
        </w:numPr>
      </w:pPr>
      <w:r>
        <w:rPr>
          <w:b/>
          <w:bCs/>
        </w:rPr>
        <w:t>Preliminary Draft</w:t>
      </w:r>
      <w:r>
        <w:t>: This legal brief is a research and drafting tool, not a final work product. It is not ready for filing and must not be submitted to any court in its current form.</w:t>
      </w:r>
    </w:p>
    <w:p>
      <w:pPr>
        <w:pStyle w:val="disclaimerstyle"/>
        <w:numPr>
          <w:ilvl w:val="0"/>
          <w:numId w:val="9"/>
        </w:numPr>
      </w:pPr>
      <w:r>
        <w:rPr>
          <w:b/>
          <w:bCs/>
        </w:rPr>
        <w:t>Duty to Review</w:t>
      </w:r>
      <w:r>
        <w:t>: You must independently verify all factual allegations and legal theories. It is your responsibility to supplement and revise this legal brief to ensure accuracy and viability.</w:t>
      </w:r>
    </w:p>
    <w:p>
      <w:pPr>
        <w:pStyle w:val="disclaimerstyle"/>
        <w:numPr>
          <w:ilvl w:val="0"/>
          <w:numId w:val="9"/>
        </w:numPr>
      </w:pPr>
      <w:r>
        <w:rPr>
          <w:b/>
          <w:bCs/>
        </w:rPr>
        <w:t>Local Rules</w:t>
      </w:r>
      <w:r>
        <w:t>: You are responsible for ensuring compliance with all local rules, standing orders, and venue-specific formatting (e.g., margins, line numbering, and signature blocks).</w:t>
      </w:r>
    </w:p>
    <w:p>
      <w:pPr>
        <w:pStyle w:val="disclaimerstyle"/>
        <w:numPr>
          <w:ilvl w:val="0"/>
          <w:numId w:val="9"/>
        </w:numPr>
      </w:pPr>
      <w:r>
        <w:rPr>
          <w:b/>
          <w:bCs/>
        </w:rPr>
        <w:t>Citations</w:t>
      </w:r>
      <w:r>
        <w:t>: All legal citations must be verified for accuracy, currency, and Bluebook compliance. Formatting signals and cross-references are not yet finalized.</w:t>
      </w:r>
    </w:p>
    <w:p>
      <w:pPr>
        <w:pStyle w:val="disclaimerstyle"/>
        <w:numPr>
          <w:ilvl w:val="0"/>
          <w:numId w:val="9"/>
        </w:numPr>
      </w:pPr>
      <w:r>
        <w:rPr>
          <w:b/>
          <w:bCs/>
        </w:rPr>
        <w:t>Professional Responsibility</w:t>
      </w:r>
      <w:r>
        <w:t>: The signing attorney bears sole responsibility for the legal sufficiency and ethical compliance of the final filing.</w:t>
      </w:r>
    </w:p>
    <w:p>
      <w:r>
        <w:br w:type="page"/>
      </w:r>
    </w:p>
    <w:tbl>
      <w:tblPr>
        <w:tblW w:w="5000" w:type="pct"/>
        <w:jc w:val="left"/>
        <w:tblInd w:w="0" w:type="dxa"/>
        <w:tblLayout w:type="fixed"/>
        <w:tblCellMar>
          <w:top w:w="0" w:type="dxa"/>
          <w:left w:w="108" w:type="dxa"/>
          <w:bottom w:w="0" w:type="dxa"/>
          <w:right w:w="108" w:type="dxa"/>
        </w:tblCellMar>
      </w:tblPr>
      <w:tblGrid>
        <w:gridCol w:w="9360"/>
      </w:tblGrid>
      <w:tr>
        <w:tblPrEx>
          <w:tblW w:w="5000" w:type="pct"/>
          <w:tblInd w:w="0" w:type="dxa"/>
          <w:tblLayout w:type="fixed"/>
        </w:tblPrEx>
        <w:tc>
          <w:tcPr>
            <w:tcW w:w="9360" w:type="dxa"/>
          </w:tcPr>
          <w:p>
            <w:pPr>
              <w:pageBreakBefore/>
              <w:widowControl w:val="0"/>
              <w:spacing w:before="0" w:after="0" w:line="240" w:lineRule="auto"/>
              <w:ind w:left="0" w:firstLine="0"/>
            </w:pPr>
            <w:r>
              <w:t>[ATTORNEY NAME]</w:t>
            </w:r>
          </w:p>
          <w:p>
            <w:pPr>
              <w:widowControl w:val="0"/>
              <w:spacing w:before="0" w:after="0" w:line="240" w:lineRule="auto"/>
              <w:ind w:left="0" w:firstLine="0"/>
            </w:pPr>
            <w:r>
              <w:t>[FIRM_NAME]</w:t>
            </w:r>
          </w:p>
          <w:p>
            <w:pPr>
              <w:widowControl w:val="0"/>
              <w:spacing w:before="0" w:after="0" w:line="240" w:lineRule="auto"/>
              <w:ind w:left="0" w:firstLine="0"/>
            </w:pPr>
            <w:r>
              <w:t>[ADDRESS]</w:t>
            </w:r>
          </w:p>
          <w:p>
            <w:pPr>
              <w:widowControl w:val="0"/>
              <w:spacing w:before="0" w:after="0" w:line="240" w:lineRule="auto"/>
              <w:ind w:left="0" w:firstLine="0"/>
            </w:pPr>
            <w:r>
              <w:t>[PHONE]</w:t>
            </w:r>
          </w:p>
          <w:p>
            <w:pPr>
              <w:widowControl w:val="0"/>
              <w:spacing w:before="0" w:after="0" w:line="240" w:lineRule="auto"/>
              <w:ind w:left="0" w:firstLine="0"/>
            </w:pPr>
            <w:r>
              <w:t>[FAX]</w:t>
            </w:r>
          </w:p>
          <w:p>
            <w:pPr>
              <w:widowControl w:val="0"/>
              <w:spacing w:before="0" w:after="0" w:line="240" w:lineRule="auto"/>
              <w:ind w:left="0" w:firstLine="0"/>
            </w:pPr>
            <w:r>
              <w:t>Attorney for Defendant</w:t>
            </w:r>
          </w:p>
          <w:p>
            <w:pPr>
              <w:widowControl w:val="0"/>
              <w:spacing w:before="0" w:after="240" w:line="240" w:lineRule="auto"/>
              <w:ind w:left="0" w:firstLine="0"/>
            </w:pPr>
            <w:r>
              <w:t>DEFENDANT JANE SMITH</w:t>
            </w:r>
          </w:p>
        </w:tc>
      </w:tr>
    </w:tbl>
    <w:p>
      <w:pPr>
        <w:spacing w:before="240" w:after="240"/>
        <w:ind w:left="0" w:firstLine="720"/>
        <w:jc w:val="center"/>
      </w:pPr>
      <w:r>
        <w:rPr>
          <w:b/>
        </w:rPr>
        <w:t>UNITED STATES DISTRICT COURT [________] DISTRICT OF CALIFORNIA</w:t>
      </w: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Borders>
              <w:bottom w:val="single" w:sz="4" w:space="0" w:color="000000"/>
              <w:right w:val="single" w:sz="4" w:space="0" w:color="000000"/>
            </w:tcBorders>
          </w:tcPr>
          <w:p>
            <w:pPr>
              <w:widowControl w:val="0"/>
              <w:spacing w:before="240" w:after="0"/>
              <w:ind w:left="40" w:firstLine="0"/>
            </w:pPr>
            <w:r>
              <w:t>GLOBAL MEDIA, INC.,</w:t>
            </w:r>
          </w:p>
          <w:p>
            <w:pPr>
              <w:widowControl w:val="0"/>
              <w:spacing w:before="240" w:after="0"/>
              <w:ind w:left="720" w:firstLine="0"/>
            </w:pPr>
            <w:r>
              <w:t>Plaintiff,</w:t>
            </w:r>
          </w:p>
          <w:p>
            <w:pPr>
              <w:widowControl w:val="0"/>
              <w:spacing w:before="240" w:after="0"/>
              <w:ind w:left="40" w:firstLine="0"/>
            </w:pPr>
            <w:r>
              <w:t>v.</w:t>
            </w:r>
          </w:p>
          <w:p>
            <w:pPr>
              <w:widowControl w:val="0"/>
              <w:spacing w:before="240" w:after="0"/>
              <w:ind w:left="40" w:firstLine="0"/>
            </w:pPr>
            <w:r>
              <w:t>JANE SMITH,</w:t>
            </w:r>
          </w:p>
          <w:p>
            <w:pPr>
              <w:widowControl w:val="0"/>
              <w:spacing w:before="240" w:after="0"/>
              <w:ind w:left="720" w:firstLine="0"/>
            </w:pPr>
            <w:r>
              <w:t>Defendant.</w:t>
            </w:r>
          </w:p>
        </w:tc>
        <w:tc>
          <w:tcPr>
            <w:tcW w:w="4679" w:type="dxa"/>
            <w:tcBorders>
              <w:left w:val="single" w:sz="4" w:space="0" w:color="000000"/>
            </w:tcBorders>
            <w:tcMar>
              <w:left w:w="100" w:type="dxa"/>
            </w:tcMar>
          </w:tcPr>
          <w:p>
            <w:pPr>
              <w:widowControl w:val="0"/>
              <w:spacing w:before="240" w:after="0"/>
              <w:ind w:left="720" w:hanging="360"/>
            </w:pPr>
            <w:r>
              <w:t>Case No.: [CASE NO. __________]</w:t>
            </w:r>
          </w:p>
          <w:p>
            <w:pPr>
              <w:widowControl w:val="0"/>
              <w:spacing w:before="240" w:after="240" w:line="240" w:lineRule="auto"/>
              <w:ind w:left="360" w:firstLine="0"/>
            </w:pPr>
            <w:r>
              <w:rPr>
                <w:b/>
                <w:caps/>
              </w:rPr>
              <w:t>LEGAL BRIEF</w:t>
            </w:r>
          </w:p>
          <w:p>
            <w:pPr>
              <w:widowControl w:val="0"/>
              <w:spacing w:before="0" w:after="0" w:line="300" w:lineRule="auto"/>
              <w:ind w:left="360" w:firstLine="0"/>
            </w:pPr>
            <w:r>
              <w:t>Date: [DATE]</w:t>
            </w:r>
          </w:p>
          <w:p>
            <w:pPr>
              <w:widowControl w:val="0"/>
              <w:spacing w:before="0" w:after="0" w:line="300" w:lineRule="auto"/>
              <w:ind w:left="360" w:firstLine="0"/>
            </w:pPr>
            <w:r>
              <w:t>Time: [TIME]</w:t>
            </w:r>
          </w:p>
          <w:p>
            <w:pPr>
              <w:widowControl w:val="0"/>
              <w:spacing w:before="0" w:after="0" w:line="300" w:lineRule="auto"/>
              <w:ind w:left="360" w:firstLine="0"/>
            </w:pPr>
            <w:r>
              <w:t>Dept: [DEPT]</w:t>
            </w:r>
          </w:p>
          <w:p>
            <w:pPr>
              <w:widowControl w:val="0"/>
              <w:spacing w:before="0" w:after="0" w:line="300" w:lineRule="auto"/>
              <w:ind w:left="360" w:firstLine="0"/>
            </w:pPr>
            <w:r>
              <w:t>Judge: [JUDGE]</w:t>
            </w:r>
          </w:p>
          <w:p>
            <w:pPr>
              <w:widowControl w:val="0"/>
              <w:spacing w:before="0" w:after="0" w:line="300" w:lineRule="auto"/>
              <w:ind w:left="360" w:firstLine="0"/>
            </w:pPr>
            <w:r>
              <w:t>Reservation No.: [RESERVATION NO.]</w:t>
            </w:r>
          </w:p>
          <w:p>
            <w:pPr>
              <w:widowControl w:val="0"/>
              <w:spacing w:before="0" w:after="0" w:line="300" w:lineRule="auto"/>
              <w:ind w:left="360" w:firstLine="0"/>
            </w:pPr>
            <w:r>
              <w:t>Date Filed: [DATE FILED]</w:t>
            </w:r>
          </w:p>
        </w:tc>
      </w:tr>
    </w:tbl>
    <w:p>
      <w:pPr>
        <w:spacing w:before="240" w:after="240"/>
      </w:pPr>
    </w:p>
    <w:p/>
    <w:sdt>
      <w:sdtPr>
        <w:id w:val="1506268445"/>
        <w:docPartObj>
          <w:docPartGallery w:val="Table of Contents"/>
          <w:docPartUnique/>
        </w:docPartObj>
      </w:sdtPr>
      <w:sdtContent>
        <w:p>
          <w:pPr>
            <w:pStyle w:val="TOCHeading"/>
          </w:pPr>
          <w:r>
            <w:br w:type="page"/>
          </w:r>
          <w:r>
            <w:t>Table of Contents</w:t>
          </w:r>
        </w:p>
        <w:p>
          <w:pPr>
            <w:pStyle w:val="TOC1"/>
            <w:rPr>
              <w:rFonts w:asciiTheme="minorHAnsi" w:hAnsiTheme="minorHAnsi"/>
              <w:noProof/>
              <w:sz w:val="22"/>
            </w:rPr>
          </w:pPr>
          <w:r>
            <w:fldChar w:fldCharType="begin"/>
          </w:r>
          <w:r>
            <w:rPr>
              <w:rStyle w:val="IndexLink"/>
              <w:webHidden/>
            </w:rPr>
            <w:instrText xml:space="preserve"> TOC \z \o "1-3" \u \h</w:instrText>
          </w:r>
          <w:r>
            <w:rPr>
              <w:rStyle w:val="IndexLink"/>
              <w:webHidden/>
            </w:rPr>
            <w:fldChar w:fldCharType="separate"/>
          </w:r>
          <w:hyperlink w:anchor="_Toc256000000" w:history="1">
            <w:r>
              <w:rPr>
                <w:rStyle w:val="Hyperlink"/>
              </w:rPr>
              <w:t>Table of Authorities</w:t>
            </w:r>
            <w:r>
              <w:tab/>
            </w:r>
            <w:r>
              <w:fldChar w:fldCharType="begin"/>
            </w:r>
            <w:r>
              <w:instrText xml:space="preserve"> PAGEREF _Toc256000000 \h </w:instrText>
            </w:r>
            <w:r>
              <w:fldChar w:fldCharType="separate"/>
            </w:r>
            <w:r>
              <w:t>4</w:t>
            </w:r>
            <w:r>
              <w:fldChar w:fldCharType="end"/>
            </w:r>
          </w:hyperlink>
        </w:p>
        <w:p>
          <w:pPr>
            <w:pStyle w:val="TOC1"/>
            <w:rPr>
              <w:rFonts w:asciiTheme="minorHAnsi" w:hAnsiTheme="minorHAnsi"/>
              <w:noProof/>
              <w:sz w:val="22"/>
            </w:rPr>
          </w:pPr>
          <w:hyperlink w:anchor="_Toc256000001" w:history="1">
            <w:r>
              <w:rPr>
                <w:rStyle w:val="Hyperlink"/>
              </w:rPr>
              <w:t>Introduction</w:t>
            </w:r>
            <w:r>
              <w:tab/>
            </w:r>
            <w:r>
              <w:fldChar w:fldCharType="begin"/>
            </w:r>
            <w:r>
              <w:instrText xml:space="preserve"> PAGEREF _Toc256000001 \h </w:instrText>
            </w:r>
            <w:r>
              <w:fldChar w:fldCharType="separate"/>
            </w:r>
            <w:r>
              <w:t>5</w:t>
            </w:r>
            <w:r>
              <w:fldChar w:fldCharType="end"/>
            </w:r>
          </w:hyperlink>
        </w:p>
        <w:p>
          <w:pPr>
            <w:pStyle w:val="TOC1"/>
            <w:rPr>
              <w:rFonts w:asciiTheme="minorHAnsi" w:hAnsiTheme="minorHAnsi"/>
              <w:noProof/>
              <w:sz w:val="22"/>
            </w:rPr>
          </w:pPr>
          <w:hyperlink w:anchor="_Toc256000002" w:history="1">
            <w:r>
              <w:rPr>
                <w:rStyle w:val="Hyperlink"/>
              </w:rPr>
              <w:t>Statement of Jurisdiction</w:t>
            </w:r>
            <w:r>
              <w:tab/>
            </w:r>
            <w:r>
              <w:fldChar w:fldCharType="begin"/>
            </w:r>
            <w:r>
              <w:instrText xml:space="preserve"> PAGEREF _Toc256000002 \h </w:instrText>
            </w:r>
            <w:r>
              <w:fldChar w:fldCharType="separate"/>
            </w:r>
            <w:r>
              <w:t>7</w:t>
            </w:r>
            <w:r>
              <w:fldChar w:fldCharType="end"/>
            </w:r>
          </w:hyperlink>
        </w:p>
        <w:p>
          <w:pPr>
            <w:pStyle w:val="TOC1"/>
            <w:rPr>
              <w:rFonts w:asciiTheme="minorHAnsi" w:hAnsiTheme="minorHAnsi"/>
              <w:noProof/>
              <w:sz w:val="22"/>
            </w:rPr>
          </w:pPr>
          <w:hyperlink w:anchor="_Toc256000003" w:history="1">
            <w:r>
              <w:rPr>
                <w:rStyle w:val="Hyperlink"/>
              </w:rPr>
              <w:t>Statement of Issues</w:t>
            </w:r>
            <w:r>
              <w:tab/>
            </w:r>
            <w:r>
              <w:fldChar w:fldCharType="begin"/>
            </w:r>
            <w:r>
              <w:instrText xml:space="preserve"> PAGEREF _Toc256000003 \h </w:instrText>
            </w:r>
            <w:r>
              <w:fldChar w:fldCharType="separate"/>
            </w:r>
            <w:r>
              <w:t>9</w:t>
            </w:r>
            <w:r>
              <w:fldChar w:fldCharType="end"/>
            </w:r>
          </w:hyperlink>
        </w:p>
        <w:p>
          <w:pPr>
            <w:pStyle w:val="TOC1"/>
            <w:rPr>
              <w:rFonts w:asciiTheme="minorHAnsi" w:hAnsiTheme="minorHAnsi"/>
              <w:noProof/>
              <w:sz w:val="22"/>
            </w:rPr>
          </w:pPr>
          <w:hyperlink w:anchor="_Toc256000004" w:history="1">
            <w:r>
              <w:rPr>
                <w:rStyle w:val="Hyperlink"/>
              </w:rPr>
              <w:t>Statement of the Case</w:t>
            </w:r>
            <w:r>
              <w:tab/>
            </w:r>
            <w:r>
              <w:fldChar w:fldCharType="begin"/>
            </w:r>
            <w:r>
              <w:instrText xml:space="preserve"> PAGEREF _Toc256000004 \h </w:instrText>
            </w:r>
            <w:r>
              <w:fldChar w:fldCharType="separate"/>
            </w:r>
            <w:r>
              <w:t>10</w:t>
            </w:r>
            <w:r>
              <w:fldChar w:fldCharType="end"/>
            </w:r>
          </w:hyperlink>
        </w:p>
        <w:p>
          <w:pPr>
            <w:pStyle w:val="TOC1"/>
            <w:rPr>
              <w:rFonts w:asciiTheme="minorHAnsi" w:hAnsiTheme="minorHAnsi"/>
              <w:noProof/>
              <w:sz w:val="22"/>
            </w:rPr>
          </w:pPr>
          <w:hyperlink w:anchor="_Toc256000005" w:history="1">
            <w:r>
              <w:rPr>
                <w:rStyle w:val="Hyperlink"/>
              </w:rPr>
              <w:t>Statement of the Facts</w:t>
            </w:r>
            <w:r>
              <w:tab/>
            </w:r>
            <w:r>
              <w:fldChar w:fldCharType="begin"/>
            </w:r>
            <w:r>
              <w:instrText xml:space="preserve"> PAGEREF _Toc256000005 \h </w:instrText>
            </w:r>
            <w:r>
              <w:fldChar w:fldCharType="separate"/>
            </w:r>
            <w:r>
              <w:t>11</w:t>
            </w:r>
            <w:r>
              <w:fldChar w:fldCharType="end"/>
            </w:r>
          </w:hyperlink>
        </w:p>
        <w:p>
          <w:pPr>
            <w:pStyle w:val="TOC1"/>
            <w:rPr>
              <w:rFonts w:asciiTheme="minorHAnsi" w:hAnsiTheme="minorHAnsi"/>
              <w:noProof/>
              <w:sz w:val="22"/>
            </w:rPr>
          </w:pPr>
          <w:hyperlink w:anchor="_Toc256000006" w:history="1">
            <w:r>
              <w:rPr>
                <w:rStyle w:val="Hyperlink"/>
              </w:rPr>
              <w:t>Argument</w:t>
            </w:r>
            <w:r>
              <w:tab/>
            </w:r>
            <w:r>
              <w:fldChar w:fldCharType="begin"/>
            </w:r>
            <w:r>
              <w:instrText xml:space="preserve"> PAGEREF _Toc256000006 \h </w:instrText>
            </w:r>
            <w:r>
              <w:fldChar w:fldCharType="separate"/>
            </w:r>
            <w:r>
              <w:t>12</w:t>
            </w:r>
            <w:r>
              <w:fldChar w:fldCharType="end"/>
            </w:r>
          </w:hyperlink>
        </w:p>
        <w:p>
          <w:pPr>
            <w:pStyle w:val="TOC2"/>
            <w:rPr>
              <w:rFonts w:asciiTheme="minorHAnsi" w:hAnsiTheme="minorHAnsi"/>
              <w:noProof/>
              <w:sz w:val="22"/>
            </w:rPr>
          </w:pPr>
          <w:hyperlink w:anchor="_Toc256000007" w:history="1">
            <w:r>
              <w:rPr>
                <w:rStyle w:val="Hyperlink"/>
              </w:rPr>
              <w:t>I.</w:t>
            </w:r>
            <w:r>
              <w:rPr>
                <w:rFonts w:asciiTheme="minorHAnsi" w:hAnsiTheme="minorHAnsi"/>
                <w:noProof/>
                <w:sz w:val="22"/>
              </w:rPr>
              <w:tab/>
            </w:r>
            <w:r>
              <w:rPr>
                <w:rStyle w:val="Hyperlink"/>
              </w:rPr>
              <w:t>Fair use protects Ms. Smith’s verbatim quotation to deliver criticism of the Magazine Article</w:t>
            </w:r>
            <w:r>
              <w:tab/>
            </w:r>
            <w:r>
              <w:fldChar w:fldCharType="begin"/>
            </w:r>
            <w:r>
              <w:instrText xml:space="preserve"> PAGEREF _Toc256000007 \h </w:instrText>
            </w:r>
            <w:r>
              <w:fldChar w:fldCharType="separate"/>
            </w:r>
            <w:r>
              <w:t>12</w:t>
            </w:r>
            <w:r>
              <w:fldChar w:fldCharType="end"/>
            </w:r>
          </w:hyperlink>
        </w:p>
        <w:p>
          <w:pPr>
            <w:pStyle w:val="TOC2"/>
            <w:rPr>
              <w:rFonts w:asciiTheme="minorHAnsi" w:hAnsiTheme="minorHAnsi"/>
              <w:noProof/>
              <w:sz w:val="22"/>
            </w:rPr>
          </w:pPr>
          <w:hyperlink w:anchor="_Toc256000008" w:history="1">
            <w:r>
              <w:rPr>
                <w:rStyle w:val="Hyperlink"/>
              </w:rPr>
              <w:t>II.</w:t>
            </w:r>
            <w:r>
              <w:rPr>
                <w:rFonts w:asciiTheme="minorHAnsi" w:hAnsiTheme="minorHAnsi"/>
                <w:noProof/>
                <w:sz w:val="22"/>
              </w:rPr>
              <w:tab/>
            </w:r>
            <w:r>
              <w:rPr>
                <w:rStyle w:val="Hyperlink"/>
              </w:rPr>
              <w:t>Global Media cannot prove § 504(b) damages or profits tied to the Blog Post</w:t>
            </w:r>
            <w:r>
              <w:tab/>
            </w:r>
            <w:r>
              <w:fldChar w:fldCharType="begin"/>
            </w:r>
            <w:r>
              <w:instrText xml:space="preserve"> PAGEREF _Toc256000008 \h </w:instrText>
            </w:r>
            <w:r>
              <w:fldChar w:fldCharType="separate"/>
            </w:r>
            <w:r>
              <w:t>15</w:t>
            </w:r>
            <w:r>
              <w:fldChar w:fldCharType="end"/>
            </w:r>
          </w:hyperlink>
        </w:p>
        <w:p>
          <w:pPr>
            <w:pStyle w:val="TOC2"/>
            <w:rPr>
              <w:rFonts w:asciiTheme="minorHAnsi" w:hAnsiTheme="minorHAnsi"/>
              <w:noProof/>
              <w:sz w:val="22"/>
            </w:rPr>
          </w:pPr>
          <w:hyperlink w:anchor="_Toc256000009" w:history="1">
            <w:r>
              <w:rPr>
                <w:rStyle w:val="Hyperlink"/>
              </w:rPr>
              <w:t>III.</w:t>
            </w:r>
            <w:r>
              <w:rPr>
                <w:rFonts w:asciiTheme="minorHAnsi" w:hAnsiTheme="minorHAnsi"/>
                <w:noProof/>
                <w:sz w:val="22"/>
              </w:rPr>
              <w:tab/>
            </w:r>
            <w:r>
              <w:rPr>
                <w:rStyle w:val="Hyperlink"/>
              </w:rPr>
              <w:t>A free, non-advertising blog post with criticism is not a UCL business practice.</w:t>
            </w:r>
            <w:r>
              <w:tab/>
            </w:r>
            <w:r>
              <w:fldChar w:fldCharType="begin"/>
            </w:r>
            <w:r>
              <w:instrText xml:space="preserve"> PAGEREF _Toc256000009 \h </w:instrText>
            </w:r>
            <w:r>
              <w:fldChar w:fldCharType="separate"/>
            </w:r>
            <w:r>
              <w:t>19</w:t>
            </w:r>
            <w:r>
              <w:fldChar w:fldCharType="end"/>
            </w:r>
          </w:hyperlink>
        </w:p>
        <w:p>
          <w:pPr>
            <w:pStyle w:val="TOC2"/>
            <w:rPr>
              <w:rFonts w:asciiTheme="minorHAnsi" w:hAnsiTheme="minorHAnsi"/>
              <w:noProof/>
              <w:sz w:val="22"/>
            </w:rPr>
          </w:pPr>
          <w:hyperlink w:anchor="_Toc256000010" w:history="1">
            <w:r>
              <w:rPr>
                <w:rStyle w:val="Hyperlink"/>
              </w:rPr>
              <w:t>IV.</w:t>
            </w:r>
            <w:r>
              <w:rPr>
                <w:rFonts w:asciiTheme="minorHAnsi" w:hAnsiTheme="minorHAnsi"/>
                <w:noProof/>
                <w:sz w:val="22"/>
              </w:rPr>
              <w:tab/>
            </w:r>
            <w:r>
              <w:rPr>
                <w:rStyle w:val="Hyperlink"/>
              </w:rPr>
              <w:t>Global Media lacks UCL standing because it alleges no loss of money or property</w:t>
            </w:r>
            <w:r>
              <w:tab/>
            </w:r>
            <w:r>
              <w:fldChar w:fldCharType="begin"/>
            </w:r>
            <w:r>
              <w:instrText xml:space="preserve"> PAGEREF _Toc256000010 \h </w:instrText>
            </w:r>
            <w:r>
              <w:fldChar w:fldCharType="separate"/>
            </w:r>
            <w:r>
              <w:t>21</w:t>
            </w:r>
            <w:r>
              <w:fldChar w:fldCharType="end"/>
            </w:r>
          </w:hyperlink>
        </w:p>
        <w:p>
          <w:pPr>
            <w:pStyle w:val="TOC2"/>
            <w:rPr>
              <w:rFonts w:asciiTheme="minorHAnsi" w:hAnsiTheme="minorHAnsi"/>
              <w:noProof/>
              <w:sz w:val="22"/>
            </w:rPr>
          </w:pPr>
          <w:hyperlink w:anchor="_Toc256000011" w:history="1">
            <w:r>
              <w:rPr>
                <w:rStyle w:val="Hyperlink"/>
              </w:rPr>
              <w:t>V.</w:t>
            </w:r>
            <w:r>
              <w:rPr>
                <w:rFonts w:asciiTheme="minorHAnsi" w:hAnsiTheme="minorHAnsi"/>
                <w:noProof/>
                <w:sz w:val="22"/>
              </w:rPr>
              <w:tab/>
            </w:r>
            <w:r>
              <w:rPr>
                <w:rStyle w:val="Hyperlink"/>
              </w:rPr>
              <w:t>The Blog Post is protected quotation and opinion, not actionable libel under § 45</w:t>
            </w:r>
            <w:r>
              <w:tab/>
            </w:r>
            <w:r>
              <w:fldChar w:fldCharType="begin"/>
            </w:r>
            <w:r>
              <w:instrText xml:space="preserve"> PAGEREF _Toc256000011 \h </w:instrText>
            </w:r>
            <w:r>
              <w:fldChar w:fldCharType="separate"/>
            </w:r>
            <w:r>
              <w:t>24</w:t>
            </w:r>
            <w:r>
              <w:fldChar w:fldCharType="end"/>
            </w:r>
          </w:hyperlink>
        </w:p>
        <w:p>
          <w:pPr>
            <w:pStyle w:val="TOC2"/>
            <w:rPr>
              <w:rFonts w:asciiTheme="minorHAnsi" w:hAnsiTheme="minorHAnsi"/>
              <w:noProof/>
              <w:sz w:val="22"/>
            </w:rPr>
          </w:pPr>
          <w:hyperlink w:anchor="_Toc256000012" w:history="1">
            <w:r>
              <w:rPr>
                <w:rStyle w:val="Hyperlink"/>
              </w:rPr>
              <w:t>VI.</w:t>
            </w:r>
            <w:r>
              <w:rPr>
                <w:rFonts w:asciiTheme="minorHAnsi" w:hAnsiTheme="minorHAnsi"/>
                <w:noProof/>
                <w:sz w:val="22"/>
              </w:rPr>
              <w:tab/>
            </w:r>
            <w:r>
              <w:rPr>
                <w:rStyle w:val="Hyperlink"/>
              </w:rPr>
              <w:t>Any reputational harm is not libel on its face and requires special damages</w:t>
            </w:r>
            <w:r>
              <w:tab/>
            </w:r>
            <w:r>
              <w:fldChar w:fldCharType="begin"/>
            </w:r>
            <w:r>
              <w:instrText xml:space="preserve"> PAGEREF _Toc256000012 \h </w:instrText>
            </w:r>
            <w:r>
              <w:fldChar w:fldCharType="separate"/>
            </w:r>
            <w:r>
              <w:t>26</w:t>
            </w:r>
            <w:r>
              <w:fldChar w:fldCharType="end"/>
            </w:r>
          </w:hyperlink>
        </w:p>
        <w:p>
          <w:pPr>
            <w:pStyle w:val="TOC1"/>
            <w:rPr>
              <w:rFonts w:asciiTheme="minorHAnsi" w:hAnsiTheme="minorHAnsi"/>
              <w:noProof/>
              <w:sz w:val="22"/>
            </w:rPr>
          </w:pPr>
          <w:hyperlink w:anchor="_Toc256000013" w:history="1">
            <w:r>
              <w:rPr>
                <w:rStyle w:val="Hyperlink"/>
              </w:rPr>
              <w:t>Conclusion</w:t>
            </w:r>
            <w:r>
              <w:tab/>
            </w:r>
            <w:r>
              <w:fldChar w:fldCharType="begin"/>
            </w:r>
            <w:r>
              <w:instrText xml:space="preserve"> PAGEREF _Toc256000013 \h </w:instrText>
            </w:r>
            <w:r>
              <w:fldChar w:fldCharType="separate"/>
            </w:r>
            <w:r>
              <w:t>30</w:t>
            </w:r>
            <w:r>
              <w:fldChar w:fldCharType="end"/>
            </w:r>
          </w:hyperlink>
        </w:p>
        <w:p>
          <w:pPr>
            <w:pStyle w:val="TOC1"/>
            <w:rPr>
              <w:rFonts w:asciiTheme="minorHAnsi" w:hAnsiTheme="minorHAnsi"/>
              <w:noProof/>
              <w:sz w:val="22"/>
            </w:rPr>
          </w:pPr>
          <w:hyperlink w:anchor="_Toc256000014" w:history="1">
            <w:r>
              <w:rPr>
                <w:rStyle w:val="Hyperlink"/>
              </w:rPr>
              <w:t>Certificate of Compliance</w:t>
            </w:r>
            <w:r>
              <w:tab/>
            </w:r>
            <w:r>
              <w:fldChar w:fldCharType="begin"/>
            </w:r>
            <w:r>
              <w:instrText xml:space="preserve"> PAGEREF _Toc256000014 \h </w:instrText>
            </w:r>
            <w:r>
              <w:fldChar w:fldCharType="separate"/>
            </w:r>
            <w:r>
              <w:t>31</w:t>
            </w:r>
            <w:r>
              <w:fldChar w:fldCharType="end"/>
            </w:r>
          </w:hyperlink>
        </w:p>
        <w:p>
          <w:pPr>
            <w:pStyle w:val="TOC1"/>
            <w:rPr>
              <w:rFonts w:asciiTheme="minorHAnsi" w:hAnsiTheme="minorHAnsi"/>
              <w:noProof/>
              <w:sz w:val="22"/>
            </w:rPr>
          </w:pPr>
          <w:hyperlink w:anchor="_Toc256000015" w:history="1">
            <w:r>
              <w:rPr>
                <w:rStyle w:val="Hyperlink"/>
              </w:rPr>
              <w:t>Certificate of Service</w:t>
            </w:r>
            <w:r>
              <w:tab/>
            </w:r>
            <w:r>
              <w:fldChar w:fldCharType="begin"/>
            </w:r>
            <w:r>
              <w:instrText xml:space="preserve"> PAGEREF _Toc256000015 \h </w:instrText>
            </w:r>
            <w:r>
              <w:fldChar w:fldCharType="separate"/>
            </w:r>
            <w:r>
              <w:t>32</w:t>
            </w:r>
            <w:r>
              <w:fldChar w:fldCharType="end"/>
            </w:r>
          </w:hyperlink>
        </w:p>
        <w:p>
          <w:pPr>
            <w:pStyle w:val="TOC1"/>
            <w:tabs>
              <w:tab w:val="clear" w:pos="9350"/>
              <w:tab w:val="right" w:leader="dot" w:pos="9360"/>
            </w:tabs>
          </w:pPr>
          <w:r>
            <w:rPr>
              <w:rStyle w:val="IndexLink"/>
            </w:rPr>
            <w:fldChar w:fldCharType="end"/>
          </w:r>
        </w:p>
      </w:sdtContent>
    </w:sdt>
    <w:p>
      <w:r>
        <w:br w:type="page"/>
      </w:r>
    </w:p>
    <w:p>
      <w:pPr>
        <w:pStyle w:val="Heading1"/>
      </w:pPr>
      <w:bookmarkStart w:id="0" w:name="_Toc256000000"/>
      <w:r>
        <w:t>Table of Authorities</w:t>
      </w:r>
      <w:bookmarkEnd w:id="0"/>
    </w:p>
    <w:sdt>
      <w:sdtPr>
        <w:id w:val="1047553132"/>
        <w:docPartObj>
          <w:docPartGallery w:val="Table of Authorities"/>
          <w:docPartUnique/>
        </w:docPartObj>
      </w:sdtPr>
      <w:sdtContent>
        <w:p>
          <w:pPr>
            <w:pStyle w:val="TOAHeading"/>
            <w:tabs>
              <w:tab w:val="right" w:leader="dot" w:pos="9350"/>
            </w:tabs>
          </w:pPr>
          <w:r>
            <w:fldChar w:fldCharType="begin"/>
          </w:r>
          <w:r>
            <w:instrText>TOA \h \c "1" \f</w:instrText>
          </w:r>
          <w:r>
            <w:fldChar w:fldCharType="separate"/>
          </w:r>
          <w:r>
            <w:t>Cases</w:t>
          </w:r>
        </w:p>
        <w:p>
          <w:pPr>
            <w:pStyle w:val="TableofAuthorities"/>
          </w:pPr>
          <w:r>
            <w:t>Baker v. Los Angeles Herald Examiner,     42 Cal. 3d 254 (1986)</w:t>
          </w:r>
          <w:r>
            <w:tab/>
          </w:r>
          <w:r>
            <w:t>24, 25, 26</w:t>
          </w:r>
        </w:p>
        <w:p>
          <w:pPr>
            <w:pStyle w:val="TableofAuthorities"/>
          </w:pPr>
          <w:r>
            <w:t>Campbell v. Acuff-Rose Music, Inc.,     510 U.S. 569 (1994)</w:t>
          </w:r>
          <w:r>
            <w:tab/>
          </w:r>
          <w:r>
            <w:t>10, 12, 13, 14, 15</w:t>
          </w:r>
        </w:p>
        <w:p>
          <w:pPr>
            <w:pStyle w:val="TableofAuthorities"/>
          </w:pPr>
          <w:r>
            <w:t>Cel-Tech Communications, Inc. v. Los Angeles Cellular Telephone Co.,     20 Cal. 4th 163 (1999)</w:t>
          </w:r>
          <w:r>
            <w:tab/>
          </w:r>
          <w:r>
            <w:t>20, 21</w:t>
          </w:r>
        </w:p>
        <w:p>
          <w:pPr>
            <w:pStyle w:val="TableofAuthorities"/>
          </w:pPr>
          <w:r>
            <w:t>Gertz v. Robert Welch, Inc.,     418 U.S. 323 (1974)</w:t>
          </w:r>
          <w:r>
            <w:tab/>
          </w:r>
          <w:r>
            <w:t>16, 19, 28</w:t>
          </w:r>
        </w:p>
        <w:p>
          <w:pPr>
            <w:pStyle w:val="TableofAuthorities"/>
          </w:pPr>
          <w:r>
            <w:t>Harper &amp; Row, Publishers, Inc. v. Nation Enterprises, 85 L. Ed. 2d 588 (1985)</w:t>
          </w:r>
          <w:r>
            <w:tab/>
          </w:r>
          <w:r>
            <w:t>13, 14</w:t>
          </w:r>
        </w:p>
        <w:p>
          <w:pPr>
            <w:pStyle w:val="TableofAuthorities"/>
          </w:pPr>
          <w:r>
            <w:t>Kasky v. Nike, Inc.,     27 Cal. 4th 939 (2002)</w:t>
          </w:r>
          <w:r>
            <w:tab/>
          </w:r>
          <w:r>
            <w:t>20, 21</w:t>
          </w:r>
        </w:p>
        <w:p>
          <w:pPr>
            <w:pStyle w:val="TableofAuthorities"/>
          </w:pPr>
          <w:r>
            <w:t>Worldwide Church of God v. Philadelphia Church of God, Inc.,     227 F.3d 1110 (9th Cir. 2000)</w:t>
          </w:r>
          <w:r>
            <w:tab/>
          </w:r>
          <w:r>
            <w:t>14</w:t>
          </w:r>
        </w:p>
        <w:p>
          <w:r>
            <w:fldChar w:fldCharType="end"/>
          </w:r>
        </w:p>
        <w:p>
          <w:pPr>
            <w:pStyle w:val="TOAHeading"/>
            <w:tabs>
              <w:tab w:val="right" w:leader="dot" w:pos="9350"/>
            </w:tabs>
          </w:pPr>
          <w:r>
            <w:fldChar w:fldCharType="begin"/>
          </w:r>
          <w:r>
            <w:instrText>TOA \h \c "2" \f</w:instrText>
          </w:r>
          <w:r>
            <w:fldChar w:fldCharType="separate"/>
          </w:r>
          <w:r>
            <w:t>Statutes</w:t>
          </w:r>
        </w:p>
        <w:p>
          <w:pPr>
            <w:pStyle w:val="TableofAuthorities"/>
          </w:pPr>
          <w:r>
            <w:t>17 U.S.C. § 106 - Exclusive rights in copyrighted works</w:t>
          </w:r>
          <w:r>
            <w:tab/>
          </w:r>
          <w:r>
            <w:t>12, 13, 14, 15</w:t>
          </w:r>
        </w:p>
        <w:p>
          <w:pPr>
            <w:pStyle w:val="TableofAuthorities"/>
          </w:pPr>
          <w:r>
            <w:t>17 U.S.C. § 504 - Remedies for infringement: Damages and profits</w:t>
          </w:r>
          <w:r>
            <w:tab/>
          </w:r>
          <w:r>
            <w:t>15, 16, 17, 18, 19</w:t>
          </w:r>
        </w:p>
        <w:p>
          <w:pPr>
            <w:pStyle w:val="TableofAuthorities"/>
          </w:pPr>
          <w:r>
            <w:t>Cal. Bus. &amp; Prof. Code § 17200</w:t>
          </w:r>
          <w:r>
            <w:tab/>
          </w:r>
          <w:r>
            <w:t>19, 20, 21</w:t>
          </w:r>
        </w:p>
        <w:p>
          <w:pPr>
            <w:pStyle w:val="TableofAuthorities"/>
          </w:pPr>
          <w:r>
            <w:t>Cal. Bus. &amp; Prof. Code § 17203</w:t>
          </w:r>
          <w:r>
            <w:tab/>
          </w:r>
          <w:r>
            <w:t>20</w:t>
          </w:r>
        </w:p>
        <w:p>
          <w:pPr>
            <w:pStyle w:val="TableofAuthorities"/>
          </w:pPr>
          <w:r>
            <w:t>Cal. Bus. &amp; Prof. Code § 17204</w:t>
          </w:r>
          <w:r>
            <w:tab/>
          </w:r>
          <w:r>
            <w:t>21, 22, 23</w:t>
          </w:r>
        </w:p>
        <w:p>
          <w:pPr>
            <w:pStyle w:val="TableofAuthorities"/>
          </w:pPr>
          <w:r>
            <w:t>Cal. Civ. Code § 45</w:t>
          </w:r>
          <w:r>
            <w:tab/>
          </w:r>
          <w:r>
            <w:t>24, 25, 26, 28</w:t>
          </w:r>
        </w:p>
        <w:p>
          <w:pPr>
            <w:pStyle w:val="TableofAuthorities"/>
          </w:pPr>
          <w:r>
            <w:t>Cal. Civ. Code § 45a</w:t>
          </w:r>
          <w:r>
            <w:tab/>
          </w:r>
          <w:r>
            <w:t>26, 27, 28</w:t>
          </w:r>
        </w:p>
        <w:p>
          <w:r>
            <w:fldChar w:fldCharType="end"/>
          </w:r>
        </w:p>
      </w:sdtContent>
    </w:sdt>
    <w:p>
      <w:bookmarkStart w:id="1" w:name="table-of-authorities"/>
      <w:bookmarkEnd w:id="1"/>
      <w:r>
        <w:br w:type="page"/>
      </w:r>
    </w:p>
    <w:p>
      <w:pPr>
        <w:pStyle w:val="Heading1"/>
      </w:pPr>
      <w:bookmarkStart w:id="2" w:name="_Toc256000001"/>
      <w:r>
        <w:t>Introduction</w:t>
      </w:r>
      <w:bookmarkEnd w:id="2"/>
    </w:p>
    <w:p>
      <w:pPr>
        <w:pStyle w:val="FirstParagraph"/>
      </w:pPr>
      <w:r>
        <w:t xml:space="preserve">Defendant JANE SMITH (“Ms. Smith”) is a California resident who operates a personal online blog (the “Blog”) that has no advertisers and generates no advertising revenue. Plaintiff GLOBAL MEDIA (“Global Media”) is a California resident and the owner of a magazine that published the article at issue (the “Magazine Article”). Global Media sues Ms. Smith because she published a blog post about the Magazine Article (the “Blog Post”) that quoted portions Global Media characterizes as the “heart” of its reporting and then offered brief, “ruthless” criticism. See </w:t>
      </w:r>
      <w:r>
        <w:rPr>
          <w:i/>
          <w:iCs/>
        </w:rPr>
        <w:t>Campbell</w:t>
      </w:r>
      <w:r>
        <w:t xml:space="preserve"> v. </w:t>
      </w:r>
      <w:r>
        <w:rPr>
          <w:i/>
          <w:iCs/>
        </w:rPr>
        <w:t>Acuff-Rose Music, Inc.</w:t>
      </w:r>
      <w:r>
        <w:t>, 510 U.S. 569, 594 (1994).</w:t>
      </w:r>
    </w:p>
    <w:p>
      <w:pPr>
        <w:pStyle w:val="BodyText"/>
      </w:pPr>
      <w:r>
        <w:t>This case presents a straightforward question at the core of copyright and First Amendment values: whether a noncommercial, non-advertising blog post that quotes excerpts for the paradigmatic purpose of commentary and criticism is protected fair use under 17 U.S.C. § 107, even if the excerpts include the work’s “heart.” It also raises whether Global Media can recover damages or profits under 17 U.S.C. § 504(b) where the Blog has no advertising revenue and Global Media’s alleged business losses and Ms. Smith’s alleged benefit (increased voluntary contributions) are speculative and not plausibly tied to the challenged post.</w:t>
      </w:r>
    </w:p>
    <w:p>
      <w:pPr>
        <w:pStyle w:val="BodyText"/>
      </w:pPr>
      <w:r>
        <w:t>Global Media’s remaining state-law theories likewise fail at the threshold. Ms. Smith’s conduct is noncommercial expression, not a marketplace “business act or practice” actionable under California’s Unfair Competition Law, and Global Media lacks standing because it does not allege a concrete loss of money or property “as a result of” Ms. Smith’s post. See Cal. Bus. &amp; Prof. Code § 17204. And to the extent Global Media repackages its displeasure with criticism as libel, the Blog Post contains no false statement of fact; it presents Global Media’s own words and Ms. Smith’s evaluative commentary. See Cal. Civ. Code §§ 45, 45a.</w:t>
      </w:r>
    </w:p>
    <w:p>
      <w:pPr>
        <w:pStyle w:val="BodyText"/>
      </w:pPr>
      <w:r>
        <w:t>Ms. Smith’s theory of the case is simple: the Copyright Act does not permit a publisher to use infringement claims to suppress criticism, nor do California’s UCL and defamation laws convert harsh commentary into liability absent commercial conduct, falsity, and legally cognizable, non-speculative damages. The Court should reject Global Media’s effort to transform a free critique into a cause of action and grant relief in Ms. Smith’s favor.</w:t>
      </w:r>
    </w:p>
    <w:p>
      <w:bookmarkStart w:id="3" w:name="introduction"/>
      <w:bookmarkEnd w:id="3"/>
      <w:r>
        <w:br w:type="page"/>
      </w:r>
    </w:p>
    <w:p>
      <w:pPr>
        <w:pStyle w:val="Heading1"/>
      </w:pPr>
      <w:bookmarkStart w:id="4" w:name="_Toc256000002"/>
      <w:r>
        <w:t>Statement of Jurisdiction</w:t>
      </w:r>
      <w:bookmarkEnd w:id="4"/>
    </w:p>
    <w:p>
      <w:pPr>
        <w:pStyle w:val="FirstParagraph"/>
      </w:pPr>
      <w:r>
        <w:t>This Court has subject-matter jurisdiction because Global Media’s claims arise under the Copyright Act and seek relief for the unauthorized reproduction and display of protected expression, rights exclusively governed by federal copyright law. The Copyright Act confers exclusive rights on the copyright owner, including the rights to reproduce and publicly display the work, 17 U.S.C. § 106, and authorizes civil actions for infringement, 17 U.S.C. § 501; Congress has vested the federal district courts with original and exclusive jurisdiction over civil actions “arising under” the copyright laws, 28 U.S.C. § 1338(a).</w:t>
      </w:r>
    </w:p>
    <w:p>
      <w:pPr>
        <w:pStyle w:val="BodyText"/>
      </w:pPr>
      <w:r>
        <w:t xml:space="preserve">The pleaded controversy falls within the Copyright Act because it centers on Ms. Smith’s verbatim quotation of “the heart” of the Magazine Article in the Blog Post, with minimal additional content beyond the quoted material—conduct that, if unlicensed and not excused, constitutes copying of protected expression and is actionable as infringement. See 17 U.S.C. §§ 106, 501; </w:t>
      </w:r>
      <w:r>
        <w:rPr>
          <w:i/>
          <w:iCs/>
        </w:rPr>
        <w:t>Feist Publ’ns, Inc.</w:t>
      </w:r>
      <w:r>
        <w:t xml:space="preserve"> v. </w:t>
      </w:r>
      <w:r>
        <w:rPr>
          <w:i/>
          <w:iCs/>
        </w:rPr>
        <w:t>Rural Tel. Serv. Co.</w:t>
      </w:r>
      <w:r>
        <w:t>, 499 U.S. 340 (1991) (copyright protects original expression and infringement turns on unauthorized copying of protected elements).</w:t>
      </w:r>
    </w:p>
    <w:p>
      <w:pPr>
        <w:pStyle w:val="BodyText"/>
      </w:pPr>
      <w:r>
        <w:t xml:space="preserve">To the extent Global Media also pleads state-law theories (including unfair competition and defamation) predicated on the same publication of the Blog Post and the same alleged injury to Global Media’s publication and business, those claims form part of the same case-or-controversy because they derive from a common nucleus of operative fact and would ordinarily be tried together. See </w:t>
      </w:r>
      <w:r>
        <w:rPr>
          <w:i/>
          <w:iCs/>
        </w:rPr>
        <w:t>United Mine Workers of Am.</w:t>
      </w:r>
      <w:r>
        <w:t xml:space="preserve"> v. </w:t>
      </w:r>
      <w:r>
        <w:rPr>
          <w:i/>
          <w:iCs/>
        </w:rPr>
        <w:t>Gibbs</w:t>
      </w:r>
      <w:r>
        <w:t>, 383 U.S. 715 (1966). Further, unfair-competition theories joined with a substantial and related copyright claim may be heard in the same action. See 28 U.S.C. § 1338(b); Cal. Bus. &amp; Prof. Code §§ 17200, 17203, 17204; Cal. Civ. Code §§ 44, 45, 45a.</w:t>
      </w:r>
    </w:p>
    <w:p>
      <w:pPr>
        <w:pStyle w:val="BodyText"/>
      </w:pPr>
      <w:r>
        <w:t xml:space="preserve">This Court has personal jurisdiction over Ms. Smith because she is a California resident, rendering her subject to general jurisdiction in California consistent with due process. See </w:t>
      </w:r>
      <w:r>
        <w:rPr>
          <w:i/>
          <w:iCs/>
        </w:rPr>
        <w:t>Daimler AG</w:t>
      </w:r>
      <w:r>
        <w:t xml:space="preserve"> v. </w:t>
      </w:r>
      <w:r>
        <w:rPr>
          <w:i/>
          <w:iCs/>
        </w:rPr>
        <w:t>Bauman</w:t>
      </w:r>
      <w:r>
        <w:t xml:space="preserve">, 571 U.S. 117 (2014). California’s long-arm statute authorizes the exercise of jurisdiction to the full extent permitted by due process, Cal. Civ. Proc. Code § 410.10, and—independently—specific jurisdiction is also satisfied because the challenged publication was created and posted by Ms. Smith from California and allegedly caused injury to a California resident, a paradigm set of forum-related effects. See </w:t>
      </w:r>
      <w:r>
        <w:rPr>
          <w:i/>
          <w:iCs/>
        </w:rPr>
        <w:t>Calder</w:t>
      </w:r>
      <w:r>
        <w:t xml:space="preserve"> v. </w:t>
      </w:r>
      <w:r>
        <w:rPr>
          <w:i/>
          <w:iCs/>
        </w:rPr>
        <w:t>Jones</w:t>
      </w:r>
      <w:r>
        <w:t xml:space="preserve">, 465 U.S. 783 (1984); </w:t>
      </w:r>
      <w:r>
        <w:rPr>
          <w:i/>
          <w:iCs/>
        </w:rPr>
        <w:t>Vons Cos.</w:t>
      </w:r>
      <w:r>
        <w:t xml:space="preserve"> v. </w:t>
      </w:r>
      <w:r>
        <w:rPr>
          <w:i/>
          <w:iCs/>
        </w:rPr>
        <w:t>Seabest Foods, Inc.</w:t>
      </w:r>
      <w:r>
        <w:t>, 14 Cal. 4th 434 (1996).</w:t>
      </w:r>
    </w:p>
    <w:p>
      <w:pPr>
        <w:pStyle w:val="BodyText"/>
      </w:pPr>
      <w:r>
        <w:t xml:space="preserve">Venue in this District is proper for the copyright claim because a copyright action may be brought in any district in which the defendant “may be found,” 28 U.S.C. § 1400(a), and Ms. Smith, as a California resident who authored and published the challenged Blog Post from within California, is amenable to personal jurisdiction in California such that she may be “found” here for venue purposes. See </w:t>
      </w:r>
      <w:r>
        <w:rPr>
          <w:i/>
          <w:iCs/>
        </w:rPr>
        <w:t>Brayton Purcell LLP</w:t>
      </w:r>
      <w:r>
        <w:t xml:space="preserve"> v. </w:t>
      </w:r>
      <w:r>
        <w:rPr>
          <w:i/>
          <w:iCs/>
        </w:rPr>
        <w:t>Recordon &amp; Recordon</w:t>
      </w:r>
      <w:r>
        <w:t>, 606 F.3d 1124 (9th Cir. 2010) (for § 1400(a), a defendant may be found where it is subject to personal jurisdiction). This forum is also consonant with California’s venue principles for related state-law claims because the operative conduct and the alleged injury are centered in California and the defendant is a California resident. See Cal. Civ. Proc. Code § 395(a).</w:t>
      </w:r>
    </w:p>
    <w:p>
      <w:bookmarkStart w:id="5" w:name="statement-of-jurisdiction"/>
      <w:bookmarkEnd w:id="5"/>
      <w:r>
        <w:br w:type="page"/>
      </w:r>
    </w:p>
    <w:p>
      <w:pPr>
        <w:pStyle w:val="Heading1"/>
      </w:pPr>
      <w:bookmarkStart w:id="6" w:name="_Toc256000003"/>
      <w:r>
        <w:t>Statement of Issues</w:t>
      </w:r>
      <w:bookmarkEnd w:id="6"/>
    </w:p>
    <w:p>
      <w:pPr>
        <w:numPr>
          <w:ilvl w:val="0"/>
          <w:numId w:val="10"/>
        </w:numPr>
      </w:pPr>
      <w:r>
        <w:t>Whether Ms. Smith’s noncommercial, non-advertising blog post—used solely to comment on and criticize Global Media’s reporting—constitutes protected fair use under 17 U.S.C. § 107, notwithstanding that it quoted portions Global Media characterizes as the “heart” of its article.</w:t>
      </w:r>
    </w:p>
    <w:p>
      <w:pPr>
        <w:numPr>
          <w:ilvl w:val="0"/>
          <w:numId w:val="10"/>
        </w:numPr>
      </w:pPr>
      <w:r>
        <w:t>Whether Global Media can recover any actual damages or infringer’s profits under 17 U.S.C. § 504 where Ms. Smith’s blog had no advertising revenue, any alleged benefit is limited to speculative voluntary contributions, and Global Media’s asserted business loss is not plausibly or concretely attributable to the post.</w:t>
      </w:r>
    </w:p>
    <w:p>
      <w:pPr>
        <w:numPr>
          <w:ilvl w:val="0"/>
          <w:numId w:val="10"/>
        </w:numPr>
      </w:pPr>
      <w:r>
        <w:t>Whether the California Unfair Competition Law’s “unlawful, unfair, or fraudulent business act or practice” requirement is met where Ms. Smith published a free, non-advertising post on a personal blog that merely criticized Global Media and did not involve any commercial transaction or marketplace conduct by Ms. Smith.</w:t>
      </w:r>
    </w:p>
    <w:p>
      <w:pPr>
        <w:numPr>
          <w:ilvl w:val="0"/>
          <w:numId w:val="10"/>
        </w:numPr>
      </w:pPr>
      <w:r>
        <w:t>Whether Global Media lacks standing under Cal. Bus. &amp; Prof. Code § 17204 because it alleges, at most, reputational harm and unspecified lost business, but does not allege it “lost money or property” as a result of any payment, transaction, or economic exchange with Ms. Smith.</w:t>
      </w:r>
    </w:p>
    <w:p>
      <w:pPr>
        <w:numPr>
          <w:ilvl w:val="0"/>
          <w:numId w:val="10"/>
        </w:numPr>
      </w:pPr>
      <w:r>
        <w:t>Whether Ms. Smith’s post is nonactionable under Cal. Civ. Code § 45 because it contains no false, unprivileged statement of fact about Global Media, and instead expresses criticism and commentary based on disclosed excerpts from Global Media’s own publication.</w:t>
      </w:r>
    </w:p>
    <w:p>
      <w:pPr>
        <w:numPr>
          <w:ilvl w:val="0"/>
          <w:numId w:val="10"/>
        </w:numPr>
      </w:pPr>
      <w:r>
        <w:t>Whether, to the extent Global Media claims reputational injury from Ms. Smith’s brief criticism, the alleged libel is not libel on its face under Cal. Civ. Code § 45a, requiring proof of special damages that Global Media has not pleaded beyond conclusory assertions that the post “cost” it business.</w:t>
      </w:r>
    </w:p>
    <w:p>
      <w:bookmarkStart w:id="7" w:name="statement-of-issues"/>
      <w:bookmarkEnd w:id="7"/>
      <w:r>
        <w:br w:type="page"/>
      </w:r>
    </w:p>
    <w:p>
      <w:pPr>
        <w:pStyle w:val="Heading1"/>
      </w:pPr>
      <w:bookmarkStart w:id="8" w:name="_Toc256000004"/>
      <w:r>
        <w:t>Statement of the Case</w:t>
      </w:r>
      <w:bookmarkEnd w:id="8"/>
    </w:p>
    <w:p>
      <w:pPr>
        <w:pStyle w:val="FirstParagraph"/>
      </w:pPr>
      <w:r>
        <w:t xml:space="preserve">Ms. Smith is being sued based on a blog post that quoted the heart of a magazine article and included short, ruthless criticism. </w:t>
      </w:r>
      <w:r>
        <w:fldChar w:fldCharType="begin"/>
      </w:r>
      <w:r>
        <w:instrText>TA \l "Campbell v. Acuff-Rose Music, Inc.,     510 U.S. 569 (1994)" \s "Campbell v. Acuff-Rose Music, Inc., 510 U.S." \c 1</w:instrText>
      </w:r>
      <w:r>
        <w:fldChar w:fldCharType="separate"/>
      </w:r>
      <w:r>
        <w:fldChar w:fldCharType="end"/>
      </w:r>
      <w:r>
        <w:t xml:space="preserve"> The matter is presently before this Court on that claim.</w:t>
      </w:r>
    </w:p>
    <w:p>
      <w:bookmarkStart w:id="9" w:name="statement-of-the-case"/>
      <w:bookmarkEnd w:id="9"/>
      <w:r>
        <w:br w:type="page"/>
      </w:r>
    </w:p>
    <w:p>
      <w:pPr>
        <w:pStyle w:val="Heading1"/>
      </w:pPr>
      <w:bookmarkStart w:id="10" w:name="_Toc256000005"/>
      <w:r>
        <w:t>Statement of the Facts</w:t>
      </w:r>
      <w:bookmarkEnd w:id="10"/>
    </w:p>
    <w:p>
      <w:pPr>
        <w:pStyle w:val="FirstParagraph"/>
      </w:pPr>
      <w:r>
        <w:t>Ms. Smith is a California resident who operates an online blog (the “Blog”). The Blog does not have advertisers and is not supported by advertising revenue.</w:t>
      </w:r>
    </w:p>
    <w:p>
      <w:pPr>
        <w:pStyle w:val="BodyText"/>
      </w:pPr>
      <w:r>
        <w:t>Global Media is also a California resident and owns a magazine that published the article at issue (the “Magazine Article”).</w:t>
      </w:r>
    </w:p>
    <w:p>
      <w:pPr>
        <w:pStyle w:val="BodyText"/>
      </w:pPr>
      <w:r>
        <w:t>Ms. Smith published a post on the Blog (the “Blog Post”) addressing the Magazine Article. In the Blog Post, Ms. Smith quoted the heart of the Magazine Article.</w:t>
      </w:r>
    </w:p>
    <w:p>
      <w:pPr>
        <w:pStyle w:val="BodyText"/>
      </w:pPr>
      <w:r>
        <w:t>The Blog Post did not include much content beyond the quoted material. After quoting the Magazine Article, Ms. Smith provided her own criticism of the article.</w:t>
      </w:r>
    </w:p>
    <w:p>
      <w:pPr>
        <w:pStyle w:val="BodyText"/>
      </w:pPr>
      <w:r>
        <w:t>Ms. Smith’s criticism was short relative to the portion of the Magazine Article that she quoted. Her criticism was described as “ruthless.”</w:t>
      </w:r>
    </w:p>
    <w:p>
      <w:pPr>
        <w:pStyle w:val="BodyText"/>
      </w:pPr>
      <w:r>
        <w:t>Global Media contends that Ms. Smith’s criticism may have harmed the credibility of the magazine. Global Media also maintains that the Blog has cost the magazine business.</w:t>
      </w:r>
    </w:p>
    <w:p>
      <w:pPr>
        <w:pStyle w:val="BodyText"/>
      </w:pPr>
      <w:r>
        <w:t>Global Media further maintains that Ms. Smith benefited from the Blog Post because she saw increased voluntary contributions to her Blog. Ms. Smith did not sell advertising on the Blog.</w:t>
      </w:r>
    </w:p>
    <w:p>
      <w:bookmarkStart w:id="11" w:name="statement-of-the-facts"/>
      <w:bookmarkEnd w:id="11"/>
      <w:r>
        <w:br w:type="page"/>
      </w:r>
    </w:p>
    <w:p>
      <w:pPr>
        <w:pStyle w:val="Heading1"/>
      </w:pPr>
      <w:bookmarkStart w:id="12" w:name="_Toc256000006"/>
      <w:r>
        <w:t>Argument</w:t>
      </w:r>
      <w:bookmarkEnd w:id="12"/>
    </w:p>
    <w:p>
      <w:pPr>
        <w:pStyle w:val="Heading2"/>
      </w:pPr>
      <w:bookmarkStart w:id="13" w:name="X7fb0cb971cd3c8f000b38c3e4a414a52d0f2646"/>
      <w:bookmarkStart w:id="14" w:name="_Toc256000007"/>
      <w:r>
        <w:t>Fair use protects Ms. Smith’s verbatim quotation to deliver criticism of the Magazine Article</w:t>
      </w:r>
      <w:bookmarkEnd w:id="14"/>
    </w:p>
    <w:p>
      <w:pPr>
        <w:pStyle w:val="FirstParagraph"/>
      </w:pPr>
      <w:r>
        <w:t xml:space="preserve">Fair use exists to ensure that copyright law does not suppress criticism and commentary—uses that “add[] something new” by presenting a new purpose or message. 17 U.S.C. § 107 </w:t>
      </w:r>
      <w:r>
        <w:fldChar w:fldCharType="begin"/>
      </w:r>
      <w:r>
        <w:instrText>TA \l "17 U.S.C. § 106 - Exclusive rights in copyrighted works" \s "Exclusive rights in copyrighted works" \c 2</w:instrText>
      </w:r>
      <w:r>
        <w:fldChar w:fldCharType="separate"/>
      </w:r>
      <w:r>
        <w:fldChar w:fldCharType="end"/>
      </w:r>
      <w:r>
        <w:t xml:space="preserve">; </w:t>
      </w:r>
      <w:r>
        <w:rPr>
          <w:i/>
          <w:iCs/>
        </w:rPr>
        <w:t>Campbell</w:t>
      </w:r>
      <w:r>
        <w:t xml:space="preserve"> v. </w:t>
      </w:r>
      <w:r>
        <w:rPr>
          <w:i/>
          <w:iCs/>
        </w:rPr>
        <w:t>Acuff-Rose Music, Inc.</w:t>
      </w:r>
      <w:r>
        <w:t xml:space="preserve">, 510 U.S. 569, 579 (1994) </w:t>
      </w:r>
      <w:r>
        <w:fldChar w:fldCharType="begin"/>
      </w:r>
      <w:r>
        <w:instrText>TA \l "Campbell v. Acuff-Rose Music, Inc.,     510 U.S. 569 (1994)" \s "Campbell v. Acuff-Rose Music, Inc., 510 U.S." \c 1</w:instrText>
      </w:r>
      <w:r>
        <w:fldChar w:fldCharType="separate"/>
      </w:r>
      <w:r>
        <w:fldChar w:fldCharType="end"/>
      </w:r>
      <w:r>
        <w:t xml:space="preserve"> Ms. Smith’s Blog Post did exactly that: after quoting the Magazine Article, she criticized it. That is not an effort to repackage Global Media’s work as a competing publication; it is a different communicative act—using the Magazine Article as the object of critique. Courts treat such work-targeted criticism as the quintessential fair use purpose, because the new use is directed at evaluating the original rather than exploiting it for the same expressive end. See </w:t>
      </w:r>
      <w:r>
        <w:rPr>
          <w:i/>
          <w:iCs/>
        </w:rPr>
        <w:t>Campbell</w:t>
      </w:r>
      <w:r>
        <w:t xml:space="preserve"> v. </w:t>
      </w:r>
      <w:r>
        <w:rPr>
          <w:i/>
          <w:iCs/>
        </w:rPr>
        <w:t>Acuff-Rose Music, Inc.</w:t>
      </w:r>
      <w:r>
        <w:t xml:space="preserve">, 510 U.S. 569 (1994) (transformative purpose inquiry focuses on whether the new work adds new meaning or message)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Global Media will emphasize that the Blog Post “did not include much content beyond the quoted material” and that Ms. Smith’s criticism was “short relative” to what she quoted. But fair use does not impose a minimum word-count requirement for criticism; it asks whether the use has a genuinely critical purpose and whether the amount taken is reasonably related to that purpose. 17 U.S.C. § 107(1), (3) </w:t>
      </w:r>
      <w:r>
        <w:fldChar w:fldCharType="begin"/>
      </w:r>
      <w:r>
        <w:instrText>TA \l "17 U.S.C. § 106 - Exclusive rights in copyrighted works" \s "Exclusive rights in copyrighted works" \c 2</w:instrText>
      </w:r>
      <w:r>
        <w:fldChar w:fldCharType="separate"/>
      </w:r>
      <w:r>
        <w:fldChar w:fldCharType="end"/>
      </w:r>
      <w:r>
        <w:t xml:space="preserve"> </w:t>
      </w:r>
      <w:r>
        <w:rPr>
          <w:i/>
          <w:iCs/>
        </w:rPr>
        <w:t>Campbell</w:t>
      </w:r>
      <w:r>
        <w:t xml:space="preserve"> v. </w:t>
      </w:r>
      <w:r>
        <w:rPr>
          <w:i/>
          <w:iCs/>
        </w:rPr>
        <w:t>Acuff-Rose Music, Inc.</w:t>
      </w:r>
      <w:r>
        <w:t xml:space="preserve">, 510 U.S. 569, 586–87 (1994) </w:t>
      </w:r>
      <w:r>
        <w:fldChar w:fldCharType="begin"/>
      </w:r>
      <w:r>
        <w:instrText>TA \l "Campbell v. Acuff-Rose Music, Inc.,     510 U.S. 569 (1994)" \s "Campbell v. Acuff-Rose Music, Inc., 510 U.S." \c 1</w:instrText>
      </w:r>
      <w:r>
        <w:fldChar w:fldCharType="separate"/>
      </w:r>
      <w:r>
        <w:fldChar w:fldCharType="end"/>
      </w:r>
      <w:r>
        <w:t xml:space="preserve"> Here, the fact pattern confirms the critical purpose: “After quoting the Magazine Article, Jane Smith criticized the article,” and that criticism was described as “ruthless.” That makes Global Media’s central narrative—that the Blog Post was a mere substitute republication—an overreach, because it ignores the stated use: a critical takedown of the Magazine Article itself.</w:t>
      </w:r>
    </w:p>
    <w:p>
      <w:pPr>
        <w:pStyle w:val="BodyText"/>
      </w:pPr>
      <w:r>
        <w:t xml:space="preserve">The first factor also favors Ms. Smith because the Blog does not have any advertisers. </w:t>
      </w:r>
      <w:r>
        <w:fldChar w:fldCharType="begin"/>
      </w:r>
      <w:r>
        <w:instrText>TA \l "17 U.S.C. § 106 - Exclusive rights in copyrighted works" \s "Exclusive rights in copyrighted works" \c 2</w:instrText>
      </w:r>
      <w:r>
        <w:fldChar w:fldCharType="separate"/>
      </w:r>
      <w:r>
        <w:fldChar w:fldCharType="end"/>
      </w:r>
      <w:r>
        <w:t xml:space="preserve"> Global Media alleges Ms. Smith “benefited by seeing increased voluntary contributions,” but that does not convert non-advertising criticism into the sort of commercial exploitation that presumptively displaces fair use. </w:t>
      </w:r>
      <w:r>
        <w:rPr>
          <w:i/>
          <w:iCs/>
        </w:rPr>
        <w:t>Campbell</w:t>
      </w:r>
      <w:r>
        <w:t xml:space="preserve"> v. </w:t>
      </w:r>
      <w:r>
        <w:rPr>
          <w:i/>
          <w:iCs/>
        </w:rPr>
        <w:t>Acuff-Rose Music, Inc.</w:t>
      </w:r>
      <w:r>
        <w:t xml:space="preserve">, 510 U.S. 569, 584 (1994) (commerciality is not dispositive; the inquiry is whether the use “supersede[s] the objects” of the original). </w:t>
      </w:r>
      <w:r>
        <w:fldChar w:fldCharType="begin"/>
      </w:r>
      <w:r>
        <w:instrText>TA \l "Campbell v. Acuff-Rose Music, Inc.,     510 U.S. 569 (1994)" \s "Campbell v. Acuff-Rose Music, Inc., 510 U.S." \c 1</w:instrText>
      </w:r>
      <w:r>
        <w:fldChar w:fldCharType="separate"/>
      </w:r>
      <w:r>
        <w:fldChar w:fldCharType="end"/>
      </w:r>
      <w:r>
        <w:t xml:space="preserve"> The record does not describe the Blog Post as an advertisement, a paid reprint, or a product competing with the Magazine; it describes a blog post that criticized a magazine article. Any voluntary contributions alleged by Global Media are, on these facts, at most incidental to the constitutionally and statutorily protected activity of publishing criticism.</w:t>
      </w:r>
    </w:p>
    <w:p>
      <w:pPr>
        <w:pStyle w:val="BodyText"/>
      </w:pPr>
      <w:r>
        <w:t xml:space="preserve">The second factor is at worst neutral and does not carry Global Media’s burden in the overall balancing. 17 U.S.C. § 107(2). </w:t>
      </w:r>
      <w:r>
        <w:fldChar w:fldCharType="begin"/>
      </w:r>
      <w:r>
        <w:instrText>TA \l "17 U.S.C. § 106 - Exclusive rights in copyrighted works" \s "Exclusive rights in copyrighted works" \c 2</w:instrText>
      </w:r>
      <w:r>
        <w:fldChar w:fldCharType="separate"/>
      </w:r>
      <w:r>
        <w:fldChar w:fldCharType="end"/>
      </w:r>
      <w:r>
        <w:t xml:space="preserve"> The Magazine Article is an article from a magazine and, by definition of being quoted from a magazine publication, is not described in the record as unpublished. Publication status matters because fair use is more readily found where the original has already been disseminated, and the use is for criticism rather than to scoop or preempt first publication. See </w:t>
      </w:r>
      <w:r>
        <w:rPr>
          <w:i/>
          <w:iCs/>
        </w:rPr>
        <w:t>Harper &amp; Row, Publishers, Inc.</w:t>
      </w:r>
      <w:r>
        <w:t xml:space="preserve"> v. </w:t>
      </w:r>
      <w:r>
        <w:rPr>
          <w:i/>
          <w:iCs/>
        </w:rPr>
        <w:t>Nation Enterprises</w:t>
      </w:r>
      <w:r>
        <w:t xml:space="preserve">, 471 U.S. 539, 564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Regardless of whether the Magazine Article contains expressive elements, this factor cannot overcome the strong first-factor showing where the use is criticism directed at the original and the dispute turns on whether copyright can be leveraged to silence that criticism.</w:t>
      </w:r>
    </w:p>
    <w:p>
      <w:pPr>
        <w:pStyle w:val="BodyText"/>
      </w:pPr>
      <w:r>
        <w:t xml:space="preserve">Global Media’s most forceful point is factor three: the Blog Post “quoted the heart” of the Magazine Article and added “not much content beyond the quoted material.” Under </w:t>
      </w:r>
      <w:r>
        <w:rPr>
          <w:i/>
          <w:iCs/>
        </w:rPr>
        <w:t>Harper &amp; Row, Publishers, Inc.</w:t>
      </w:r>
      <w:r>
        <w:t xml:space="preserve"> v. </w:t>
      </w:r>
      <w:r>
        <w:rPr>
          <w:i/>
          <w:iCs/>
        </w:rPr>
        <w:t>Nation Enterprises</w:t>
      </w:r>
      <w:r>
        <w:t xml:space="preserve">, taking the “heart” of a work can weigh against fair use even where the overall amount copied is not overwhelming. 471 U.S. 539, 564–66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But this is not a case like </w:t>
      </w:r>
      <w:r>
        <w:rPr>
          <w:i/>
          <w:iCs/>
        </w:rPr>
        <w:t>Harper &amp; Row, Publishers, Inc.</w:t>
      </w:r>
      <w:r>
        <w:t xml:space="preserve"> v. </w:t>
      </w:r>
      <w:r>
        <w:rPr>
          <w:i/>
          <w:iCs/>
        </w:rPr>
        <w:t>Nation Enterprises</w:t>
      </w:r>
      <w:r>
        <w:t xml:space="preserve">, where the copying served to appropriate the most valuable passages for their own sake. Here, the record ties the copying to the critical function: Ms. Smith quoted the Magazine Article and then criticized it. When the target of the new work is the original work itself, the relevant question is whether the portion used is reasonable in relation to the purpose of criticism—particularly where the critique is aimed at the article’s central thesis or core presentation. See </w:t>
      </w:r>
      <w:r>
        <w:rPr>
          <w:i/>
          <w:iCs/>
        </w:rPr>
        <w:t>Campbell</w:t>
      </w:r>
      <w:r>
        <w:t xml:space="preserve"> v. </w:t>
      </w:r>
      <w:r>
        <w:rPr>
          <w:i/>
          <w:iCs/>
        </w:rPr>
        <w:t>Acuff-Rose Music, Inc.</w:t>
      </w:r>
      <w:r>
        <w:t xml:space="preserve">, 510 U.S. 569, 586–87 (1994). </w:t>
      </w:r>
      <w:r>
        <w:fldChar w:fldCharType="begin"/>
      </w:r>
      <w:r>
        <w:instrText>TA \l "Campbell v. Acuff-Rose Music, Inc.,     510 U.S. 569 (1994)" \s "Campbell v. Acuff-Rose Music, Inc., 510 U.S." \c 1</w:instrText>
      </w:r>
      <w:r>
        <w:fldChar w:fldCharType="separate"/>
      </w:r>
      <w:r>
        <w:fldChar w:fldCharType="end"/>
      </w:r>
      <w:r>
        <w:t xml:space="preserve"> Quoting the “heart” can be the only way to allow readers to evaluate a critique that attacks the article’s most important claims or central message; quoting peripheral excerpts would blunt the critical purpose and insulate the most consequential portion of the Magazine Article from scrutiny. Fair use does not require criticism to be handicapped by forcing critics to avoid the very passages their criticism concerns.</w:t>
      </w:r>
    </w:p>
    <w:p>
      <w:pPr>
        <w:pStyle w:val="BodyText"/>
      </w:pPr>
      <w:r>
        <w:t xml:space="preserve">Factor four confirms why Global Media’s position would improperly expand copyright into a tool against adverse commentary. 17 U.S.C. § 107(4). </w:t>
      </w:r>
      <w:r>
        <w:fldChar w:fldCharType="begin"/>
      </w:r>
      <w:r>
        <w:instrText>TA \l "17 U.S.C. § 106 - Exclusive rights in copyrighted works" \s "Exclusive rights in copyrighted works" \c 2</w:instrText>
      </w:r>
      <w:r>
        <w:fldChar w:fldCharType="separate"/>
      </w:r>
      <w:r>
        <w:fldChar w:fldCharType="end"/>
      </w:r>
      <w:r>
        <w:t xml:space="preserve"> Global Media asserts that the Blog “has cost the Magazine business” and that Ms. Smith’s criticism “may have harmed the credibility of the Magazine.” But reputational harm from “ruthless” criticism is not, standing alone, the type of market harm the Copyright Act protects. The fair use inquiry focuses on whether the use usurps demand for the copyrighted work or causes cognizable harm to a traditional or likely-to-be-developed market for the work. See </w:t>
      </w:r>
      <w:r>
        <w:rPr>
          <w:i/>
          <w:iCs/>
        </w:rPr>
        <w:t>Harper &amp; Row, Publishers, Inc.</w:t>
      </w:r>
      <w:r>
        <w:t xml:space="preserve"> v. </w:t>
      </w:r>
      <w:r>
        <w:rPr>
          <w:i/>
          <w:iCs/>
        </w:rPr>
        <w:t>Nation Enterprises</w:t>
      </w:r>
      <w:r>
        <w:t xml:space="preserve">, 471 U.S. 539, 566–69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w:t>
      </w:r>
      <w:r>
        <w:rPr>
          <w:i/>
          <w:iCs/>
        </w:rPr>
        <w:t>Worldwide Church of God</w:t>
      </w:r>
      <w:r>
        <w:t xml:space="preserve"> v. </w:t>
      </w:r>
      <w:r>
        <w:rPr>
          <w:i/>
          <w:iCs/>
        </w:rPr>
        <w:t>Philadelphia Church of God, Inc.</w:t>
      </w:r>
      <w:r>
        <w:t xml:space="preserve">, 227 F.3d 1110, 1117–19 (9th Cir. 2000) </w:t>
      </w:r>
      <w:r>
        <w:fldChar w:fldCharType="begin"/>
      </w:r>
      <w:r>
        <w:instrText>TA \l "Worldwide Church of God v. Philadelphia Church of God, Inc.,     227 F.3d 1110 (9th Cir. 2000)" \s "Worldwide Church of God v. Philadelphia Church of God, Inc., 227 F.3d" \c 1</w:instrText>
      </w:r>
      <w:r>
        <w:fldChar w:fldCharType="separate"/>
      </w:r>
      <w:r>
        <w:fldChar w:fldCharType="end"/>
      </w:r>
      <w:r>
        <w:t xml:space="preserve"> A critic’s negative assessment may reduce a work’s appeal, but that is the intended and lawful effect of criticism—not market substitution by piracy. Treating credibility damage as actionable “market harm” would effectively create a right to suppress negative reviews, collapsing fair use for criticism into an illusory privilege.</w:t>
      </w:r>
    </w:p>
    <w:p>
      <w:pPr>
        <w:pStyle w:val="BodyText"/>
      </w:pPr>
      <w:r>
        <w:t xml:space="preserve">Nor does Global Media’s conclusory claim that it “cost business” establish substitution. On this closed record, there is no fact that readers used the Blog Post as a replacement for the Magazine Article rather than as the necessary context for evaluating Ms. Smith’s critique. The more Global Media relies on the idea that the harm flowed from Ms. Smith’s criticism itself, the more it proves that the asserted injury is not the kind the fourth factor recognizes. And to the extent Global Media suggests a licensing market for verbatim excerpts, that theory cannot be allowed to swallow fair use where the excerpt is used to criticize the very work quoted. Fair use would be eviscerated if a copyright owner could demand a license fee as the price of being criticized. See </w:t>
      </w:r>
      <w:r>
        <w:rPr>
          <w:i/>
          <w:iCs/>
        </w:rPr>
        <w:t>Campbell</w:t>
      </w:r>
      <w:r>
        <w:t xml:space="preserve"> v. </w:t>
      </w:r>
      <w:r>
        <w:rPr>
          <w:i/>
          <w:iCs/>
        </w:rPr>
        <w:t>Acuff-Rose Music, Inc.</w:t>
      </w:r>
      <w:r>
        <w:t xml:space="preserve">, 510 U.S. 569, 592 (1994) (where a use is transformative, market substitution is less likely).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Balancing all factors together, the statutory purpose is decisive: copyright is meant to encourage creation, not to immunize published works from public criticism. </w:t>
      </w:r>
      <w:r>
        <w:fldChar w:fldCharType="begin"/>
      </w:r>
      <w:r>
        <w:instrText>TA \l "17 U.S.C. § 106 - Exclusive rights in copyrighted works" \s "Exclusive rights in copyrighted works" \c 2</w:instrText>
      </w:r>
      <w:r>
        <w:fldChar w:fldCharType="separate"/>
      </w:r>
      <w:r>
        <w:fldChar w:fldCharType="end"/>
      </w:r>
      <w:r>
        <w:t xml:space="preserve"> 17 U.S.C. § 107; </w:t>
      </w:r>
      <w:r>
        <w:rPr>
          <w:i/>
          <w:iCs/>
        </w:rPr>
        <w:t>Campbell</w:t>
      </w:r>
      <w:r>
        <w:t xml:space="preserve"> v. </w:t>
      </w:r>
      <w:r>
        <w:rPr>
          <w:i/>
          <w:iCs/>
        </w:rPr>
        <w:t>Acuff-Rose Music, Inc.</w:t>
      </w:r>
      <w:r>
        <w:t xml:space="preserve">, 510 U.S. 569, 575–79 (1994). </w:t>
      </w:r>
      <w:r>
        <w:fldChar w:fldCharType="begin"/>
      </w:r>
      <w:r>
        <w:instrText>TA \l "Campbell v. Acuff-Rose Music, Inc.,     510 U.S. 569 (1994)" \s "Campbell v. Acuff-Rose Music, Inc., 510 U.S." \c 1</w:instrText>
      </w:r>
      <w:r>
        <w:fldChar w:fldCharType="separate"/>
      </w:r>
      <w:r>
        <w:fldChar w:fldCharType="end"/>
      </w:r>
      <w:r>
        <w:t xml:space="preserve"> Ms. Smith’s Blog Post was non-advertising, aimed at criticizing the Magazine Article, and the harm Global Media describes is principally the consequence of a critique that “may have harmed” credibility—an interest copyright does not protect. While Global Media will stress the qualitative significance of quoting the “heart,” the amount taken must be evaluated in light of the critical purpose, and the market-effect analysis cannot be converted into a veto over harsh commentary. On these facts, fair use protects Ms. Smith’s Blog Post.</w:t>
      </w:r>
      <w:bookmarkEnd w:id="13"/>
    </w:p>
    <w:p>
      <w:pPr>
        <w:pStyle w:val="Heading2"/>
      </w:pPr>
      <w:bookmarkStart w:id="15" w:name="Xffcb7814a1b49ff66be30ebf59233c0634a1744"/>
      <w:bookmarkStart w:id="16" w:name="_Toc256000008"/>
      <w:r>
        <w:t>Global Media cannot prove § 504(b) damages or profits tied to the Blog Post</w:t>
      </w:r>
      <w:bookmarkEnd w:id="16"/>
    </w:p>
    <w:p>
      <w:pPr>
        <w:pStyle w:val="FirstParagraph"/>
      </w:pPr>
      <w:r>
        <w:t xml:space="preserve">Section 504(b) permits recovery of “the actual damages suffered by [the copyright owner] as a result of the infringement” and any “profits of the infringer that are attributable to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statute thus demands more than generalized assertions of harm: Global Media must prove (1) actual damages caused by the alleged infringement, and/or (2) Ms. Smith’s “profits” with a demonstrated causal nexus to the Blog Post itself. On this record, Global Media’s asserted theories—unspecified “Magazine business” loss and “increased voluntary contributions” to a Blog with no advertisers—are not tied to the Blog Post with the required concreteness and therefore are not recoverable under § 504(b).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Media’s claimed “lost business” is conclusory and not concretely linked to the Blog Post. The fact pattern contains only the assertion that “the Blog has cost the Magazine business,” without any identified lost sales, lost subscriptions, lost licensing revenue, or other measurable economic harm linked to readers obtaining the Magazine Article from the Blog Post instead of the Magazine. Section 504(b) requires proof that the claimed loss was “suffered . . . as a result of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which necessarily entails showing that the alleged copying—rather than unrelated factors—caused the asserted economic injury. A bare contention of “lost business” fails that statutory requirement because it supplies neither a reliable measure of loss nor the causal connection between the Blog Post’s quotation and any Magazine revenue decline.</w:t>
      </w:r>
    </w:p>
    <w:p>
      <w:pPr>
        <w:pStyle w:val="BodyText"/>
      </w:pPr>
      <w:r>
        <w:t xml:space="preserve">The record underscores the causation problem because any asserted “harm” appears to stem at least in substantial part from non-infringing criticism rather than from the reproduction itself. The fact pattern states that after quoting the Magazine Article, Ms. Smith “criticized the article,” that the criticism was “ruthless,” and that it “may have harmed the credibility of the Magazine.” Where the alleged injury is reputational harm from criticism, Global Media cannot convert that asserted reaction to speech into copyright “actual damages” without showing that the economic loss resulted from the infringement (the copying) rather than from the criticism (the commentary). </w:t>
      </w:r>
      <w:r>
        <w:fldChar w:fldCharType="begin"/>
      </w:r>
      <w:r>
        <w:instrText>TA \l "Gertz v. Robert Welch, Inc.,     418 U.S. 323 (1974)" \s "Gertz v. Robert Welch, Inc., 418 U.S." \c 1</w:instrText>
      </w:r>
      <w:r>
        <w:fldChar w:fldCharType="separate"/>
      </w:r>
      <w:r>
        <w:fldChar w:fldCharType="end"/>
      </w:r>
      <w:r>
        <w:t xml:space="preserve"> Section 504(b) does not allow Global Media to recover for reputational effects attributed to “ruthless” criticism merely because the criticism appeared in the same post that contained quotation; it requires proof of economic harm “as a result of the infringement,” which the record does not supply.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 likewise cannot establish an “actual damages” measure based on a hypothetical license on this record. A licensing-based measure requires a non-speculative method of valuing the use—e.g., evidence of market pricing for the type of use at issue. Here, the only established facts are that the Blog has no advertisers and that the Blog Post did not include much content beyond the quoted material, followed by short criticism. There is no fact suggesting any established licensing market, pricing structure, or prior licensing practice for allowing a blogger to quote “the heart” of a magazine article and then criticize it. Without evidence anchoring any license value to real-world market transactions, any license-fee figure would be conjecture and cannot satisfy § 504(b)’s requirement of actual damages “suffered . . . as a result of the infringement.”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Media’s alternative remedy—recovering Ms. Smith’s “profits”—fails at the threshold because Global Media must first show “gross revenue” reasonably related to the infringement, not simply money associated with the Blog in general.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fact pattern forecloses the most direct revenue theory because “The Blog does not have any advertisers.” Global Media instead maintains that Ms. Smith benefited only by “increased voluntary contributions” to her Blog. But voluntary contributions to support a blog are, by their nature, attributable to many possible factors—overall readership, goodwill, other posts, or the author’s general voice—unless the plaintiff can link them to the specific infringing act. The record contains no fact stating that contributions were solicited in connection with the Blog Post, that contributors gave because of the quoted Magazine Article, or that a measurable increase was temporally tied to that post as opposed to the Blog generally. Without that causal linkage, Global Media cannot meet § 504(b)’s requirement to show profits “attributable to the infringement.”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Even assuming arguendo that “increased voluntary contributions” could constitute “gross revenue,” Global Media still cannot show that such contributions were attributable to the alleged infringement rather than to Ms. Smith’s criticism and other non-infringing aspects of the Blog. The fact pattern specifically notes that Ms. Smith’s criticism, though short, was “ruthless” and that it “may have harmed the credibility of the Magazine.” That description supports the conclusion that reader interest and engagement—if any—could have been driven by the criticism itself, not by the verbatim quotation. Section 504(b) limits recovery to profits “attributable to the infringement,” 17 U.S.C. § 504(b), and does not authorize Global Media to capture sums attributable to commentary, criticism, or other non-infringing value. </w:t>
      </w:r>
      <w:r>
        <w:fldChar w:fldCharType="begin"/>
      </w:r>
      <w:r>
        <w:instrText>TA \l "17 U.S.C. § 504 - Remedies for infringement: Damages and profits" \s "Remedies for infringement: Damages and profits" \c 2</w:instrText>
      </w:r>
      <w:r>
        <w:fldChar w:fldCharType="separate"/>
      </w:r>
      <w:r>
        <w:fldChar w:fldCharType="end"/>
      </w:r>
      <w:r>
        <w:t xml:space="preserve"> Thus, absent evidence that donors contributed because they were receiving the Magazine Article for free (as opposed to reacting to the criticism), Global Media cannot carry its burden to link contributions to infringement.</w:t>
      </w:r>
    </w:p>
    <w:p>
      <w:pPr>
        <w:pStyle w:val="BodyText"/>
      </w:pPr>
      <w:r>
        <w:t xml:space="preserve">Global Media also cannot avoid these proof defects by arguing that the Blog Post quoted “the heart” of the Magazine Article and contained little content beyond the quoted material. That characterization may speak to other liability questions, but it does not supply the missing economic evidence required by § 504(b). </w:t>
      </w:r>
      <w:r>
        <w:fldChar w:fldCharType="begin"/>
      </w:r>
      <w:r>
        <w:instrText>TA \l "17 U.S.C. § 504 - Remedies for infringement: Damages and profits" \s "Remedies for infringement: Damages and profits" \c 2</w:instrText>
      </w:r>
      <w:r>
        <w:fldChar w:fldCharType="separate"/>
      </w:r>
      <w:r>
        <w:fldChar w:fldCharType="end"/>
      </w:r>
      <w:r>
        <w:t xml:space="preserve"> Even if a post contains extensive quotation, the statute still requires non-speculative proof of actual loss or profits attributable to the infringement. Here, Global Media has not connected the Blog Post’s quotation to any identifiable lost Magazine revenue stream, and it has not connected any identifiable blog revenue stream—given the absence of advertisers—to the alleged infringement. The inability to show a concrete causal nexus is dispositive under § 504(b).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Accordingly, on this record, Global Media cannot prove recoverable actual damages or infringer’s profits under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Its claimed Magazine business loss is asserted but not concretely tied to the Blog Post, and its asserted “benefit” to Ms. Smith is limited to “increased voluntary contributions” to a Blog with no advertisers—without evidence linking those contributions to the alleged infringement rather than to the Blog or Ms. Smith’s criticism. Because § 504(b) requires proof of loss and profit causally attributable to the infringement, Global Media’s damages and profits theories fail as a matter of law. </w:t>
      </w:r>
      <w:r>
        <w:fldChar w:fldCharType="begin"/>
      </w:r>
      <w:r>
        <w:instrText>TA \l "17 U.S.C. § 504 - Remedies for infringement: Damages and profits" \s "Remedies for infringement: Damages and profits" \c 2</w:instrText>
      </w:r>
      <w:r>
        <w:fldChar w:fldCharType="separate"/>
      </w:r>
      <w:r>
        <w:fldChar w:fldCharType="end"/>
      </w:r>
      <w:bookmarkEnd w:id="15"/>
    </w:p>
    <w:p>
      <w:pPr>
        <w:pStyle w:val="Heading2"/>
      </w:pPr>
      <w:bookmarkStart w:id="17" w:name="Xf5d7795f9206264d6860ca13550a932a73fa5a0"/>
      <w:bookmarkStart w:id="18" w:name="_Toc256000009"/>
      <w:r>
        <w:t>A free, non-advertising blog post with criticism is not a UCL business practice.</w:t>
      </w:r>
      <w:bookmarkEnd w:id="18"/>
    </w:p>
    <w:p>
      <w:pPr>
        <w:pStyle w:val="FirstParagraph"/>
      </w:pPr>
      <w:r>
        <w:t xml:space="preserve">The threshold defect in Global Media’s UCL theory is that it targets speech—publication of a Blog Post that quoted the heart of the Magazine Article and then criticized it—rather than a “business act or practice” within the meaning of Cal. Bus. &amp; Prof. Code § 17200. </w:t>
      </w:r>
      <w:r>
        <w:fldChar w:fldCharType="begin"/>
      </w:r>
      <w:r>
        <w:instrText>TA \l "Cal. Bus. &amp; Prof. Code § 17200" \s "California Unfair Competition Law" \c 2</w:instrText>
      </w:r>
      <w:r>
        <w:fldChar w:fldCharType="separate"/>
      </w:r>
      <w:r>
        <w:fldChar w:fldCharType="end"/>
      </w:r>
      <w:r>
        <w:t xml:space="preserve"> Section 17200 is broad, but it is not boundless: it polices unfair competition in a commercial setting, not ordinary editorial activity that allegedly harms a publication’s credibility. Here, the Fact Pattern describes a personal Blog that “does not have any advertisers,” and the challenged content is free to read. Those facts cut against any plausible inference that the publication itself occurred in a commercial context or as a method of conducting trade.</w:t>
      </w:r>
    </w:p>
    <w:p>
      <w:pPr>
        <w:pStyle w:val="BodyText"/>
      </w:pPr>
      <w:r>
        <w:t xml:space="preserve">Global Media’s own characterization of the alleged injury confirms the mismatch between its theory and the UCL’s target. It asserts the Blog Post “may have harmed the credibility of the Magazine” and “cost the Magazine business.” </w:t>
      </w:r>
      <w:r>
        <w:fldChar w:fldCharType="begin"/>
      </w:r>
      <w:r>
        <w:instrText>TA \l "Gertz v. Robert Welch, Inc.,     418 U.S. 323 (1974)" \s "Gertz v. Robert Welch, Inc., 418 U.S." \c 1</w:instrText>
      </w:r>
      <w:r>
        <w:fldChar w:fldCharType="separate"/>
      </w:r>
      <w:r>
        <w:fldChar w:fldCharType="end"/>
      </w:r>
      <w:r>
        <w:t xml:space="preserve"> But reputational or credibility harm resulting from public criticism is not, without more, a “business act or practice” by the critic; it is the audience’s reaction to commentary. Framing “ruthless” criticism as “unfair competition” would convert the UCL into a general-purpose vehicle for litigating the consequences of harsh commentary—an expansion untethered to the statute’s focus on marketplace practices. </w:t>
      </w:r>
      <w:r>
        <w:fldChar w:fldCharType="begin"/>
      </w:r>
      <w:r>
        <w:instrText>TA \l "Cel-Tech Communications, Inc. v. Los Angeles Cellular Telephone Co.,     20 Cal. 4th 163 (1999)" \s "Cel-Tech Communications, Inc. v. Los Angeles Cellular Telephone Co., 20 Cal. 4th" \c 1</w:instrText>
      </w:r>
      <w:r>
        <w:fldChar w:fldCharType="separate"/>
      </w:r>
      <w:r>
        <w:fldChar w:fldCharType="end"/>
      </w:r>
    </w:p>
    <w:p>
      <w:pPr>
        <w:pStyle w:val="BodyText"/>
      </w:pPr>
      <w:r>
        <w:t xml:space="preserve">The First Amendment screen further forecloses Global Media’s attempt to recharacterize this publication as a commercial practice. Under the framework reflected in </w:t>
      </w:r>
      <w:r>
        <w:rPr>
          <w:i/>
          <w:iCs/>
        </w:rPr>
        <w:t>Kasky</w:t>
      </w:r>
      <w:r>
        <w:t xml:space="preserve"> v. </w:t>
      </w:r>
      <w:r>
        <w:rPr>
          <w:i/>
          <w:iCs/>
        </w:rPr>
        <w:t>Nike, Inc.</w:t>
      </w:r>
      <w:r>
        <w:t xml:space="preserve">, 27 Cal. 4th 939 (2002), courts evaluate whether challenged communications are commercial speech by considering the speaker, the intended audience, and the content. </w:t>
      </w:r>
      <w:r>
        <w:fldChar w:fldCharType="begin"/>
      </w:r>
      <w:r>
        <w:instrText>TA \l "Kasky v. Nike, Inc.,     27 Cal. 4th 939 (2002)" \s "Kasky v. Nike, Inc., 27 Cal. 4th" \c 1</w:instrText>
      </w:r>
      <w:r>
        <w:fldChar w:fldCharType="separate"/>
      </w:r>
      <w:r>
        <w:fldChar w:fldCharType="end"/>
      </w:r>
      <w:r>
        <w:t xml:space="preserve"> Each factor points away from commercial speech here. The speaker is a California resident who “runs a blog” and made a single Blog Post on a Blog with no advertisers, not a business entity alleged to be marketing its own goods or services. The intended audience is readers of a blog post—i.e., the general public—rather than purchasers solicited through promotional messaging. And the content is not an advertisement or sales pitch about Ms. Smith’s own product; it is quotation of the Magazine Article followed by criticism of it. Applying § 17200 to penalize that expressive activity would regulate protected editorial commentary, not commercial conduct. </w:t>
      </w:r>
      <w:r>
        <w:fldChar w:fldCharType="begin"/>
      </w:r>
      <w:r>
        <w:instrText>TA \l "Cal. Bus. &amp; Prof. Code § 17200" \s "California Unfair Competition Law" \c 2</w:instrText>
      </w:r>
      <w:r>
        <w:fldChar w:fldCharType="separate"/>
      </w:r>
      <w:r>
        <w:fldChar w:fldCharType="end"/>
      </w:r>
    </w:p>
    <w:p>
      <w:pPr>
        <w:pStyle w:val="BodyText"/>
      </w:pPr>
      <w:r>
        <w:t xml:space="preserve">Global Media will likely respond that the Blog Post was connected to “money or property” because it maintains Ms. Smith “benefited by seeing increased voluntary contributions to her Blog,” and UCL remedies can include orders to restore money or property acquired through unfair competition. Cal. Bus. &amp; Prof. Code § 17203. </w:t>
      </w:r>
      <w:r>
        <w:fldChar w:fldCharType="begin"/>
      </w:r>
      <w:r>
        <w:instrText>TA \l "Cal. Bus. &amp; Prof. Code § 17203" \s "California Business and Professions Code Section 17203" \c 2</w:instrText>
      </w:r>
      <w:r>
        <w:fldChar w:fldCharType="separate"/>
      </w:r>
      <w:r>
        <w:fldChar w:fldCharType="end"/>
      </w:r>
      <w:r>
        <w:t xml:space="preserve"> But that allegation does not transform the post into a business practice. The Fact Pattern pleads no advertisers, no paid subscriptions, and no described commercial transaction tied to the Blog Post. At most, Global Media posits an indirect, downstream effect—some readers may have made voluntary contributions after encountering the post. That is not a pleaded commercial mechanism embedded in the challenged publication; it is an incidental possibility that could follow any public-facing commentary. The UCL does not treat the mere possibility of receiving voluntary contributions as sufficient to convert noncommercial criticism into a “business act or practice,” especially where the post is otherwise described as a largely quoted article with “short” criticism.</w:t>
      </w:r>
    </w:p>
    <w:p>
      <w:pPr>
        <w:pStyle w:val="BodyText"/>
      </w:pPr>
      <w:r>
        <w:t xml:space="preserve">Nor can Global Media salvage its theory by recasting Ms. Smith’s conduct as a competitive “practice” because it allegedly diverted business from the Magazine. The only conduct alleged is publication of the Blog Post with quotation and criticism. That is not a marketplace method such as pricing, advertising, sales terms, or a distribution practice. Global Media’s complaint, as framed by the Fact Pattern, depends on the criticism being “ruthless” and allegedly undermining credibility—an unmistakably speech-based grievance. The UCL cannot be expanded to punish a critic whenever criticism is effective enough to reduce demand for the criticized work. </w:t>
      </w:r>
      <w:r>
        <w:fldChar w:fldCharType="begin"/>
      </w:r>
      <w:r>
        <w:instrText>TA \l "Cel-Tech Communications, Inc. v. Los Angeles Cellular Telephone Co.,     20 Cal. 4th 163 (1999)" \s "Cel-Tech Communications, Inc. v. Los Angeles Cellular Telephone Co., 20 Cal. 4th" \c 1</w:instrText>
      </w:r>
      <w:r>
        <w:fldChar w:fldCharType="separate"/>
      </w:r>
      <w:r>
        <w:fldChar w:fldCharType="end"/>
      </w:r>
    </w:p>
    <w:p>
      <w:pPr>
        <w:pStyle w:val="BodyText"/>
      </w:pPr>
      <w:r>
        <w:t xml:space="preserve">In sum, the pleaded facts establish that the challenged act is publication of a free Blog Post on a personal Blog with no advertisers, consisting largely of quotation and then short, ruthless criticism. Under Cal. Bus. &amp; Prof. Code § 17200, and consistent with the speech-sensitive analysis in </w:t>
      </w:r>
      <w:r>
        <w:rPr>
          <w:i/>
          <w:iCs/>
        </w:rPr>
        <w:t>Kasky</w:t>
      </w:r>
      <w:r>
        <w:t xml:space="preserve"> v. </w:t>
      </w:r>
      <w:r>
        <w:rPr>
          <w:i/>
          <w:iCs/>
        </w:rPr>
        <w:t>Nike, Inc.</w:t>
      </w:r>
      <w:r>
        <w:t xml:space="preserve">, 27 Cal. 4th 939 (2002), that publication is not the kind of commercial “business act or practice” the UCL regulates. </w:t>
      </w:r>
      <w:r>
        <w:fldChar w:fldCharType="begin"/>
      </w:r>
      <w:r>
        <w:instrText>TA \l "Kasky v. Nike, Inc.,     27 Cal. 4th 939 (2002)" \s "Kasky v. Nike, Inc., 27 Cal. 4th" \c 1</w:instrText>
      </w:r>
      <w:r>
        <w:fldChar w:fldCharType="separate"/>
      </w:r>
      <w:r>
        <w:fldChar w:fldCharType="end"/>
      </w:r>
      <w:r>
        <w:t xml:space="preserve"> Global Media’s reliance on speculative “increased voluntary contributions” and alleged lost Magazine business does not supply the missing commercial context; it merely highlights that the claim is an attempt to repackage a content dispute and reputational fallout as unfair competition. </w:t>
      </w:r>
      <w:r>
        <w:fldChar w:fldCharType="begin"/>
      </w:r>
      <w:r>
        <w:instrText>TA \l "Cal. Bus. &amp; Prof. Code § 17200" \s "California Unfair Competition Law" \c 2</w:instrText>
      </w:r>
      <w:r>
        <w:fldChar w:fldCharType="separate"/>
      </w:r>
      <w:r>
        <w:fldChar w:fldCharType="end"/>
      </w:r>
      <w:bookmarkEnd w:id="17"/>
    </w:p>
    <w:p>
      <w:pPr>
        <w:pStyle w:val="Heading2"/>
      </w:pPr>
      <w:bookmarkStart w:id="19" w:name="X01f83f35962d4b543573c05cc4c04abc33c6318"/>
      <w:bookmarkStart w:id="20" w:name="_Toc256000010"/>
      <w:r>
        <w:t>Global Media lacks UCL standing because it alleges no loss of money or property</w:t>
      </w:r>
      <w:bookmarkEnd w:id="20"/>
    </w:p>
    <w:p>
      <w:pPr>
        <w:pStyle w:val="FirstParagraph"/>
      </w:pPr>
      <w:r>
        <w:t xml:space="preserve">Cal. Bus. &amp; Prof. Code § 17204 strictly limits private UCL actions to plaintiffs who (1) suffered an “injury in fact” and (2) “lost money or property” “as a result of” the challenged practice. </w:t>
      </w:r>
      <w:r>
        <w:fldChar w:fldCharType="begin"/>
      </w:r>
      <w:r>
        <w:instrText>TA \l "Cal. Bus. &amp; Prof. Code § 17204" \s "California Business and Professions Code Section 17204" \c 2</w:instrText>
      </w:r>
      <w:r>
        <w:fldChar w:fldCharType="separate"/>
      </w:r>
      <w:r>
        <w:fldChar w:fldCharType="end"/>
      </w:r>
      <w:r>
        <w:t xml:space="preserve"> The statute’s text imposes an economic-injury requirement in addition to any generalized or intangible harms. Accordingly, even if Global Media could plausibly allege that the Blog Post caused discomforting publicity or criticism, § 17204 requires allegations of a concrete monetary or property loss attributable to that conduct—not merely a reputational or credibility setback. </w:t>
      </w:r>
      <w:r>
        <w:fldChar w:fldCharType="begin"/>
      </w:r>
      <w:r>
        <w:instrText>TA \l "Cal. Bus. &amp; Prof. Code § 17204" \s "California Business and Professions Code Section 17204" \c 2</w:instrText>
      </w:r>
      <w:r>
        <w:fldChar w:fldCharType="separate"/>
      </w:r>
      <w:r>
        <w:fldChar w:fldCharType="end"/>
      </w:r>
    </w:p>
    <w:p>
      <w:pPr>
        <w:pStyle w:val="BodyText"/>
      </w:pPr>
      <w:r>
        <w:t xml:space="preserve">Global Media’s allegations, as pleaded, do not meet § 17204’s “lost money or property” element. </w:t>
      </w:r>
      <w:r>
        <w:fldChar w:fldCharType="begin"/>
      </w:r>
      <w:r>
        <w:instrText>TA \l "Cal. Bus. &amp; Prof. Code § 17204" \s "California Business and Professions Code Section 17204" \c 2</w:instrText>
      </w:r>
      <w:r>
        <w:fldChar w:fldCharType="separate"/>
      </w:r>
      <w:r>
        <w:fldChar w:fldCharType="end"/>
      </w:r>
      <w:r>
        <w:t xml:space="preserve"> Global Media alleges Ms. Smith’s criticism was “ruthless” and “may have harmed the credibility of the Magazine.” A potential hit to “credibility” is not, by itself, money or property. And Global Media’s further assertion that the Blog “has cost the Magazine business” is an unspecified conclusion, not an allegation that Global Media actually lost a measurable sum of money or identifiable property interest.</w:t>
      </w:r>
    </w:p>
    <w:p>
      <w:pPr>
        <w:pStyle w:val="BodyText"/>
      </w:pPr>
      <w:r>
        <w:t xml:space="preserve">Section 17204 also requires causation: Global Media must plead it lost money or property “as a result of” the challenged conduct.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Here, Global Media does not allege any concrete mechanism by which the Blog Post produced an economic loss. It does not identify any particular lost sale, subscription, contract, customer relationship, or other transaction that was forgone because of the Blog Post. Nor does it allege any out-of-pocket expenditures undertaken in response to the Blog Post. Without a pleaded chain from the Blog Post to a specific loss, Global Media’s “cost the Magazine business” claim is speculation dressed as causation.</w:t>
      </w:r>
    </w:p>
    <w:p>
      <w:pPr>
        <w:pStyle w:val="BodyText"/>
      </w:pPr>
      <w:r>
        <w:t xml:space="preserve">The deficiency is not a pleading technicality; it goes to the statutory boundary the Legislature imposed. Cal. Bus. &amp; Prof. Code § 17204 does not authorize a private UCL claim whenever a plaintiff feels competitively or reputationally injured. </w:t>
      </w:r>
      <w:r>
        <w:fldChar w:fldCharType="begin"/>
      </w:r>
      <w:r>
        <w:instrText>TA \l "Cal. Bus. &amp; Prof. Code § 17204" \s "California Business and Professions Code Section 17204" \c 2</w:instrText>
      </w:r>
      <w:r>
        <w:fldChar w:fldCharType="separate"/>
      </w:r>
      <w:r>
        <w:fldChar w:fldCharType="end"/>
      </w:r>
      <w:r>
        <w:t xml:space="preserve"> It authorizes suit only where the plaintiff itself lost money or property because of the challenged practice. Global Media’s allegations describe an alleged injury to the Magazine’s “credibility” and an abstract impact on “business,” which are not pleaded as actual monetary losses or property deprivations.</w:t>
      </w:r>
    </w:p>
    <w:p>
      <w:pPr>
        <w:pStyle w:val="BodyText"/>
      </w:pPr>
      <w:r>
        <w:t xml:space="preserve">Global Media may attempt to recast its allegations by arguing that reputational harm necessarily implies lost revenue. But § 17204 requires that implication to be pleaded as a concrete loss, not assumed. </w:t>
      </w:r>
      <w:r>
        <w:fldChar w:fldCharType="begin"/>
      </w:r>
      <w:r>
        <w:instrText>TA \l "Cal. Bus. &amp; Prof. Code § 17204" \s "California Business and Professions Code Section 17204" \c 2</w:instrText>
      </w:r>
      <w:r>
        <w:fldChar w:fldCharType="separate"/>
      </w:r>
      <w:r>
        <w:fldChar w:fldCharType="end"/>
      </w:r>
      <w:r>
        <w:t xml:space="preserve"> “May have harmed” credibility does not plausibly allege lost money or property. And “cost the Magazine business” does not allege what money was lost, when it was lost, or how it was lost. Without nonconclusory allegations describing a real economic loss, Global Media has not crossed the statutory standing threshold.</w:t>
      </w:r>
    </w:p>
    <w:p>
      <w:pPr>
        <w:pStyle w:val="BodyText"/>
      </w:pPr>
      <w:r>
        <w:t xml:space="preserve">Global Media’s allegation that Ms. Smith benefited by “increased voluntary contributions to her Blog” does not cure Global Media’s standing problem. UCL standing turns on the plaintiff’s loss, not the defendant’s benefit.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A defendant’s enrichment—especially from “voluntary contributions” unrelated to any alleged payment by Global Media—cannot substitute for Global Media’s obligation to plead that it lost money or property as a result of the challenged conduct.</w:t>
      </w:r>
    </w:p>
    <w:p>
      <w:pPr>
        <w:pStyle w:val="BodyText"/>
      </w:pPr>
      <w:r>
        <w:t xml:space="preserve">Nor can Global Media salvage standing by suggesting that a direct transaction or payment to Ms. Smith is unnecessary and therefore immaterial. While § 17204 does not require Global Media to have paid Ms. Smith, it does require Global Media to have lost money or property. Cal. Bus. &amp; Prof. Code § 17204. </w:t>
      </w:r>
      <w:r>
        <w:fldChar w:fldCharType="begin"/>
      </w:r>
      <w:r>
        <w:instrText>TA \l "Cal. Bus. &amp; Prof. Code § 17204" \s "California Business and Professions Code Section 17204" \c 2</w:instrText>
      </w:r>
      <w:r>
        <w:fldChar w:fldCharType="separate"/>
      </w:r>
      <w:r>
        <w:fldChar w:fldCharType="end"/>
      </w:r>
      <w:r>
        <w:t xml:space="preserve"> The total absence of any identified lost transaction, payment, or other concrete monetary event underscores the central point: Global Media alleges, at most, reputational injury and an unquantified business impact, not a pleaded economic loss cognizable under § 17204. </w:t>
      </w:r>
      <w:r>
        <w:fldChar w:fldCharType="begin"/>
      </w:r>
      <w:r>
        <w:instrText>TA \l "Cal. Bus. &amp; Prof. Code § 17204" \s "California Business and Professions Code Section 17204" \c 2</w:instrText>
      </w:r>
      <w:r>
        <w:fldChar w:fldCharType="separate"/>
      </w:r>
      <w:r>
        <w:fldChar w:fldCharType="end"/>
      </w:r>
    </w:p>
    <w:p>
      <w:pPr>
        <w:pStyle w:val="BodyText"/>
      </w:pPr>
      <w:r>
        <w:t xml:space="preserve">Because Global Media’s allegations do not plead (and cannot plausibly infer, on the facts alleged) that Global Media lost money or property as a result of Ms. Smith’s Blog Post, Global Media lacks statutory standing under § 17204. </w:t>
      </w:r>
      <w:r>
        <w:fldChar w:fldCharType="begin"/>
      </w:r>
      <w:r>
        <w:instrText>TA \l "Cal. Bus. &amp; Prof. Code § 17204" \s "California Business and Professions Code Section 17204" \c 2</w:instrText>
      </w:r>
      <w:r>
        <w:fldChar w:fldCharType="separate"/>
      </w:r>
      <w:r>
        <w:fldChar w:fldCharType="end"/>
      </w:r>
      <w:r>
        <w:t xml:space="preserve"> The Court should therefore dispose of the UCL claim at the threshold rather than allowing Global Media to proceed on reputational grievances and conjectural assertions of lost business that the statute does not authorize private parties to litigate.</w:t>
      </w:r>
      <w:bookmarkEnd w:id="19"/>
    </w:p>
    <w:p>
      <w:pPr>
        <w:pStyle w:val="Heading2"/>
      </w:pPr>
      <w:bookmarkStart w:id="21" w:name="X2d1962f080da90cdacdbeab1f28e3b99fadd9fc"/>
      <w:bookmarkStart w:id="22" w:name="_Toc256000011"/>
      <w:r>
        <w:t>The Blog Post is protected quotation and opinion, not actionable libel under § 45</w:t>
      </w:r>
      <w:bookmarkEnd w:id="22"/>
    </w:p>
    <w:p>
      <w:pPr>
        <w:pStyle w:val="FirstParagraph"/>
      </w:pPr>
      <w:r>
        <w:t xml:space="preserve">Cal. Civ. Code § 45 requires a “false and unprivileged publication” that is defamatory in the statutory sense. </w:t>
      </w:r>
      <w:r>
        <w:fldChar w:fldCharType="begin"/>
      </w:r>
      <w:r>
        <w:instrText>TA \l "Cal. Civ. Code § 45" \s "California Civil Code Section 45" \c 2</w:instrText>
      </w:r>
      <w:r>
        <w:fldChar w:fldCharType="separate"/>
      </w:r>
      <w:r>
        <w:fldChar w:fldCharType="end"/>
      </w:r>
      <w:r>
        <w:t xml:space="preserve"> The threshold defect in Global Media’s theory is categorical: the Blog Post, as described in the record, is overwhelmingly the Magazine Article itself (quoted “the heart” of it), followed by Ms. Smith’s brief critical reaction. That structure is not reportage of new facts about Global Media; it is a presentation of Global Media’s own published content and a pointed evaluation of it. Without a specific, provably false factual assertion authored by Ms. Smith “of and concerning” Global Media or its Magazine, § 45 is not satisfied. </w:t>
      </w:r>
      <w:r>
        <w:fldChar w:fldCharType="begin"/>
      </w:r>
      <w:r>
        <w:instrText>TA \l "Baker v. Los Angeles Herald Examiner,     42 Cal. 3d 254 (1986)" \s "Baker v. Los Angeles Herald Examiner, 42 Cal. 3d" \c 1</w:instrText>
      </w:r>
      <w:r>
        <w:fldChar w:fldCharType="separate"/>
      </w:r>
      <w:r>
        <w:fldChar w:fldCharType="end"/>
      </w:r>
    </w:p>
    <w:p>
      <w:pPr>
        <w:pStyle w:val="BodyText"/>
      </w:pPr>
      <w:r>
        <w:t xml:space="preserve">Under </w:t>
      </w:r>
      <w:r>
        <w:rPr>
          <w:i/>
          <w:iCs/>
        </w:rPr>
        <w:t>Baker</w:t>
      </w:r>
      <w:r>
        <w:t xml:space="preserve"> v. </w:t>
      </w:r>
      <w:r>
        <w:rPr>
          <w:i/>
          <w:iCs/>
        </w:rPr>
        <w:t>Los Angeles Herald Examiner</w:t>
      </w:r>
      <w:r>
        <w:t xml:space="preserve">, 42 Cal. 3d 254 (1986), the court’s first task is to separate actionable factual assertions from protected opinion, rhetorical hyperbole, and harsh criticism. </w:t>
      </w:r>
      <w:r>
        <w:fldChar w:fldCharType="begin"/>
      </w:r>
      <w:r>
        <w:instrText>TA \l "Baker v. Los Angeles Herald Examiner,     42 Cal. 3d 254 (1986)" \s "Baker v. Los Angeles Herald Examiner, 42 Cal. 3d" \c 1</w:instrText>
      </w:r>
      <w:r>
        <w:fldChar w:fldCharType="separate"/>
      </w:r>
      <w:r>
        <w:fldChar w:fldCharType="end"/>
      </w:r>
      <w:r>
        <w:t xml:space="preserve"> The record characterizes Ms. Smith’s post-quotation remarks as “criticism,” “short,” and “ruthless”—terms that describe an evaluative judgment about the Magazine Article’s quality or credibility rather than a precise factual representation about Global Media. Criticism that “may have harmed the credibility of the Magazine” is the paradigmatic consequence of nonactionable commentary: it reflects that a reader might be persuaded by a negative assessment, not that Ms. Smith asserted an objectively verifiable fact capable of being proven true or false. See Cal. Civ. Code § 45; </w:t>
      </w:r>
      <w:r>
        <w:fldChar w:fldCharType="begin"/>
      </w:r>
      <w:r>
        <w:instrText>TA \l "Cal. Civ. Code § 45" \s "California Civil Code Section 45" \c 2</w:instrText>
      </w:r>
      <w:r>
        <w:fldChar w:fldCharType="separate"/>
      </w:r>
      <w:r>
        <w:fldChar w:fldCharType="end"/>
      </w:r>
      <w:r>
        <w:t xml:space="preserve"> </w:t>
      </w:r>
      <w:r>
        <w:rPr>
          <w:i/>
          <w:iCs/>
        </w:rPr>
        <w:t>Baker</w:t>
      </w:r>
      <w:r>
        <w:t xml:space="preserve"> v. </w:t>
      </w:r>
      <w:r>
        <w:rPr>
          <w:i/>
          <w:iCs/>
        </w:rPr>
        <w:t>Los Angeles Herald Examiner</w:t>
      </w:r>
      <w:r>
        <w:t xml:space="preserve">, 42 Cal. 3d 254 (1986). </w:t>
      </w:r>
      <w:r>
        <w:fldChar w:fldCharType="begin"/>
      </w:r>
      <w:r>
        <w:instrText>TA \l "Baker v. Los Angeles Herald Examiner,     42 Cal. 3d 254 (1986)" \s "Baker v. Los Angeles Herald Examiner, 42 Cal. 3d" \c 1</w:instrText>
      </w:r>
      <w:r>
        <w:fldChar w:fldCharType="separate"/>
      </w:r>
      <w:r>
        <w:fldChar w:fldCharType="end"/>
      </w:r>
    </w:p>
    <w:p>
      <w:pPr>
        <w:pStyle w:val="BodyText"/>
      </w:pPr>
      <w:r>
        <w:t xml:space="preserve">The Blog Post’s heavy reliance on verbatim quotation further defeats Global Media’s ability to plead (let alone prove) falsity. When the challenged publication “quoted the Magazine Article” and “did not include much content beyond the quoted material,” the most concrete “statements” in the post are the Magazine’s own words. Accurate quotation cannot be “false” as to Ms. Smith because she is not manufacturing facts about Global Media; she is showing readers what the Magazine published. Cal. Civ. Code § 45. </w:t>
      </w:r>
      <w:r>
        <w:fldChar w:fldCharType="begin"/>
      </w:r>
      <w:r>
        <w:instrText>TA \l "Cal. Civ. Code § 45" \s "California Civil Code Section 45" \c 2</w:instrText>
      </w:r>
      <w:r>
        <w:fldChar w:fldCharType="separate"/>
      </w:r>
      <w:r>
        <w:fldChar w:fldCharType="end"/>
      </w:r>
      <w:r>
        <w:t xml:space="preserve"> Global Media’s claim thus collapses into an attempt to relabel an adverse reaction to its own published article as “libel,” even though § 45 targets false factual publications, not the reputational effects of being criticized.</w:t>
      </w:r>
    </w:p>
    <w:p>
      <w:pPr>
        <w:pStyle w:val="BodyText"/>
      </w:pPr>
      <w:r>
        <w:t xml:space="preserve">Nor can Global Media salvage its claim through an “implied fact” or “defamation by implication” framing. </w:t>
      </w:r>
      <w:r>
        <w:rPr>
          <w:i/>
          <w:iCs/>
        </w:rPr>
        <w:t>Baker</w:t>
      </w:r>
      <w:r>
        <w:t xml:space="preserve"> v. </w:t>
      </w:r>
      <w:r>
        <w:rPr>
          <w:i/>
          <w:iCs/>
        </w:rPr>
        <w:t>Los Angeles Herald Examiner</w:t>
      </w:r>
      <w:r>
        <w:t xml:space="preserve">, 42 Cal. 3d 254 (1986), recognizes the crucial distinction between an opinion that implies undisclosed defamatory facts and an opinion that is tethered to disclosed material allowing readers to draw their own conclusions. </w:t>
      </w:r>
      <w:r>
        <w:fldChar w:fldCharType="begin"/>
      </w:r>
      <w:r>
        <w:instrText>TA \l "Baker v. Los Angeles Herald Examiner,     42 Cal. 3d 254 (1986)" \s "Baker v. Los Angeles Herald Examiner, 42 Cal. 3d" \c 1</w:instrText>
      </w:r>
      <w:r>
        <w:fldChar w:fldCharType="separate"/>
      </w:r>
      <w:r>
        <w:fldChar w:fldCharType="end"/>
      </w:r>
      <w:r>
        <w:t xml:space="preserve"> Here, the record provides that Ms. Smith “quoted the heart of” the Magazine Article and then criticized it. That is the opposite of implying undisclosed facts; it discloses the very material on which her criticism is based. When the factual basis is placed before the audience, the audience is invited to evaluate the Magazine Article directly, which strongly signals to a reasonable reader that the ensuing criticism is Ms. Smith’s judgment about what has been disclosed, not a covert assertion of additional hidden misconduct by Global Media.</w:t>
      </w:r>
    </w:p>
    <w:p>
      <w:pPr>
        <w:pStyle w:val="BodyText"/>
      </w:pPr>
      <w:r>
        <w:t xml:space="preserve">Global Media’s asserted harm theories do not supply the missing element of a false statement of fact. Global Media “maintains that the Blog has cost the Magazine business,” and further “maintains that Ms. Smith benefited by seeing increased voluntary contributions to her Blog.” Even if accepted as true, those allegations address motive and damages theories, not falsity. Cal. Civ. Code § 45 requires that the publication itself contain a false factual statement; reputational or economic impact—especially impact flowing from readers reacting to accurate quotations and criticism—does not transform opinion into fact or create a falsehood where none exists. </w:t>
      </w:r>
      <w:r>
        <w:fldChar w:fldCharType="begin"/>
      </w:r>
      <w:r>
        <w:instrText>TA \l "Cal. Civ. Code § 45" \s "California Civil Code Section 45" \c 2</w:instrText>
      </w:r>
      <w:r>
        <w:fldChar w:fldCharType="separate"/>
      </w:r>
      <w:r>
        <w:fldChar w:fldCharType="end"/>
      </w:r>
    </w:p>
    <w:p>
      <w:pPr>
        <w:pStyle w:val="BodyText"/>
      </w:pPr>
      <w:r>
        <w:t xml:space="preserve">Finally, § 45’s “unprivileged” requirement underscores the same core point: because Global Media cannot identify a false factual statement in the first place, the Court need not reach privilege. But even at the pleading stage, Global Media bears the burden to pinpoint what in Ms. Smith’s Blog Post is a specific statement of fact (not merely criticism), why it is false, and how it is “of and concerning” Global Media as opposed to a reaction to the Magazine Article. See Cal. Civ. Code § 45 </w:t>
      </w:r>
      <w:r>
        <w:fldChar w:fldCharType="begin"/>
      </w:r>
      <w:r>
        <w:instrText>TA \l "Cal. Civ. Code § 45" \s "California Civil Code Section 45" \c 2</w:instrText>
      </w:r>
      <w:r>
        <w:fldChar w:fldCharType="separate"/>
      </w:r>
      <w:r>
        <w:fldChar w:fldCharType="end"/>
      </w:r>
      <w:r>
        <w:t xml:space="preserve">; </w:t>
      </w:r>
      <w:r>
        <w:rPr>
          <w:i/>
          <w:iCs/>
        </w:rPr>
        <w:t>Baker</w:t>
      </w:r>
      <w:r>
        <w:t xml:space="preserve"> v. </w:t>
      </w:r>
      <w:r>
        <w:rPr>
          <w:i/>
          <w:iCs/>
        </w:rPr>
        <w:t>Los Angeles Herald Examiner</w:t>
      </w:r>
      <w:r>
        <w:t xml:space="preserve">, 42 Cal. 3d 254 (1986) </w:t>
      </w:r>
      <w:r>
        <w:fldChar w:fldCharType="begin"/>
      </w:r>
      <w:r>
        <w:instrText>TA \l "Baker v. Los Angeles Herald Examiner,     42 Cal. 3d 254 (1986)" \s "Baker v. Los Angeles Herald Examiner, 42 Cal. 3d" \c 1</w:instrText>
      </w:r>
      <w:r>
        <w:fldChar w:fldCharType="separate"/>
      </w:r>
      <w:r>
        <w:fldChar w:fldCharType="end"/>
      </w:r>
      <w:r>
        <w:t xml:space="preserve"> On this closed record—verbatim quotation plus short, ruthless criticism—Global Media cannot meet that burden, and the Blog Post therefore falls outside § 45 as a matter of law.</w:t>
      </w:r>
      <w:bookmarkEnd w:id="21"/>
    </w:p>
    <w:p>
      <w:pPr>
        <w:pStyle w:val="Heading2"/>
      </w:pPr>
      <w:bookmarkStart w:id="23" w:name="_Toc256000012"/>
      <w:r>
        <w:t>Any reputational harm is not libel on its face and requires special damages</w:t>
      </w:r>
      <w:bookmarkEnd w:id="23"/>
    </w:p>
    <w:p>
      <w:pPr>
        <w:pStyle w:val="FirstParagraph"/>
      </w:pPr>
      <w:r>
        <w:t xml:space="preserve">California law draws a critical line between a publication that is defamatory “on its face” and one that becomes defamatory only by adding extrinsic facts or inference. Cal. Civ. Code § 45a. </w:t>
      </w:r>
      <w:r>
        <w:fldChar w:fldCharType="begin"/>
      </w:r>
      <w:r>
        <w:instrText>TA \l "Cal. Civ. Code § 45a" \s "California Civil Code Section 45a" \c 2</w:instrText>
      </w:r>
      <w:r>
        <w:fldChar w:fldCharType="separate"/>
      </w:r>
      <w:r>
        <w:fldChar w:fldCharType="end"/>
      </w:r>
      <w:r>
        <w:t xml:space="preserve"> That threshold matters because only libel “on its face” permits reputational harm to be presumed; when the alleged defamatory sting is not apparent from the publication itself, the plaintiff must prove special damages. Id. </w:t>
      </w:r>
      <w:r>
        <w:fldChar w:fldCharType="begin"/>
      </w:r>
      <w:r>
        <w:instrText>TA \l "Cal. Civ. Code § 45a" \s "California Civil Code Section 45a" \c 2</w:instrText>
      </w:r>
      <w:r>
        <w:fldChar w:fldCharType="separate"/>
      </w:r>
      <w:r>
        <w:fldChar w:fldCharType="end"/>
      </w:r>
      <w:r>
        <w:t xml:space="preserve"> Global Media’s theory—that Ms. Smith’s brief criticism “may have harmed the credibility of the Magazine” and “cost the Magazine business”—depends on precisely the kind of inferential chain § 45a is designed to police.</w:t>
      </w:r>
    </w:p>
    <w:p>
      <w:pPr>
        <w:pStyle w:val="BodyText"/>
      </w:pPr>
      <w:r>
        <w:t xml:space="preserve">The Blog Post largely consists of a quotation of the Magazine Article, followed by criticism that was “short relative” to the quoted portion and described as “ruthless.” Nothing in the Fact Pattern indicates the criticism itself states any concrete, verifiable factual accusation about Global Media or the Magazine—such as criminal conduct, fraud, or specific professional misconduct—that would, by its own terms, tend to injure the Magazine in its business or expose it to hatred, contempt, or ridicule within the meaning of Cal. Civ. Code § 45. </w:t>
      </w:r>
      <w:r>
        <w:fldChar w:fldCharType="begin"/>
      </w:r>
      <w:r>
        <w:instrText>TA \l "Cal. Civ. Code § 45" \s "California Civil Code Section 45" \c 2</w:instrText>
      </w:r>
      <w:r>
        <w:fldChar w:fldCharType="separate"/>
      </w:r>
      <w:r>
        <w:fldChar w:fldCharType="end"/>
      </w:r>
      <w:r>
        <w:t xml:space="preserve"> At most, the Blog Post is a sharp negative assessment of the Magazine Article, and any asserted reputational impact necessarily depends on reader reaction and additional, unstated assumptions about how criticism translates into “lost business.”</w:t>
      </w:r>
    </w:p>
    <w:p>
      <w:pPr>
        <w:pStyle w:val="BodyText"/>
      </w:pPr>
      <w:r>
        <w:t xml:space="preserve">Because the alleged harm here arises only if the reader (1) treats a short critique as a definitive factual condemnation of the Magazine’s credibility and then (2) translates that perceived credibility hit into a business injury, the supposed defamatory meaning is not facial. That is the hallmark of “libel not on its face” under Cal. Civ. Code § 45a </w:t>
      </w:r>
      <w:r>
        <w:fldChar w:fldCharType="begin"/>
      </w:r>
      <w:r>
        <w:instrText>TA \l "Cal. Civ. Code § 45a" \s "California Civil Code Section 45a" \c 2</w:instrText>
      </w:r>
      <w:r>
        <w:fldChar w:fldCharType="separate"/>
      </w:r>
      <w:r>
        <w:fldChar w:fldCharType="end"/>
      </w:r>
      <w:r>
        <w:t>: the claimed injury is not apparent from the face of the publication but requires extrinsic context and speculative inference to supply the “sting.” Global Media cannot bypass § 45a by relabeling a subjective “ruthless” critique as an inherent statement of fact; the record supplies no factual content beyond the quotation and brief criticism that would make business-injuring defamation apparent on the face of the Blog Post.</w:t>
      </w:r>
    </w:p>
    <w:p>
      <w:pPr>
        <w:pStyle w:val="BodyText"/>
      </w:pPr>
      <w:r>
        <w:t xml:space="preserve">Once § 45a applies, Global Media’s burden is not satisfied by alleging that the Blog Post “may have harmed” credibility or “cost the Magazine business.” Cal. Civ. Code § 45a. </w:t>
      </w:r>
      <w:r>
        <w:fldChar w:fldCharType="begin"/>
      </w:r>
      <w:r>
        <w:instrText>TA \l "Cal. Civ. Code § 45a" \s "California Civil Code Section 45a" \c 2</w:instrText>
      </w:r>
      <w:r>
        <w:fldChar w:fldCharType="separate"/>
      </w:r>
      <w:r>
        <w:fldChar w:fldCharType="end"/>
      </w:r>
      <w:r>
        <w:t xml:space="preserve"> Special damages require specific, measurable pecuniary loss—identified lost subscribers, lost contracts, lost sales, or other itemized revenue reduction—tied to the challenged publication by a non-speculative causal link. Id. </w:t>
      </w:r>
      <w:r>
        <w:fldChar w:fldCharType="begin"/>
      </w:r>
      <w:r>
        <w:instrText>TA \l "Cal. Civ. Code § 45a" \s "California Civil Code Section 45a" \c 2</w:instrText>
      </w:r>
      <w:r>
        <w:fldChar w:fldCharType="separate"/>
      </w:r>
      <w:r>
        <w:fldChar w:fldCharType="end"/>
      </w:r>
      <w:r>
        <w:t xml:space="preserve"> A generalized assertion of reputational harm or decreased “business” is not a substitute for concrete, quantifiable loss; it is exactly the type of presumed-damages theory that § 45a forecloses when the words are not defamatory on their face. </w:t>
      </w:r>
      <w:r>
        <w:fldChar w:fldCharType="begin"/>
      </w:r>
      <w:r>
        <w:instrText>TA \l "Cal. Civ. Code § 45a" \s "California Civil Code Section 45a" \c 2</w:instrText>
      </w:r>
      <w:r>
        <w:fldChar w:fldCharType="separate"/>
      </w:r>
      <w:r>
        <w:fldChar w:fldCharType="end"/>
      </w:r>
    </w:p>
    <w:p>
      <w:pPr>
        <w:pStyle w:val="BodyText"/>
      </w:pPr>
      <w:r>
        <w:t xml:space="preserve">Global Media’s allegations, as framed in the Fact Pattern, fall well short of § 45a. </w:t>
      </w:r>
      <w:r>
        <w:fldChar w:fldCharType="begin"/>
      </w:r>
      <w:r>
        <w:instrText>TA \l "Cal. Civ. Code § 45a" \s "California Civil Code Section 45a" \c 2</w:instrText>
      </w:r>
      <w:r>
        <w:fldChar w:fldCharType="separate"/>
      </w:r>
      <w:r>
        <w:fldChar w:fldCharType="end"/>
      </w:r>
      <w:r>
        <w:t xml:space="preserve"> The statement that the Blog “has cost the Magazine business” does not identify what business was lost, in what amount, from which customers or counterparties, or how those losses are attributable to the Blog Post’s brief criticism rather than to other causes. Cal. Civ. Code § 45a. </w:t>
      </w:r>
      <w:r>
        <w:fldChar w:fldCharType="begin"/>
      </w:r>
      <w:r>
        <w:instrText>TA \l "Cal. Civ. Code § 45a" \s "California Civil Code Section 45a" \c 2</w:instrText>
      </w:r>
      <w:r>
        <w:fldChar w:fldCharType="separate"/>
      </w:r>
      <w:r>
        <w:fldChar w:fldCharType="end"/>
      </w:r>
      <w:r>
        <w:t xml:space="preserve"> Without any itemization or causal particulars, Global Media’s damages theory is conclusory and speculative, and it cannot carry the heightened burden § 45a imposes for publications that are not defamatory on their face. </w:t>
      </w:r>
      <w:r>
        <w:fldChar w:fldCharType="begin"/>
      </w:r>
      <w:r>
        <w:instrText>TA \l "Cal. Civ. Code § 45a" \s "California Civil Code Section 45a" \c 2</w:instrText>
      </w:r>
      <w:r>
        <w:fldChar w:fldCharType="separate"/>
      </w:r>
      <w:r>
        <w:fldChar w:fldCharType="end"/>
      </w:r>
    </w:p>
    <w:p>
      <w:pPr>
        <w:pStyle w:val="BodyText"/>
      </w:pPr>
      <w:r>
        <w:t xml:space="preserve">Nor can Global Media evade § 45a by pointing to Ms. Smith’s alleged “increased voluntary contributions to her Blog.” Even accepting that allegation, it does not establish Global Media’s special damages, because § 45a requires proof of the plaintiff’s own specific pecuniary losses proximately caused by the publication—not evidence that the speaker gained support. Cal. Civ. Code § 45a. </w:t>
      </w:r>
      <w:r>
        <w:fldChar w:fldCharType="begin"/>
      </w:r>
      <w:r>
        <w:instrText>TA \l "Cal. Civ. Code § 45a" \s "California Civil Code Section 45a" \c 2</w:instrText>
      </w:r>
      <w:r>
        <w:fldChar w:fldCharType="separate"/>
      </w:r>
      <w:r>
        <w:fldChar w:fldCharType="end"/>
      </w:r>
      <w:r>
        <w:t xml:space="preserve"> The Blog’s lack of advertisers further underscores the mismatch between Global Media’s generalized business-loss claim and the statute’s demand for concrete, plaintiff-specific economic injury.</w:t>
      </w:r>
    </w:p>
    <w:p>
      <w:pPr>
        <w:pStyle w:val="BodyText"/>
      </w:pPr>
      <w:r>
        <w:t xml:space="preserve">Constitutional limits reinforce the same conclusion: courts are especially wary of permitting defamation damages untethered to demonstrable loss where the asserted harm flows from commentary and reputational inference. See </w:t>
      </w:r>
      <w:r>
        <w:rPr>
          <w:i/>
          <w:iCs/>
        </w:rPr>
        <w:t>Gertz</w:t>
      </w:r>
      <w:r>
        <w:t xml:space="preserve"> v. </w:t>
      </w:r>
      <w:r>
        <w:rPr>
          <w:i/>
          <w:iCs/>
        </w:rPr>
        <w:t>Robert Welch, Inc.</w:t>
      </w:r>
      <w:r>
        <w:t xml:space="preserve">, 418 U.S. 323 (1974). </w:t>
      </w:r>
      <w:r>
        <w:fldChar w:fldCharType="begin"/>
      </w:r>
      <w:r>
        <w:instrText>TA \l "Gertz v. Robert Welch, Inc.,     418 U.S. 323 (1974)" \s "Gertz v. Robert Welch, Inc., 418 U.S." \c 1</w:instrText>
      </w:r>
      <w:r>
        <w:fldChar w:fldCharType="separate"/>
      </w:r>
      <w:r>
        <w:fldChar w:fldCharType="end"/>
      </w:r>
      <w:r>
        <w:t xml:space="preserve"> Here, Global Media seeks to convert a short, harsh critique appended to a quotation into presumed reputational and business damages without identifying any concrete economic injury. Section 45a bars that approach as a matter of California law, and the caution reflected in </w:t>
      </w:r>
      <w:r>
        <w:rPr>
          <w:i/>
          <w:iCs/>
        </w:rPr>
        <w:t>Gertz</w:t>
      </w:r>
      <w:r>
        <w:t xml:space="preserve"> v. </w:t>
      </w:r>
      <w:r>
        <w:rPr>
          <w:i/>
          <w:iCs/>
        </w:rPr>
        <w:t>Robert Welch, Inc.</w:t>
      </w:r>
      <w:r>
        <w:t xml:space="preserve">, 418 U.S. 323 (1974), confirms why the Court should require strict compliance with the special-damages requirement. </w:t>
      </w:r>
      <w:r>
        <w:fldChar w:fldCharType="begin"/>
      </w:r>
      <w:r>
        <w:instrText>TA \l "Gertz v. Robert Welch, Inc.,     418 U.S. 323 (1974)" \s "Gertz v. Robert Welch, Inc., 418 U.S." \c 1</w:instrText>
      </w:r>
      <w:r>
        <w:fldChar w:fldCharType="separate"/>
      </w:r>
      <w:r>
        <w:fldChar w:fldCharType="end"/>
      </w:r>
    </w:p>
    <w:p>
      <w:pPr>
        <w:pStyle w:val="BodyText"/>
      </w:pPr>
      <w:r>
        <w:t xml:space="preserve">In sum, even assuming Global Media can satisfy the baseline concept of defamation under Cal. Civ. Code § 44 and can contend the Blog Post is “libel” in a fixed medium, the dispositive point is that any alleged reputational injury from Ms. Smith’s brief criticism is not defamatory on its face. </w:t>
      </w:r>
      <w:r>
        <w:fldChar w:fldCharType="begin"/>
      </w:r>
      <w:r>
        <w:instrText>TA \l "Cal. Civ. Code § 45" \s "California Civil Code Section 45" \c 2</w:instrText>
      </w:r>
      <w:r>
        <w:fldChar w:fldCharType="separate"/>
      </w:r>
      <w:r>
        <w:fldChar w:fldCharType="end"/>
      </w:r>
      <w:r>
        <w:t xml:space="preserve"> Global Media therefore must prove special damages with specificity and a non-speculative causal link—something its bare assertion that the Blog Post “cost the Magazine business” does not and cannot do under § 45a. </w:t>
      </w:r>
      <w:r>
        <w:fldChar w:fldCharType="begin"/>
      </w:r>
      <w:r>
        <w:instrText>TA \l "Cal. Civ. Code § 45a" \s "California Civil Code Section 45a" \c 2</w:instrText>
      </w:r>
      <w:r>
        <w:fldChar w:fldCharType="separate"/>
      </w:r>
      <w:r>
        <w:fldChar w:fldCharType="end"/>
      </w:r>
    </w:p>
    <w:p>
      <w:bookmarkStart w:id="24" w:name="argument"/>
      <w:bookmarkStart w:id="25" w:name="X1ea1518aa8b29ea37be9add3bb4af16a70be4a8"/>
      <w:bookmarkEnd w:id="24"/>
      <w:bookmarkEnd w:id="25"/>
      <w:r>
        <w:br w:type="page"/>
      </w:r>
    </w:p>
    <w:p>
      <w:pPr>
        <w:pStyle w:val="Heading1"/>
      </w:pPr>
      <w:bookmarkStart w:id="26" w:name="_Toc256000013"/>
      <w:r>
        <w:t>Conclusion</w:t>
      </w:r>
      <w:bookmarkEnd w:id="26"/>
    </w:p>
    <w:p>
      <w:pPr>
        <w:pStyle w:val="FirstParagraph"/>
      </w:pPr>
      <w:r>
        <w:t>For the foregoing reasons, Ms. Smith respectfully requests that the Court enter judgment in favor of Ms. Smith and against Global Media on all claims.</w:t>
      </w:r>
    </w:p>
    <w:p>
      <w:pPr>
        <w:spacing w:before="240" w:after="240"/>
      </w:pP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Pr>
          <w:p>
            <w:pPr>
              <w:widowControl w:val="0"/>
              <w:spacing w:before="240" w:after="200"/>
              <w:ind w:left="0" w:firstLine="0"/>
            </w:pPr>
            <w:r>
              <w:t>Dated: [DATE]</w:t>
            </w:r>
          </w:p>
        </w:tc>
        <w:tc>
          <w:tcPr>
            <w:tcW w:w="4679" w:type="dxa"/>
          </w:tcPr>
          <w:p>
            <w:pPr>
              <w:widowControl w:val="0"/>
              <w:spacing w:before="0" w:after="240" w:line="240" w:lineRule="auto"/>
              <w:ind w:left="0" w:firstLine="0"/>
            </w:pPr>
            <w:r>
              <w:t>Respectfully submitted,</w:t>
            </w:r>
          </w:p>
          <w:p>
            <w:pPr>
              <w:widowControl w:val="0"/>
              <w:spacing w:before="480" w:after="0" w:line="240" w:lineRule="auto"/>
              <w:ind w:left="0" w:firstLine="0"/>
            </w:pPr>
            <w:r>
              <w:t>____________________________</w:t>
            </w:r>
          </w:p>
          <w:p>
            <w:pPr>
              <w:widowControl w:val="0"/>
              <w:spacing w:before="120" w:after="0" w:line="240" w:lineRule="auto"/>
              <w:ind w:left="0" w:firstLine="0"/>
            </w:pPr>
            <w:r>
              <w:t>[ATTORNEY NAME]</w:t>
            </w:r>
          </w:p>
          <w:p>
            <w:pPr>
              <w:widowControl w:val="0"/>
              <w:spacing w:before="0" w:after="0" w:line="240" w:lineRule="auto"/>
              <w:ind w:left="0" w:firstLine="0"/>
            </w:pPr>
            <w:r>
              <w:t>Attorney for Defendant</w:t>
            </w:r>
          </w:p>
        </w:tc>
      </w:tr>
    </w:tbl>
    <w:p>
      <w:bookmarkStart w:id="27" w:name="conclusion"/>
      <w:bookmarkEnd w:id="27"/>
      <w:r>
        <w:br w:type="page"/>
      </w:r>
    </w:p>
    <w:p>
      <w:pPr>
        <w:pStyle w:val="Heading1"/>
      </w:pPr>
      <w:bookmarkStart w:id="28" w:name="_Toc256000014"/>
      <w:r>
        <w:t>Certificate of Compliance</w:t>
      </w:r>
      <w:bookmarkEnd w:id="28"/>
    </w:p>
    <w:p>
      <w:pPr>
        <w:pStyle w:val="centeredstyle"/>
      </w:pPr>
      <w:r>
        <w:t>CERTIFICATE OF COMPLIANCE WITH [COURT_RULES]</w:t>
      </w:r>
    </w:p>
    <w:p>
      <w:pPr>
        <w:pStyle w:val="BodyText"/>
      </w:pPr>
      <w:r>
        <w:t>I, [YOUR_NAME], counsel for the Defendant, hereby certify that, according to the word-count tool in Microsoft Word, the Brief of Defendant consists of 6965 words, excluding footnotes. The Brief therefore complies with [COURT_RULES] and is within the [WORD_LIMIT] word limit.</w:t>
      </w:r>
    </w:p>
    <w:p>
      <w:pPr>
        <w:pStyle w:val="BodyText"/>
      </w:pPr>
      <w:r>
        <w:t>Dated 31 of March, 2026.</w:t>
      </w:r>
    </w:p>
    <w:p>
      <w:r>
        <mc:AlternateContent>
          <mc:Choice Requires="wps">
            <w:drawing>
              <wp:inline distT="0" distB="0" distL="0" distR="0">
                <wp:extent cx="5943600" cy="19050"/>
                <wp:effectExtent l="0" t="0" r="0" b="0"/>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5" style="width:467.95pt;height:1.45pt;margin-top:0;margin-left:0;mso-position-horizontal:center;mso-position-vertical:top;mso-wrap-style:none;position:absolute;v-text-anchor:middle;z-index:251658240"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6" style="width:467.95pt;height:1.45pt;margin-top:0;margin-left:0;mso-position-horizontal:center;mso-position-vertical:top;mso-wrap-style:none;position:absolute;v-text-anchor:middle;z-index:251659264"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p>
    <w:p>
      <w:bookmarkStart w:id="29" w:name="certificate-of-compliance"/>
      <w:bookmarkEnd w:id="29"/>
      <w:r>
        <w:br w:type="page"/>
      </w:r>
    </w:p>
    <w:p>
      <w:pPr>
        <w:pStyle w:val="Heading1"/>
      </w:pPr>
      <w:bookmarkStart w:id="30" w:name="certificate-of-service"/>
      <w:bookmarkStart w:id="31" w:name="_Toc256000015"/>
      <w:r>
        <w:t>Certificate of Service</w:t>
      </w:r>
      <w:bookmarkEnd w:id="31"/>
    </w:p>
    <w:p>
      <w:pPr>
        <w:pStyle w:val="centeredstyle"/>
      </w:pPr>
      <w:r>
        <w:t>NO. [CASE_NUMBER]</w:t>
      </w:r>
    </w:p>
    <w:p>
      <w:pPr>
        <w:pStyle w:val="centeredstyle"/>
      </w:pPr>
      <w:r>
        <w:t>IN THE UNITED STATES DISTRICT COURT [________] DISTRICT OF CALIFORNIA</w:t>
      </w:r>
    </w:p>
    <w:p>
      <w:r>
        <mc:AlternateContent>
          <mc:Choice Requires="wps">
            <w:drawing>
              <wp:inline distT="0" distB="0" distL="0" distR="0">
                <wp:extent cx="5943600" cy="19050"/>
                <wp:effectExtent l="0" t="0" r="0" b="0"/>
                <wp:docPr id="3"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7" style="width:467.95pt;height:1.45pt;margin-top:0;margin-left:0;mso-position-horizontal:center;mso-position-vertical:top;mso-wrap-style:none;position:absolute;v-text-anchor:middle;z-index:251660288" o:allowincell="f" fillcolor="white" stroked="t" strokecolor="black">
                <v:fill color2="black" type="solid" o:detectmouseclick="t"/>
                <v:stroke joinstyle="round" endcap="flat"/>
                <w10:wrap type="topAndBottom"/>
              </v:rect>
            </w:pict>
          </mc:Fallback>
        </mc:AlternateContent>
      </w:r>
    </w:p>
    <w:p>
      <w:pPr>
        <w:pStyle w:val="centeredstyle"/>
      </w:pPr>
      <w:r>
        <w:t>GLOBAL MEDIA, INC.</w:t>
      </w:r>
    </w:p>
    <w:p>
      <w:pPr>
        <w:pStyle w:val="centeredstyle"/>
      </w:pPr>
      <w:r>
        <w:t>v.</w:t>
      </w:r>
    </w:p>
    <w:p>
      <w:pPr>
        <w:pStyle w:val="centeredstyle"/>
      </w:pPr>
      <w:r>
        <w:t>JANE SMITH</w:t>
      </w:r>
    </w:p>
    <w:p>
      <w:r>
        <mc:AlternateContent>
          <mc:Choice Requires="wps">
            <w:drawing>
              <wp:inline distT="0" distB="0" distL="0" distR="0">
                <wp:extent cx="5943600" cy="19050"/>
                <wp:effectExtent l="0" t="0" r="0" b="0"/>
                <wp:docPr id="4"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8" style="width:467.95pt;height:1.45pt;margin-top:0;margin-left:0;mso-position-horizontal:center;mso-position-vertical:top;mso-wrap-style:none;position:absolute;v-text-anchor:middle;z-index:251661312" o:allowincell="f" fillcolor="white" stroked="t" strokecolor="black">
                <v:fill color2="black" type="solid" o:detectmouseclick="t"/>
                <v:stroke joinstyle="round" endcap="flat"/>
                <w10:wrap type="topAndBottom"/>
              </v:rect>
            </w:pict>
          </mc:Fallback>
        </mc:AlternateContent>
      </w:r>
    </w:p>
    <w:p>
      <w:pPr>
        <w:pStyle w:val="centeredstyle"/>
      </w:pPr>
      <w:r>
        <w:t>CERTIFICATE OF SERVICE</w:t>
      </w:r>
    </w:p>
    <w:p>
      <w:pPr>
        <w:pStyle w:val="BodyText"/>
      </w:pPr>
      <w:r>
        <w:t>This is to certify that I am counsel for the Defendant in the above-captioned case. On Tuesday, March 31, 2026, I served a copy of the foregoing brief: ‘Legal Brief’ by [METHOD_OF_SERVICE] on the following parties:</w:t>
      </w:r>
    </w:p>
    <w:p>
      <w:pPr>
        <w:pStyle w:val="BodyText"/>
      </w:pPr>
      <w:r>
        <w:t>Dated 31 of March, 2026.</w:t>
      </w:r>
    </w:p>
    <w:p>
      <w:r>
        <mc:AlternateContent>
          <mc:Choice Requires="wps">
            <w:drawing>
              <wp:inline distT="0" distB="0" distL="0" distR="0">
                <wp:extent cx="5943600" cy="19050"/>
                <wp:effectExtent l="0" t="0" r="0" b="0"/>
                <wp:docPr id="5"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9" style="width:467.95pt;height:1.45pt;margin-top:0;margin-left:0;mso-position-horizontal:center;mso-position-vertical:top;mso-wrap-style:none;position:absolute;v-text-anchor:middle;z-index:251662336"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6"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30" style="width:467.95pt;height:1.45pt;margin-top:0;margin-left:0;mso-position-horizontal:center;mso-position-vertical:top;mso-wrap-style:none;position:absolute;v-text-anchor:middle;z-index:251663360"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bookmarkEnd w:id="30"/>
    </w:p>
    <w:sectPr>
      <w:footerReference w:type="even" r:id="rId4"/>
      <w:footerReference w:type="default" r:id="rId5"/>
      <w:type w:val="nextPage"/>
      <w:pgSz w:w="12240" w:h="15840"/>
      <w:pgMar w:top="1440" w:right="1440" w:bottom="1440" w:left="1440" w:header="0" w:footer="720" w:gutter="0"/>
      <w:pgNumType w:fmt="decimal"/>
      <w:cols w:space="720"/>
      <w:formProt w:val="0"/>
      <w:titlePg/>
      <w:textDirection w:val="lrTb"/>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0"/>
    <w:family w:val="roman"/>
    <w:pitch w:val="variable"/>
  </w:font>
  <w:font w:name="Franklin Gothic Book">
    <w:charset w:val="00"/>
    <w:family w:val="roman"/>
    <w:pitch w:val="variable"/>
  </w:font>
  <w:font w:name="Constantia">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77843593"/>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303532294"/>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sdtContent>
  </w:sdt>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2E892C"/>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629986D"/>
    <w:multiLevelType w:val="hybridMultilevel"/>
    <w:tmpl w:val="000000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85A2E7B"/>
    <w:multiLevelType w:val="hybridMultilevel"/>
    <w:tmpl w:val="00000000"/>
    <w:lvl w:ilvl="0">
      <w:start w:val="1"/>
      <w:numFmt w:val="upperRoman"/>
      <w:lvlText w:val="%1."/>
      <w:lvlJc w:val="left"/>
      <w:pPr>
        <w:tabs>
          <w:tab w:val="num" w:pos="0"/>
        </w:tabs>
        <w:ind w:left="0" w:firstLine="0"/>
      </w:pPr>
    </w:lvl>
    <w:lvl w:ilvl="1">
      <w:start w:val="1"/>
      <w:numFmt w:val="upperRoman"/>
      <w:pStyle w:val="Heading2"/>
      <w:lvlText w:val="%2."/>
      <w:lvlJc w:val="left"/>
      <w:pPr>
        <w:tabs>
          <w:tab w:val="num" w:pos="0"/>
        </w:tabs>
        <w:ind w:left="720" w:hanging="720"/>
      </w:pPr>
    </w:lvl>
    <w:lvl w:ilvl="2">
      <w:start w:val="1"/>
      <w:numFmt w:val="upperLetter"/>
      <w:pStyle w:val="Heading3"/>
      <w:suff w:val="space"/>
      <w:lvlText w:val="%3."/>
      <w:lvlJc w:val="left"/>
      <w:pPr>
        <w:tabs>
          <w:tab w:val="num" w:pos="0"/>
        </w:tabs>
        <w:ind w:left="1440" w:hanging="72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abstractNum w:abstractNumId="3">
    <w:nsid w:val="2DA7131B"/>
    <w:multiLevelType w:val="hybridMultilevel"/>
    <w:tmpl w:val="0000000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47C3B715"/>
    <w:multiLevelType w:val="hybridMultilevel"/>
    <w:tmpl w:val="0000000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4C1A3868"/>
    <w:multiLevelType w:val="hybridMultilevel"/>
    <w:tmpl w:val="00000000"/>
    <w:lvl w:ilvl="0">
      <w:start w:va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nsid w:val="5095558B"/>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630BF791"/>
    <w:multiLevelType w:val="hybridMultilevel"/>
    <w:tmpl w:val="0000000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nsid w:val="72426A55"/>
    <w:multiLevelType w:val="hybridMultilevel"/>
    <w:tmpl w:val="0000000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76A73D65"/>
    <w:multiLevelType w:val="hybridMultilevel"/>
    <w:tmpl w:val="00000000"/>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4"/>
  </w:num>
  <w:num w:numId="3">
    <w:abstractNumId w:val="0"/>
  </w:num>
  <w:num w:numId="4">
    <w:abstractNumId w:val="3"/>
  </w:num>
  <w:num w:numId="5">
    <w:abstractNumId w:val="8"/>
  </w:num>
  <w:num w:numId="6">
    <w:abstractNumId w:val="9"/>
  </w:num>
  <w:num w:numId="7">
    <w:abstractNumId w:val="1"/>
  </w:num>
  <w:num w:numId="8">
    <w:abstractNumId w:val="6"/>
  </w:num>
  <w:num w:numId="9">
    <w:abstractNumId w:val="7"/>
  </w:num>
  <w:num w:numId="10">
    <w:abstractNumId w:val="5"/>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toc 1" w:uiPriority="39"/>
    <w:lsdException w:name="toc 2" w:uiPriority="39"/>
    <w:lsdException w:name="toc 3" w:uiPriority="39"/>
    <w:lsdException w:name="table of authorities" w:uiPriority="99"/>
    <w:lsdException w:name="toa heading"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9F"/>
    <w:pPr>
      <w:widowControl/>
      <w:bidi w:val="0"/>
      <w:spacing w:before="0" w:after="200"/>
      <w:jc w:val="left"/>
    </w:pPr>
    <w:rPr>
      <w:rFonts w:ascii="Constantia" w:hAnsi="Constantia" w:eastAsiaTheme="minorHAnsi" w:cstheme="minorBidi"/>
      <w:color w:val="auto"/>
      <w:kern w:val="0"/>
      <w:sz w:val="24"/>
      <w:szCs w:val="24"/>
      <w:lang w:val="en-US" w:eastAsia="en-US" w:bidi="ar-SA"/>
    </w:rPr>
  </w:style>
  <w:style w:type="paragraph" w:styleId="Heading1">
    <w:name w:val="heading 1"/>
    <w:basedOn w:val="Normal"/>
    <w:next w:val="BodyText"/>
    <w:uiPriority w:val="9"/>
    <w:qFormat/>
    <w:rsid w:val="0067625C"/>
    <w:pPr>
      <w:keepNext/>
      <w:keepLines/>
      <w:spacing w:before="480" w:after="240"/>
      <w:jc w:val="center"/>
      <w:outlineLvl w:val="0"/>
    </w:pPr>
    <w:rPr>
      <w:rFonts w:asciiTheme="majorHAnsi" w:eastAsiaTheme="majorEastAsia" w:hAnsiTheme="majorHAnsi" w:cs="Times New Roman (Headings CS)"/>
      <w:b/>
      <w:bCs/>
      <w:caps/>
      <w:sz w:val="32"/>
      <w:szCs w:val="32"/>
      <w:u w:val="single"/>
    </w:rPr>
  </w:style>
  <w:style w:type="paragraph" w:styleId="Heading2">
    <w:name w:val="heading 2"/>
    <w:basedOn w:val="Normal"/>
    <w:next w:val="BodyText"/>
    <w:uiPriority w:val="9"/>
    <w:unhideWhenUsed/>
    <w:qFormat/>
    <w:rsid w:val="00F6070A"/>
    <w:pPr>
      <w:keepNext/>
      <w:keepLines/>
      <w:numPr>
        <w:ilvl w:val="1"/>
        <w:numId w:val="1"/>
      </w:numPr>
      <w:spacing w:before="200" w:after="200"/>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D01E7"/>
    <w:pPr>
      <w:numPr>
        <w:ilvl w:val="2"/>
        <w:numId w:val="1"/>
      </w:numPr>
      <w:ind w:left="1080" w:hanging="360"/>
      <w:outlineLvl w:val="2"/>
    </w:pPr>
  </w:style>
  <w:style w:type="paragraph" w:styleId="Heading4">
    <w:name w:val="heading 4"/>
    <w:basedOn w:val="Normal"/>
    <w:next w:val="BodyText"/>
    <w:uiPriority w:val="9"/>
    <w:unhideWhenUsed/>
    <w:qFormat/>
    <w:rsid w:val="00F6070A"/>
    <w:pPr>
      <w:keepNext/>
      <w:keepLines/>
      <w:numPr>
        <w:ilvl w:val="3"/>
        <w:numId w:val="1"/>
      </w:numPr>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F6070A"/>
    <w:pPr>
      <w:keepNext/>
      <w:keepLines/>
      <w:numPr>
        <w:ilvl w:val="4"/>
        <w:numId w:val="1"/>
      </w:numPr>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F6070A"/>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F6070A"/>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F6070A"/>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F6070A"/>
    <w:pPr>
      <w:keepNext/>
      <w:keepLines/>
      <w:numPr>
        <w:ilvl w:val="8"/>
        <w:numId w:val="1"/>
      </w:numPr>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character" w:customStyle="1" w:styleId="CaptionChar">
    <w:name w:val="Caption Char"/>
    <w:basedOn w:val="DefaultParagraphFont"/>
    <w:link w:val="Caption"/>
    <w:qFormat/>
  </w:style>
  <w:style w:type="character" w:customStyle="1" w:styleId="VerbatimChar">
    <w:name w:val="Verbatim Char"/>
    <w:basedOn w:val="CaptionChar"/>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sid w:val="00C772B3"/>
    <w:rPr>
      <w:color w:val="000000" w:themeColor="text1"/>
    </w:rPr>
  </w:style>
  <w:style w:type="character" w:customStyle="1" w:styleId="FooterChar">
    <w:name w:val="Footer Char"/>
    <w:basedOn w:val="DefaultParagraphFont"/>
    <w:link w:val="Footer"/>
    <w:qFormat/>
    <w:rsid w:val="002C6476"/>
  </w:style>
  <w:style w:type="character" w:styleId="PageNumber">
    <w:name w:val="page number"/>
    <w:basedOn w:val="DefaultParagraphFont"/>
    <w:qFormat/>
    <w:rsid w:val="002C6476"/>
  </w:style>
  <w:style w:type="character" w:customStyle="1" w:styleId="TableofAuthoritiesChar">
    <w:name w:val="Table of Authorities Char"/>
    <w:basedOn w:val="DefaultParagraphFont"/>
    <w:link w:val="TableofAuthorities"/>
    <w:uiPriority w:val="99"/>
    <w:qFormat/>
    <w:rsid w:val="000F239C"/>
    <w:rPr>
      <w:rFonts w:ascii="Constantia" w:hAnsi="Constantia" w:cs="Times New Roman (Body CS)"/>
    </w:rPr>
  </w:style>
  <w:style w:type="character" w:customStyle="1" w:styleId="KeywordTok">
    <w:name w:val="KeywordTok"/>
    <w:basedOn w:val="VerbatimChar"/>
    <w:qFormat/>
    <w:rPr>
      <w:b/>
      <w:color w:val="007020"/>
    </w:rPr>
  </w:style>
  <w:style w:type="character" w:customStyle="1" w:styleId="DataTypeTok">
    <w:name w:val="DataTypeTok"/>
    <w:basedOn w:val="VerbatimChar"/>
    <w:qFormat/>
    <w:rPr>
      <w:color w:val="902000"/>
    </w:rPr>
  </w:style>
  <w:style w:type="character" w:customStyle="1" w:styleId="DecValTok">
    <w:name w:val="DecValTok"/>
    <w:basedOn w:val="VerbatimChar"/>
    <w:qFormat/>
    <w:rPr>
      <w:color w:val="40A070"/>
    </w:rPr>
  </w:style>
  <w:style w:type="character" w:customStyle="1" w:styleId="BaseNTok">
    <w:name w:val="BaseNTok"/>
    <w:basedOn w:val="VerbatimChar"/>
    <w:qFormat/>
    <w:rPr>
      <w:color w:val="40A070"/>
    </w:rPr>
  </w:style>
  <w:style w:type="character" w:customStyle="1" w:styleId="FloatTok">
    <w:name w:val="FloatTok"/>
    <w:basedOn w:val="VerbatimChar"/>
    <w:qFormat/>
    <w:rPr>
      <w:color w:val="40A070"/>
    </w:rPr>
  </w:style>
  <w:style w:type="character" w:customStyle="1" w:styleId="ConstantTok">
    <w:name w:val="ConstantTok"/>
    <w:basedOn w:val="VerbatimChar"/>
    <w:qFormat/>
    <w:rPr>
      <w:color w:val="880000"/>
    </w:rPr>
  </w:style>
  <w:style w:type="character" w:customStyle="1" w:styleId="CharTok">
    <w:name w:val="CharTok"/>
    <w:basedOn w:val="VerbatimChar"/>
    <w:qFormat/>
    <w:rPr>
      <w:color w:val="4070A0"/>
    </w:rPr>
  </w:style>
  <w:style w:type="character" w:customStyle="1" w:styleId="SpecialCharTok">
    <w:name w:val="SpecialCharTok"/>
    <w:basedOn w:val="VerbatimChar"/>
    <w:qFormat/>
    <w:rPr>
      <w:color w:val="4070A0"/>
    </w:rPr>
  </w:style>
  <w:style w:type="character" w:customStyle="1" w:styleId="StringTok">
    <w:name w:val="StringTok"/>
    <w:basedOn w:val="VerbatimChar"/>
    <w:qFormat/>
    <w:rPr>
      <w:color w:val="4070A0"/>
    </w:rPr>
  </w:style>
  <w:style w:type="character" w:customStyle="1" w:styleId="VerbatimStringTok">
    <w:name w:val="VerbatimStringTok"/>
    <w:basedOn w:val="VerbatimChar"/>
    <w:qFormat/>
    <w:rPr>
      <w:color w:val="4070A0"/>
    </w:rPr>
  </w:style>
  <w:style w:type="character" w:customStyle="1" w:styleId="SpecialStringTok">
    <w:name w:val="SpecialStringTok"/>
    <w:basedOn w:val="VerbatimChar"/>
    <w:qFormat/>
    <w:rPr>
      <w:color w:val="BB6688"/>
    </w:rPr>
  </w:style>
  <w:style w:type="character" w:customStyle="1" w:styleId="ImportTok">
    <w:name w:val="ImportTok"/>
    <w:basedOn w:val="VerbatimChar"/>
    <w:qFormat/>
    <w:rPr>
      <w:b/>
      <w:color w:val="008000"/>
    </w:rPr>
  </w:style>
  <w:style w:type="character" w:customStyle="1" w:styleId="CommentTok">
    <w:name w:val="CommentTok"/>
    <w:basedOn w:val="VerbatimChar"/>
    <w:qFormat/>
    <w:rPr>
      <w:i/>
      <w:color w:val="60A0B0"/>
    </w:rPr>
  </w:style>
  <w:style w:type="character" w:customStyle="1" w:styleId="DocumentationTok">
    <w:name w:val="DocumentationTok"/>
    <w:basedOn w:val="VerbatimChar"/>
    <w:qFormat/>
    <w:rPr>
      <w:i/>
      <w:color w:val="BA2121"/>
    </w:rPr>
  </w:style>
  <w:style w:type="character" w:customStyle="1" w:styleId="AnnotationTok">
    <w:name w:val="AnnotationTok"/>
    <w:basedOn w:val="VerbatimChar"/>
    <w:qFormat/>
    <w:rPr>
      <w:b/>
      <w:i/>
      <w:color w:val="60A0B0"/>
    </w:rPr>
  </w:style>
  <w:style w:type="character" w:customStyle="1" w:styleId="CommentVarTok">
    <w:name w:val="CommentVarTok"/>
    <w:basedOn w:val="VerbatimChar"/>
    <w:qFormat/>
    <w:rPr>
      <w:b/>
      <w:i/>
      <w:color w:val="60A0B0"/>
    </w:rPr>
  </w:style>
  <w:style w:type="character" w:customStyle="1" w:styleId="OtherTok">
    <w:name w:val="OtherTok"/>
    <w:basedOn w:val="VerbatimChar"/>
    <w:qFormat/>
    <w:rPr>
      <w:color w:val="007020"/>
    </w:rPr>
  </w:style>
  <w:style w:type="character" w:customStyle="1" w:styleId="FunctionTok">
    <w:name w:val="FunctionTok"/>
    <w:basedOn w:val="VerbatimChar"/>
    <w:qFormat/>
    <w:rPr>
      <w:color w:val="06287E"/>
    </w:rPr>
  </w:style>
  <w:style w:type="character" w:customStyle="1" w:styleId="VariableTok">
    <w:name w:val="VariableTok"/>
    <w:basedOn w:val="VerbatimChar"/>
    <w:qFormat/>
    <w:rPr>
      <w:color w:val="19177C"/>
    </w:rPr>
  </w:style>
  <w:style w:type="character" w:customStyle="1" w:styleId="ControlFlowTok">
    <w:name w:val="ControlFlowTok"/>
    <w:basedOn w:val="VerbatimChar"/>
    <w:qFormat/>
    <w:rPr>
      <w:b/>
      <w:color w:val="007020"/>
    </w:rPr>
  </w:style>
  <w:style w:type="character" w:customStyle="1" w:styleId="OperatorTok">
    <w:name w:val="OperatorTok"/>
    <w:basedOn w:val="VerbatimChar"/>
    <w:qFormat/>
    <w:rPr>
      <w:color w:val="666666"/>
    </w:rPr>
  </w:style>
  <w:style w:type="character" w:customStyle="1" w:styleId="BuiltInTok">
    <w:name w:val="BuiltInTok"/>
    <w:basedOn w:val="VerbatimChar"/>
    <w:qFormat/>
    <w:rPr>
      <w:color w:val="008000"/>
    </w:rPr>
  </w:style>
  <w:style w:type="character" w:customStyle="1" w:styleId="ExtensionTok">
    <w:name w:val="ExtensionTok"/>
    <w:basedOn w:val="VerbatimChar"/>
    <w:qFormat/>
  </w:style>
  <w:style w:type="character" w:customStyle="1" w:styleId="PreprocessorTok">
    <w:name w:val="PreprocessorTok"/>
    <w:basedOn w:val="VerbatimChar"/>
    <w:qFormat/>
    <w:rPr>
      <w:color w:val="BC7A00"/>
    </w:rPr>
  </w:style>
  <w:style w:type="character" w:customStyle="1" w:styleId="AttributeTok">
    <w:name w:val="AttributeTok"/>
    <w:basedOn w:val="VerbatimChar"/>
    <w:qFormat/>
    <w:rPr>
      <w:color w:val="7D9029"/>
    </w:rPr>
  </w:style>
  <w:style w:type="character" w:customStyle="1" w:styleId="RegionMarkerTok">
    <w:name w:val="RegionMarkerTok"/>
    <w:basedOn w:val="VerbatimChar"/>
    <w:qFormat/>
  </w:style>
  <w:style w:type="character" w:customStyle="1" w:styleId="InformationTok">
    <w:name w:val="InformationTok"/>
    <w:basedOn w:val="VerbatimChar"/>
    <w:qFormat/>
    <w:rPr>
      <w:b/>
      <w:i/>
      <w:color w:val="60A0B0"/>
    </w:rPr>
  </w:style>
  <w:style w:type="character" w:customStyle="1" w:styleId="WarningTok">
    <w:name w:val="WarningTok"/>
    <w:basedOn w:val="VerbatimChar"/>
    <w:qFormat/>
    <w:rPr>
      <w:b/>
      <w:i/>
      <w:color w:val="60A0B0"/>
    </w:rPr>
  </w:style>
  <w:style w:type="character" w:customStyle="1" w:styleId="AlertTok">
    <w:name w:val="AlertTok"/>
    <w:basedOn w:val="VerbatimChar"/>
    <w:qFormat/>
    <w:rPr>
      <w:b/>
      <w:color w:val="FF0000"/>
    </w:rPr>
  </w:style>
  <w:style w:type="character" w:customStyle="1" w:styleId="ErrorTok">
    <w:name w:val="ErrorTok"/>
    <w:basedOn w:val="VerbatimChar"/>
    <w:qFormat/>
    <w:rPr>
      <w:b/>
      <w:color w:val="FF0000"/>
    </w:rPr>
  </w:style>
  <w:style w:type="character" w:customStyle="1" w:styleId="NormalTok">
    <w:name w:val="NormalTok"/>
    <w:basedOn w:val="VerbatimChar"/>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qFormat/>
    <w:rsid w:val="009F741B"/>
    <w:pPr>
      <w:spacing w:before="0" w:after="0" w:line="480" w:lineRule="auto"/>
      <w:ind w:firstLine="720"/>
    </w:pPr>
  </w:style>
  <w:style w:type="paragraph" w:styleId="List">
    <w:name w:val="List"/>
    <w:basedOn w:val="Normal"/>
    <w:rsid w:val="001A6454"/>
    <w:pPr>
      <w:spacing w:before="0" w:after="200"/>
      <w:ind w:left="360" w:hanging="360"/>
      <w:contextualSpacing/>
    </w:p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6D7BB9"/>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styleId="Date">
    <w:name w:val="Date"/>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72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widowControl/>
      <w:bidi w:val="0"/>
      <w:spacing w:before="100" w:after="100"/>
      <w:ind w:left="480" w:right="480" w:firstLine="0"/>
      <w:jc w:val="left"/>
    </w:pPr>
    <w:rPr>
      <w:rFonts w:asciiTheme="minorHAnsi" w:eastAsiaTheme="minorHAnsi" w:hAnsiTheme="minorHAnsi" w:cstheme="minorBidi"/>
      <w:color w:val="auto"/>
      <w:kern w:val="0"/>
      <w:sz w:val="24"/>
      <w:szCs w:val="24"/>
      <w:lang w:val="en-US" w:eastAsia="en-US" w:bidi="ar-SA"/>
    </w:rPr>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styleId="Caption">
    <w:name w:val="caption"/>
    <w:basedOn w:val="Normal"/>
    <w:link w:val="CaptionChar"/>
    <w:qFormat/>
    <w:pPr>
      <w:spacing w:before="0" w:after="120"/>
    </w:pPr>
    <w:rPr>
      <w:i/>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53669C"/>
    <w:pPr>
      <w:spacing w:before="240" w:after="240" w:line="259" w:lineRule="auto"/>
      <w:outlineLvl w:val="9"/>
    </w:pPr>
    <w:rPr>
      <w:bCs w:val="0"/>
      <w:caps w:val="0"/>
      <w:smallCaps w:val="0"/>
      <w:sz w:val="28"/>
      <w:u w:val="none"/>
    </w:rPr>
  </w:style>
  <w:style w:type="paragraph" w:customStyle="1" w:styleId="HeaderandFooter">
    <w:name w:val="Header and Footer"/>
    <w:basedOn w:val="Normal"/>
    <w:qFormat/>
  </w:style>
  <w:style w:type="paragraph" w:styleId="Footer">
    <w:name w:val="footer"/>
    <w:basedOn w:val="Normal"/>
    <w:link w:val="FooterChar"/>
    <w:rsid w:val="002C6476"/>
    <w:pPr>
      <w:tabs>
        <w:tab w:val="clear" w:pos="720"/>
        <w:tab w:val="center" w:pos="4680"/>
        <w:tab w:val="right" w:pos="9360"/>
      </w:tabs>
      <w:spacing w:before="0" w:after="0"/>
    </w:pPr>
  </w:style>
  <w:style w:type="paragraph" w:styleId="TOC1">
    <w:name w:val="toc 1"/>
    <w:basedOn w:val="Normal"/>
    <w:next w:val="Normal"/>
    <w:autoRedefine/>
    <w:uiPriority w:val="39"/>
    <w:rsid w:val="00F069A8"/>
    <w:pPr>
      <w:tabs>
        <w:tab w:val="clear" w:pos="720"/>
        <w:tab w:val="right" w:leader="dot" w:pos="9350"/>
      </w:tabs>
      <w:spacing w:before="240" w:after="240"/>
      <w:ind w:right="720" w:firstLine="0"/>
    </w:pPr>
    <w:rPr>
      <w:rFonts w:cs="Times New Roman (Body CS)"/>
      <w:caps/>
    </w:rPr>
  </w:style>
  <w:style w:type="paragraph" w:styleId="TOC2">
    <w:name w:val="toc 2"/>
    <w:basedOn w:val="Normal"/>
    <w:next w:val="Normal"/>
    <w:autoRedefine/>
    <w:uiPriority w:val="39"/>
    <w:rsid w:val="00F069A8"/>
    <w:pPr>
      <w:tabs>
        <w:tab w:val="left" w:pos="360"/>
        <w:tab w:val="right" w:leader="dot" w:pos="9350"/>
      </w:tabs>
      <w:spacing w:before="240" w:after="240"/>
      <w:ind w:right="720" w:firstLine="0"/>
    </w:pPr>
    <w:rPr>
      <w:rFonts w:cs="Times New Roman (Body CS)"/>
    </w:rPr>
  </w:style>
  <w:style w:type="paragraph" w:styleId="TOC3">
    <w:name w:val="toc 3"/>
    <w:basedOn w:val="Normal"/>
    <w:next w:val="Normal"/>
    <w:autoRedefine/>
    <w:uiPriority w:val="39"/>
    <w:rsid w:val="00F069A8"/>
    <w:pPr>
      <w:tabs>
        <w:tab w:val="left" w:pos="360"/>
        <w:tab w:val="clear" w:pos="720"/>
        <w:tab w:val="right" w:leader="dot" w:pos="9350"/>
      </w:tabs>
      <w:spacing w:before="240" w:after="240"/>
      <w:ind w:left="475" w:right="720" w:firstLine="0"/>
    </w:pPr>
    <w:rPr>
      <w:rFonts w:cs="Times New Roman (Body CS)"/>
    </w:rPr>
  </w:style>
  <w:style w:type="paragraph" w:customStyle="1" w:styleId="centeredstyle">
    <w:name w:val="centered_style"/>
    <w:basedOn w:val="Normal"/>
    <w:qFormat/>
    <w:rsid w:val="007F4339"/>
    <w:pPr>
      <w:jc w:val="center"/>
    </w:pPr>
  </w:style>
  <w:style w:type="paragraph" w:styleId="TOAHeading">
    <w:name w:val="toa heading"/>
    <w:basedOn w:val="Normal"/>
    <w:next w:val="Normal"/>
    <w:uiPriority w:val="99"/>
    <w:qFormat/>
    <w:rsid w:val="007A7E0E"/>
    <w:pPr>
      <w:spacing w:before="120" w:after="200"/>
    </w:pPr>
    <w:rPr>
      <w:rFonts w:asciiTheme="majorHAnsi" w:eastAsiaTheme="majorEastAsia" w:hAnsiTheme="majorHAnsi" w:cstheme="majorBidi"/>
      <w:b/>
      <w:bCs/>
    </w:rPr>
  </w:style>
  <w:style w:type="paragraph" w:styleId="TableofAuthorities">
    <w:name w:val="table of authorities"/>
    <w:basedOn w:val="Normal"/>
    <w:next w:val="Normal"/>
    <w:link w:val="TableofAuthoritiesChar"/>
    <w:uiPriority w:val="99"/>
    <w:qFormat/>
    <w:rsid w:val="000F239C"/>
    <w:pPr>
      <w:tabs>
        <w:tab w:val="clear" w:pos="720"/>
        <w:tab w:val="right" w:leader="dot" w:pos="9360"/>
      </w:tabs>
      <w:spacing w:before="0" w:after="120" w:line="240" w:lineRule="auto"/>
      <w:ind w:left="720" w:hanging="720"/>
    </w:pPr>
    <w:rPr>
      <w:rFonts w:cs="Times New Roman (Body CS)"/>
    </w:rPr>
  </w:style>
  <w:style w:type="paragraph" w:styleId="ListBullet">
    <w:name w:val="List Bullet"/>
    <w:basedOn w:val="Normal"/>
    <w:qFormat/>
    <w:rsid w:val="00D45D12"/>
    <w:pPr>
      <w:numPr>
        <w:ilvl w:val="0"/>
        <w:numId w:val="2"/>
      </w:numPr>
      <w:spacing w:before="0" w:after="200" w:line="480" w:lineRule="auto"/>
      <w:contextualSpacing/>
    </w:pPr>
  </w:style>
  <w:style w:type="paragraph" w:styleId="ListBullet2">
    <w:name w:val="List Bullet 2"/>
    <w:basedOn w:val="Normal"/>
    <w:qFormat/>
    <w:rsid w:val="001A6454"/>
    <w:pPr>
      <w:numPr>
        <w:ilvl w:val="0"/>
        <w:numId w:val="3"/>
      </w:numPr>
      <w:spacing w:before="0" w:after="200"/>
      <w:contextualSpacing/>
    </w:pPr>
  </w:style>
  <w:style w:type="paragraph" w:styleId="ListBullet4">
    <w:name w:val="List Bullet 4"/>
    <w:basedOn w:val="Normal"/>
    <w:qFormat/>
    <w:rsid w:val="001A6454"/>
    <w:pPr>
      <w:numPr>
        <w:ilvl w:val="0"/>
        <w:numId w:val="5"/>
      </w:numPr>
      <w:spacing w:before="0" w:after="200"/>
      <w:contextualSpacing/>
    </w:pPr>
  </w:style>
  <w:style w:type="paragraph" w:styleId="ListBullet5">
    <w:name w:val="List Bullet 5"/>
    <w:basedOn w:val="Normal"/>
    <w:qFormat/>
    <w:rsid w:val="001A6454"/>
    <w:pPr>
      <w:numPr>
        <w:ilvl w:val="0"/>
        <w:numId w:val="6"/>
      </w:numPr>
      <w:spacing w:before="0" w:after="200"/>
      <w:contextualSpacing/>
    </w:pPr>
  </w:style>
  <w:style w:type="paragraph" w:styleId="ListBullet3">
    <w:name w:val="List Bullet 3"/>
    <w:basedOn w:val="Normal"/>
    <w:rsid w:val="001A6454"/>
    <w:pPr>
      <w:spacing w:before="0" w:after="200"/>
      <w:ind w:left="720" w:hanging="360"/>
      <w:contextualSpacing/>
    </w:pPr>
  </w:style>
  <w:style w:type="paragraph" w:styleId="ListNumber">
    <w:name w:val="List Number"/>
    <w:basedOn w:val="Normal"/>
    <w:qFormat/>
    <w:rsid w:val="00D45D12"/>
    <w:pPr>
      <w:numPr>
        <w:ilvl w:val="0"/>
        <w:numId w:val="7"/>
      </w:numPr>
      <w:spacing w:before="0" w:after="200" w:line="480" w:lineRule="auto"/>
      <w:contextualSpacing/>
    </w:pPr>
  </w:style>
  <w:style w:type="paragraph" w:styleId="ListNumber2">
    <w:name w:val="List Number 2"/>
    <w:basedOn w:val="Normal"/>
    <w:qFormat/>
    <w:rsid w:val="001A6454"/>
    <w:pPr>
      <w:numPr>
        <w:ilvl w:val="0"/>
        <w:numId w:val="8"/>
      </w:numPr>
      <w:spacing w:before="0" w:after="200"/>
      <w:contextualSpacing/>
    </w:pPr>
  </w:style>
  <w:style w:type="paragraph" w:customStyle="1" w:styleId="disclaimerstyle">
    <w:name w:val="disclaimer_style"/>
    <w:basedOn w:val="Normal"/>
    <w:qFormat/>
    <w:rsid w:val="004974DC"/>
    <w:rPr>
      <w:rFonts w:ascii="Times New Roman" w:hAnsi="Times New Roman"/>
    </w:rPr>
  </w:style>
  <w:style w:type="paragraph" w:customStyle="1" w:styleId="SourceCode">
    <w:name w:val="Source Code"/>
    <w:basedOn w:val="Normal"/>
    <w:link w:val="VerbatimChar"/>
    <w:qFormat/>
  </w:style>
  <w:style w:type="numbering" w:customStyle="1" w:styleId="CurrentList1">
    <w:name w:val="Current List1"/>
    <w:uiPriority w:val="99"/>
    <w:qFormat/>
    <w:rsid w:val="00674A19"/>
  </w:style>
  <w:style w:type="numbering" w:customStyle="1" w:styleId="CurrentList2">
    <w:name w:val="Current List2"/>
    <w:uiPriority w:val="99"/>
    <w:qFormat/>
    <w:rsid w:val="008B4603"/>
  </w:style>
  <w:style w:type="numbering" w:customStyle="1" w:styleId="CurrentList3">
    <w:name w:val="Current List3"/>
    <w:uiPriority w:val="99"/>
    <w:qFormat/>
    <w:rsid w:val="000F41EA"/>
  </w:style>
  <w:style w:type="numbering" w:customStyle="1" w:styleId="CurrentList4">
    <w:name w:val="Current List4"/>
    <w:uiPriority w:val="99"/>
    <w:qFormat/>
    <w:rsid w:val="00FB499D"/>
  </w:style>
  <w:style w:type="numbering" w:customStyle="1" w:styleId="CurrentList5">
    <w:name w:val="Current List5"/>
    <w:uiPriority w:val="99"/>
    <w:qFormat/>
    <w:rsid w:val="00F6070A"/>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32</Pages>
  <Words>882</Words>
  <Characters>4898</Characters>
  <Application>Microsoft Office Word</Application>
  <DocSecurity>0</DocSecurity>
  <Lines>0</Lines>
  <Paragraphs>45</Paragraphs>
  <ScaleCrop>false</ScaleCrop>
  <Company/>
  <LinksUpToDate>false</LinksUpToDate>
  <CharactersWithSpaces>5747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2026-03-31T22:46:49Z</dcterms:created>
  <dcterms:modified xsi:type="dcterms:W3CDTF">2026-03-31T22:46:51Z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/main/tmp/d2290d05999c43898b263fc73b739ddb.json</vt:lpwstr>
  </property>
  <property fmtid="{D5CDD505-2E9C-101B-9397-08002B2CF9AE}" pid="3" name="csl">
    <vt:lpwstr>functions/legal_research/documents/brief/pandoc/bluebook-inline-toa.csl</vt:lpwstr>
  </property>
  <property fmtid="{D5CDD505-2E9C-101B-9397-08002B2CF9AE}" pid="4" name="references">
    <vt:lpwstr/>
  </property>
  <property fmtid="{D5CDD505-2E9C-101B-9397-08002B2CF9AE}" pid="5" name="used_categories">
    <vt:lpwstr>1,2</vt:lpwstr>
  </property>
</Properties>
</file>