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3.0 -->
  <w:body>
    <w:p>
      <w:pPr>
        <w:pStyle w:val="centeredstyle"/>
      </w:pPr>
      <w:r>
        <w:rPr>
          <w:b/>
          <w:bCs/>
        </w:rPr>
        <w:t>LEGAL ADVISORY AND DISCLAIMER</w:t>
      </w:r>
    </w:p>
    <w:p>
      <w:pPr>
        <w:pStyle w:val="disclaimerstyle"/>
        <w:numPr>
          <w:ilvl w:val="0"/>
          <w:numId w:val="11"/>
        </w:numPr>
      </w:pPr>
      <w:r>
        <w:rPr>
          <w:b/>
          <w:bCs/>
        </w:rPr>
        <w:t>Preliminary Draft</w:t>
      </w:r>
      <w:r>
        <w:t>: This legal brief is a research and drafting tool, not a final work product. It is not ready for filing and must not be submitted to any court in its current form.</w:t>
      </w:r>
    </w:p>
    <w:p>
      <w:pPr>
        <w:pStyle w:val="disclaimerstyle"/>
        <w:numPr>
          <w:ilvl w:val="0"/>
          <w:numId w:val="9"/>
        </w:numPr>
      </w:pPr>
      <w:r>
        <w:rPr>
          <w:b/>
          <w:bCs/>
        </w:rPr>
        <w:t>Duty to Review</w:t>
      </w:r>
      <w:r>
        <w:t>: You must independently verify all factual allegations and legal theories. It is your responsibility to supplement and revise this legal brief to ensure accuracy and viability.</w:t>
      </w:r>
    </w:p>
    <w:p>
      <w:pPr>
        <w:pStyle w:val="disclaimerstyle"/>
        <w:numPr>
          <w:ilvl w:val="0"/>
          <w:numId w:val="9"/>
        </w:numPr>
      </w:pPr>
      <w:r>
        <w:rPr>
          <w:b/>
          <w:bCs/>
        </w:rPr>
        <w:t>Local Rules</w:t>
      </w:r>
      <w:r>
        <w:t>: You are responsible for ensuring compliance with all local rules, standing orders, and venue-specific formatting (e.g., margins, line numbering, and signature blocks).</w:t>
      </w:r>
    </w:p>
    <w:p>
      <w:pPr>
        <w:pStyle w:val="disclaimerstyle"/>
        <w:numPr>
          <w:ilvl w:val="0"/>
          <w:numId w:val="9"/>
        </w:numPr>
      </w:pPr>
      <w:r>
        <w:rPr>
          <w:b/>
          <w:bCs/>
        </w:rPr>
        <w:t>Citations</w:t>
      </w:r>
      <w:r>
        <w:t>: All legal citations must be verified for accuracy, currency, and Bluebook compliance. Formatting signals and cross-references are not yet finalized.</w:t>
      </w:r>
    </w:p>
    <w:p>
      <w:pPr>
        <w:pStyle w:val="disclaimerstyle"/>
        <w:numPr>
          <w:ilvl w:val="0"/>
          <w:numId w:val="9"/>
        </w:numPr>
      </w:pPr>
      <w:r>
        <w:rPr>
          <w:b/>
          <w:bCs/>
        </w:rPr>
        <w:t>Professional Responsibility</w:t>
      </w:r>
      <w:r>
        <w:t>: The signing attorney bears sole responsibility for the legal sufficiency and ethical compliance of the final filing.</w:t>
      </w:r>
    </w:p>
    <w:p>
      <w:r>
        <w:br w:type="page"/>
      </w:r>
    </w:p>
    <w:tbl>
      <w:tblPr>
        <w:tblW w:w="5000" w:type="pct"/>
        <w:jc w:val="left"/>
        <w:tblInd w:w="0" w:type="dxa"/>
        <w:tblLayout w:type="fixed"/>
        <w:tblCellMar>
          <w:top w:w="0" w:type="dxa"/>
          <w:left w:w="108" w:type="dxa"/>
          <w:bottom w:w="0" w:type="dxa"/>
          <w:right w:w="108" w:type="dxa"/>
        </w:tblCellMar>
      </w:tblPr>
      <w:tblGrid>
        <w:gridCol w:w="9360"/>
      </w:tblGrid>
      <w:tr>
        <w:tblPrEx>
          <w:tblW w:w="5000" w:type="pct"/>
          <w:tblInd w:w="0" w:type="dxa"/>
          <w:tblLayout w:type="fixed"/>
        </w:tblPrEx>
        <w:tc>
          <w:tcPr>
            <w:tcW w:w="9360" w:type="dxa"/>
          </w:tcPr>
          <w:p>
            <w:pPr>
              <w:pageBreakBefore/>
              <w:widowControl w:val="0"/>
              <w:spacing w:before="0" w:after="0" w:line="240" w:lineRule="auto"/>
              <w:ind w:left="0" w:firstLine="0"/>
            </w:pPr>
            <w:r>
              <w:t>[ATTORNEY NAME]</w:t>
            </w:r>
          </w:p>
          <w:p>
            <w:pPr>
              <w:widowControl w:val="0"/>
              <w:spacing w:before="0" w:after="0" w:line="240" w:lineRule="auto"/>
              <w:ind w:left="0" w:firstLine="0"/>
            </w:pPr>
            <w:r>
              <w:t>[FIRM_NAME]</w:t>
            </w:r>
          </w:p>
          <w:p>
            <w:pPr>
              <w:widowControl w:val="0"/>
              <w:spacing w:before="0" w:after="0" w:line="240" w:lineRule="auto"/>
              <w:ind w:left="0" w:firstLine="0"/>
            </w:pPr>
            <w:r>
              <w:t>[ADDRESS]</w:t>
            </w:r>
          </w:p>
          <w:p>
            <w:pPr>
              <w:widowControl w:val="0"/>
              <w:spacing w:before="0" w:after="0" w:line="240" w:lineRule="auto"/>
              <w:ind w:left="0" w:firstLine="0"/>
            </w:pPr>
            <w:r>
              <w:t>[PHONE]</w:t>
            </w:r>
          </w:p>
          <w:p>
            <w:pPr>
              <w:widowControl w:val="0"/>
              <w:spacing w:before="0" w:after="0" w:line="240" w:lineRule="auto"/>
              <w:ind w:left="0" w:firstLine="0"/>
            </w:pPr>
            <w:r>
              <w:t>[FAX]</w:t>
            </w:r>
          </w:p>
          <w:p>
            <w:pPr>
              <w:widowControl w:val="0"/>
              <w:spacing w:before="0" w:after="0" w:line="240" w:lineRule="auto"/>
              <w:ind w:left="0" w:firstLine="0"/>
            </w:pPr>
            <w:r>
              <w:t>Attorney for Defendant</w:t>
            </w:r>
          </w:p>
          <w:p>
            <w:pPr>
              <w:widowControl w:val="0"/>
              <w:spacing w:before="0" w:after="240" w:line="240" w:lineRule="auto"/>
              <w:ind w:left="0" w:firstLine="0"/>
            </w:pPr>
            <w:r>
              <w:t>DEFENDANT JANE SMITH</w:t>
            </w:r>
          </w:p>
        </w:tc>
      </w:tr>
    </w:tbl>
    <w:p>
      <w:pPr>
        <w:spacing w:before="240" w:after="240"/>
        <w:ind w:left="0" w:firstLine="720"/>
        <w:jc w:val="center"/>
      </w:pPr>
      <w:r>
        <w:rPr>
          <w:b/>
        </w:rPr>
        <w:t>UNITED STATES DISTRICT COURT FOR THE [NORTHERN/CENTRAL/SOUTHERN/EASTERN] DISTRICT OF CALIFORNIA</w:t>
      </w: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Borders>
              <w:bottom w:val="single" w:sz="4" w:space="0" w:color="000000"/>
              <w:right w:val="single" w:sz="4" w:space="0" w:color="000000"/>
            </w:tcBorders>
          </w:tcPr>
          <w:p>
            <w:pPr>
              <w:widowControl w:val="0"/>
              <w:spacing w:before="240" w:after="0"/>
              <w:ind w:left="40" w:firstLine="0"/>
            </w:pPr>
            <w:r>
              <w:t>GLOBAL MEDIA, INC.,</w:t>
            </w:r>
          </w:p>
          <w:p>
            <w:pPr>
              <w:widowControl w:val="0"/>
              <w:spacing w:before="240" w:after="0"/>
              <w:ind w:left="720" w:firstLine="0"/>
            </w:pPr>
            <w:r>
              <w:t>Plaintiff,</w:t>
            </w:r>
          </w:p>
          <w:p>
            <w:pPr>
              <w:widowControl w:val="0"/>
              <w:spacing w:before="240" w:after="0"/>
              <w:ind w:left="40" w:firstLine="0"/>
            </w:pPr>
            <w:r>
              <w:t>v.</w:t>
            </w:r>
          </w:p>
          <w:p>
            <w:pPr>
              <w:widowControl w:val="0"/>
              <w:spacing w:before="240" w:after="0"/>
              <w:ind w:left="40" w:firstLine="0"/>
            </w:pPr>
            <w:r>
              <w:t>JANE SMITH,</w:t>
            </w:r>
          </w:p>
          <w:p>
            <w:pPr>
              <w:widowControl w:val="0"/>
              <w:spacing w:before="240" w:after="0"/>
              <w:ind w:left="720" w:firstLine="0"/>
            </w:pPr>
            <w:r>
              <w:t>Defendant.</w:t>
            </w:r>
          </w:p>
        </w:tc>
        <w:tc>
          <w:tcPr>
            <w:tcW w:w="4679" w:type="dxa"/>
            <w:tcBorders>
              <w:left w:val="single" w:sz="4" w:space="0" w:color="000000"/>
            </w:tcBorders>
            <w:tcMar>
              <w:left w:w="100" w:type="dxa"/>
            </w:tcMar>
          </w:tcPr>
          <w:p>
            <w:pPr>
              <w:widowControl w:val="0"/>
              <w:spacing w:before="240" w:after="0"/>
              <w:ind w:left="720" w:hanging="360"/>
            </w:pPr>
            <w:r>
              <w:t>Case No.: [CASE NO.]</w:t>
            </w:r>
          </w:p>
          <w:p>
            <w:pPr>
              <w:widowControl w:val="0"/>
              <w:spacing w:before="240" w:after="240" w:line="240" w:lineRule="auto"/>
              <w:ind w:left="360" w:firstLine="0"/>
            </w:pPr>
            <w:r>
              <w:rPr>
                <w:b/>
                <w:caps/>
              </w:rPr>
              <w:t>LEGAL BRIEF</w:t>
            </w:r>
          </w:p>
          <w:p>
            <w:pPr>
              <w:widowControl w:val="0"/>
              <w:spacing w:before="0" w:after="0" w:line="300" w:lineRule="auto"/>
              <w:ind w:left="360" w:firstLine="0"/>
            </w:pPr>
            <w:r>
              <w:t>Date: [DATE]</w:t>
            </w:r>
          </w:p>
          <w:p>
            <w:pPr>
              <w:widowControl w:val="0"/>
              <w:spacing w:before="0" w:after="0" w:line="300" w:lineRule="auto"/>
              <w:ind w:left="360" w:firstLine="0"/>
            </w:pPr>
            <w:r>
              <w:t>Time: [TIME]</w:t>
            </w:r>
          </w:p>
          <w:p>
            <w:pPr>
              <w:widowControl w:val="0"/>
              <w:spacing w:before="0" w:after="0" w:line="300" w:lineRule="auto"/>
              <w:ind w:left="360" w:firstLine="0"/>
            </w:pPr>
            <w:r>
              <w:t>Dept: [DEPT]</w:t>
            </w:r>
          </w:p>
          <w:p>
            <w:pPr>
              <w:widowControl w:val="0"/>
              <w:spacing w:before="0" w:after="0" w:line="300" w:lineRule="auto"/>
              <w:ind w:left="360" w:firstLine="0"/>
            </w:pPr>
            <w:r>
              <w:t>Judge: [JUDGE]</w:t>
            </w:r>
          </w:p>
          <w:p>
            <w:pPr>
              <w:widowControl w:val="0"/>
              <w:spacing w:before="0" w:after="0" w:line="300" w:lineRule="auto"/>
              <w:ind w:left="360" w:firstLine="0"/>
            </w:pPr>
            <w:r>
              <w:t>Reservation No.: [RESERVATION NO.]</w:t>
            </w:r>
          </w:p>
          <w:p>
            <w:pPr>
              <w:widowControl w:val="0"/>
              <w:spacing w:before="0" w:after="0" w:line="300" w:lineRule="auto"/>
              <w:ind w:left="360" w:firstLine="0"/>
            </w:pPr>
            <w:r>
              <w:t>Date Filed: [DATE FILED]</w:t>
            </w:r>
          </w:p>
        </w:tc>
      </w:tr>
    </w:tbl>
    <w:p>
      <w:pPr>
        <w:spacing w:before="240" w:after="240"/>
      </w:pPr>
    </w:p>
    <w:p/>
    <w:sdt>
      <w:sdtPr>
        <w:id w:val="1080050910"/>
        <w:docPartObj>
          <w:docPartGallery w:val="Table of Contents"/>
          <w:docPartUnique/>
        </w:docPartObj>
      </w:sdtPr>
      <w:sdtContent>
        <w:p>
          <w:pPr>
            <w:pStyle w:val="TOCHeading"/>
          </w:pPr>
          <w:r>
            <w:br w:type="page"/>
          </w:r>
          <w:r>
            <w:t>Table of Contents</w:t>
          </w:r>
        </w:p>
        <w:p>
          <w:pPr>
            <w:pStyle w:val="TOC1"/>
            <w:rPr>
              <w:rFonts w:asciiTheme="minorHAnsi" w:hAnsiTheme="minorHAnsi"/>
              <w:noProof/>
              <w:sz w:val="22"/>
            </w:rPr>
          </w:pPr>
          <w:r>
            <w:fldChar w:fldCharType="begin"/>
          </w:r>
          <w:r>
            <w:rPr>
              <w:rStyle w:val="IndexLink"/>
              <w:webHidden/>
            </w:rPr>
            <w:instrText xml:space="preserve"> TOC \z \o "1-3" \u \h</w:instrText>
          </w:r>
          <w:r>
            <w:rPr>
              <w:rStyle w:val="IndexLink"/>
              <w:webHidden/>
            </w:rPr>
            <w:fldChar w:fldCharType="separate"/>
          </w:r>
          <w:hyperlink w:anchor="_Toc256000000" w:history="1">
            <w:r>
              <w:rPr>
                <w:rStyle w:val="Hyperlink"/>
              </w:rPr>
              <w:t>Table of Authorities</w:t>
            </w:r>
            <w:r>
              <w:tab/>
            </w:r>
            <w:r>
              <w:fldChar w:fldCharType="begin"/>
            </w:r>
            <w:r>
              <w:instrText xml:space="preserve"> PAGEREF _Toc256000000 \h </w:instrText>
            </w:r>
            <w:r>
              <w:fldChar w:fldCharType="separate"/>
            </w:r>
            <w:r>
              <w:t>4</w:t>
            </w:r>
            <w:r>
              <w:fldChar w:fldCharType="end"/>
            </w:r>
          </w:hyperlink>
        </w:p>
        <w:p>
          <w:pPr>
            <w:pStyle w:val="TOC1"/>
            <w:rPr>
              <w:rFonts w:asciiTheme="minorHAnsi" w:hAnsiTheme="minorHAnsi"/>
              <w:noProof/>
              <w:sz w:val="22"/>
            </w:rPr>
          </w:pPr>
          <w:hyperlink w:anchor="_Toc256000001" w:history="1">
            <w:r>
              <w:rPr>
                <w:rStyle w:val="Hyperlink"/>
              </w:rPr>
              <w:t>Introduction</w:t>
            </w:r>
            <w:r>
              <w:tab/>
            </w:r>
            <w:r>
              <w:fldChar w:fldCharType="begin"/>
            </w:r>
            <w:r>
              <w:instrText xml:space="preserve"> PAGEREF _Toc256000001 \h </w:instrText>
            </w:r>
            <w:r>
              <w:fldChar w:fldCharType="separate"/>
            </w:r>
            <w:r>
              <w:t>5</w:t>
            </w:r>
            <w:r>
              <w:fldChar w:fldCharType="end"/>
            </w:r>
          </w:hyperlink>
        </w:p>
        <w:p>
          <w:pPr>
            <w:pStyle w:val="TOC1"/>
            <w:rPr>
              <w:rFonts w:asciiTheme="minorHAnsi" w:hAnsiTheme="minorHAnsi"/>
              <w:noProof/>
              <w:sz w:val="22"/>
            </w:rPr>
          </w:pPr>
          <w:hyperlink w:anchor="_Toc256000002" w:history="1">
            <w:r>
              <w:rPr>
                <w:rStyle w:val="Hyperlink"/>
              </w:rPr>
              <w:t>Statement of Jurisdiction</w:t>
            </w:r>
            <w:r>
              <w:tab/>
            </w:r>
            <w:r>
              <w:fldChar w:fldCharType="begin"/>
            </w:r>
            <w:r>
              <w:instrText xml:space="preserve"> PAGEREF _Toc256000002 \h </w:instrText>
            </w:r>
            <w:r>
              <w:fldChar w:fldCharType="separate"/>
            </w:r>
            <w:r>
              <w:t>7</w:t>
            </w:r>
            <w:r>
              <w:fldChar w:fldCharType="end"/>
            </w:r>
          </w:hyperlink>
        </w:p>
        <w:p>
          <w:pPr>
            <w:pStyle w:val="TOC1"/>
            <w:rPr>
              <w:rFonts w:asciiTheme="minorHAnsi" w:hAnsiTheme="minorHAnsi"/>
              <w:noProof/>
              <w:sz w:val="22"/>
            </w:rPr>
          </w:pPr>
          <w:hyperlink w:anchor="_Toc256000003" w:history="1">
            <w:r>
              <w:rPr>
                <w:rStyle w:val="Hyperlink"/>
              </w:rPr>
              <w:t>Statement of Issues</w:t>
            </w:r>
            <w:r>
              <w:tab/>
            </w:r>
            <w:r>
              <w:fldChar w:fldCharType="begin"/>
            </w:r>
            <w:r>
              <w:instrText xml:space="preserve"> PAGEREF _Toc256000003 \h </w:instrText>
            </w:r>
            <w:r>
              <w:fldChar w:fldCharType="separate"/>
            </w:r>
            <w:r>
              <w:t>10</w:t>
            </w:r>
            <w:r>
              <w:fldChar w:fldCharType="end"/>
            </w:r>
          </w:hyperlink>
        </w:p>
        <w:p>
          <w:pPr>
            <w:pStyle w:val="TOC1"/>
            <w:rPr>
              <w:rFonts w:asciiTheme="minorHAnsi" w:hAnsiTheme="minorHAnsi"/>
              <w:noProof/>
              <w:sz w:val="22"/>
            </w:rPr>
          </w:pPr>
          <w:hyperlink w:anchor="_Toc256000004" w:history="1">
            <w:r>
              <w:rPr>
                <w:rStyle w:val="Hyperlink"/>
              </w:rPr>
              <w:t>Statement of the Case</w:t>
            </w:r>
            <w:r>
              <w:tab/>
            </w:r>
            <w:r>
              <w:fldChar w:fldCharType="begin"/>
            </w:r>
            <w:r>
              <w:instrText xml:space="preserve"> PAGEREF _Toc256000004 \h </w:instrText>
            </w:r>
            <w:r>
              <w:fldChar w:fldCharType="separate"/>
            </w:r>
            <w:r>
              <w:t>11</w:t>
            </w:r>
            <w:r>
              <w:fldChar w:fldCharType="end"/>
            </w:r>
          </w:hyperlink>
        </w:p>
        <w:p>
          <w:pPr>
            <w:pStyle w:val="TOC1"/>
            <w:rPr>
              <w:rFonts w:asciiTheme="minorHAnsi" w:hAnsiTheme="minorHAnsi"/>
              <w:noProof/>
              <w:sz w:val="22"/>
            </w:rPr>
          </w:pPr>
          <w:hyperlink w:anchor="_Toc256000005" w:history="1">
            <w:r>
              <w:rPr>
                <w:rStyle w:val="Hyperlink"/>
              </w:rPr>
              <w:t>Statement of the Facts</w:t>
            </w:r>
            <w:r>
              <w:tab/>
            </w:r>
            <w:r>
              <w:fldChar w:fldCharType="begin"/>
            </w:r>
            <w:r>
              <w:instrText xml:space="preserve"> PAGEREF _Toc256000005 \h </w:instrText>
            </w:r>
            <w:r>
              <w:fldChar w:fldCharType="separate"/>
            </w:r>
            <w:r>
              <w:t>12</w:t>
            </w:r>
            <w:r>
              <w:fldChar w:fldCharType="end"/>
            </w:r>
          </w:hyperlink>
        </w:p>
        <w:p>
          <w:pPr>
            <w:pStyle w:val="TOC1"/>
            <w:rPr>
              <w:rFonts w:asciiTheme="minorHAnsi" w:hAnsiTheme="minorHAnsi"/>
              <w:noProof/>
              <w:sz w:val="22"/>
            </w:rPr>
          </w:pPr>
          <w:hyperlink w:anchor="_Toc256000006" w:history="1">
            <w:r>
              <w:rPr>
                <w:rStyle w:val="Hyperlink"/>
              </w:rPr>
              <w:t>Argument</w:t>
            </w:r>
            <w:r>
              <w:tab/>
            </w:r>
            <w:r>
              <w:fldChar w:fldCharType="begin"/>
            </w:r>
            <w:r>
              <w:instrText xml:space="preserve"> PAGEREF _Toc256000006 \h </w:instrText>
            </w:r>
            <w:r>
              <w:fldChar w:fldCharType="separate"/>
            </w:r>
            <w:r>
              <w:t>14</w:t>
            </w:r>
            <w:r>
              <w:fldChar w:fldCharType="end"/>
            </w:r>
          </w:hyperlink>
        </w:p>
        <w:p>
          <w:pPr>
            <w:pStyle w:val="TOC2"/>
            <w:rPr>
              <w:rFonts w:asciiTheme="minorHAnsi" w:hAnsiTheme="minorHAnsi"/>
              <w:noProof/>
              <w:sz w:val="22"/>
            </w:rPr>
          </w:pPr>
          <w:hyperlink w:anchor="_Toc256000007" w:history="1">
            <w:r>
              <w:rPr>
                <w:rStyle w:val="Hyperlink"/>
              </w:rPr>
              <w:t>I.</w:t>
            </w:r>
            <w:r>
              <w:rPr>
                <w:rFonts w:asciiTheme="minorHAnsi" w:hAnsiTheme="minorHAnsi"/>
                <w:noProof/>
                <w:sz w:val="22"/>
              </w:rPr>
              <w:tab/>
            </w:r>
            <w:r>
              <w:rPr>
                <w:rStyle w:val="Hyperlink"/>
              </w:rPr>
              <w:t>Ms. Smith’s critical blog post is protected fair use despite verbatim quotation</w:t>
            </w:r>
            <w:r>
              <w:tab/>
            </w:r>
            <w:r>
              <w:fldChar w:fldCharType="begin"/>
            </w:r>
            <w:r>
              <w:instrText xml:space="preserve"> PAGEREF _Toc256000007 \h </w:instrText>
            </w:r>
            <w:r>
              <w:fldChar w:fldCharType="separate"/>
            </w:r>
            <w:r>
              <w:t>14</w:t>
            </w:r>
            <w:r>
              <w:fldChar w:fldCharType="end"/>
            </w:r>
          </w:hyperlink>
        </w:p>
        <w:p>
          <w:pPr>
            <w:pStyle w:val="TOC2"/>
            <w:rPr>
              <w:rFonts w:asciiTheme="minorHAnsi" w:hAnsiTheme="minorHAnsi"/>
              <w:noProof/>
              <w:sz w:val="22"/>
            </w:rPr>
          </w:pPr>
          <w:hyperlink w:anchor="_Toc256000008" w:history="1">
            <w:r>
              <w:rPr>
                <w:rStyle w:val="Hyperlink"/>
              </w:rPr>
              <w:t>II.</w:t>
            </w:r>
            <w:r>
              <w:rPr>
                <w:rFonts w:asciiTheme="minorHAnsi" w:hAnsiTheme="minorHAnsi"/>
                <w:noProof/>
                <w:sz w:val="22"/>
              </w:rPr>
              <w:tab/>
            </w:r>
            <w:r>
              <w:rPr>
                <w:rStyle w:val="Hyperlink"/>
              </w:rPr>
              <w:t>Global Media cannot recover § 504(b) damages or profits on this record</w:t>
            </w:r>
            <w:r>
              <w:tab/>
            </w:r>
            <w:r>
              <w:fldChar w:fldCharType="begin"/>
            </w:r>
            <w:r>
              <w:instrText xml:space="preserve"> PAGEREF _Toc256000008 \h </w:instrText>
            </w:r>
            <w:r>
              <w:fldChar w:fldCharType="separate"/>
            </w:r>
            <w:r>
              <w:t>17</w:t>
            </w:r>
            <w:r>
              <w:fldChar w:fldCharType="end"/>
            </w:r>
          </w:hyperlink>
        </w:p>
        <w:p>
          <w:pPr>
            <w:pStyle w:val="TOC2"/>
            <w:rPr>
              <w:rFonts w:asciiTheme="minorHAnsi" w:hAnsiTheme="minorHAnsi"/>
              <w:noProof/>
              <w:sz w:val="22"/>
            </w:rPr>
          </w:pPr>
          <w:hyperlink w:anchor="_Toc256000009" w:history="1">
            <w:r>
              <w:rPr>
                <w:rStyle w:val="Hyperlink"/>
              </w:rPr>
              <w:t>III.</w:t>
            </w:r>
            <w:r>
              <w:rPr>
                <w:rFonts w:asciiTheme="minorHAnsi" w:hAnsiTheme="minorHAnsi"/>
                <w:noProof/>
                <w:sz w:val="22"/>
              </w:rPr>
              <w:tab/>
            </w:r>
            <w:r>
              <w:rPr>
                <w:rStyle w:val="Hyperlink"/>
              </w:rPr>
              <w:t>Global Media alleges no concrete lost money or property from the Blog Post</w:t>
            </w:r>
            <w:r>
              <w:tab/>
            </w:r>
            <w:r>
              <w:fldChar w:fldCharType="begin"/>
            </w:r>
            <w:r>
              <w:instrText xml:space="preserve"> PAGEREF _Toc256000009 \h </w:instrText>
            </w:r>
            <w:r>
              <w:fldChar w:fldCharType="separate"/>
            </w:r>
            <w:r>
              <w:t>20</w:t>
            </w:r>
            <w:r>
              <w:fldChar w:fldCharType="end"/>
            </w:r>
          </w:hyperlink>
        </w:p>
        <w:p>
          <w:pPr>
            <w:pStyle w:val="TOC2"/>
            <w:rPr>
              <w:rFonts w:asciiTheme="minorHAnsi" w:hAnsiTheme="minorHAnsi"/>
              <w:noProof/>
              <w:sz w:val="22"/>
            </w:rPr>
          </w:pPr>
          <w:hyperlink w:anchor="_Toc256000010" w:history="1">
            <w:r>
              <w:rPr>
                <w:rStyle w:val="Hyperlink"/>
              </w:rPr>
              <w:t>IV.</w:t>
            </w:r>
            <w:r>
              <w:rPr>
                <w:rFonts w:asciiTheme="minorHAnsi" w:hAnsiTheme="minorHAnsi"/>
                <w:noProof/>
                <w:sz w:val="22"/>
              </w:rPr>
              <w:tab/>
            </w:r>
            <w:r>
              <w:rPr>
                <w:rStyle w:val="Hyperlink"/>
              </w:rPr>
              <w:t>Ms. Smith’s non-advertising blog criticism is not a “business act or practice” under § 17200.</w:t>
            </w:r>
            <w:r>
              <w:tab/>
            </w:r>
            <w:r>
              <w:fldChar w:fldCharType="begin"/>
            </w:r>
            <w:r>
              <w:instrText xml:space="preserve"> PAGEREF _Toc256000010 \h </w:instrText>
            </w:r>
            <w:r>
              <w:fldChar w:fldCharType="separate"/>
            </w:r>
            <w:r>
              <w:t>23</w:t>
            </w:r>
            <w:r>
              <w:fldChar w:fldCharType="end"/>
            </w:r>
          </w:hyperlink>
        </w:p>
        <w:p>
          <w:pPr>
            <w:pStyle w:val="TOC2"/>
            <w:rPr>
              <w:rFonts w:asciiTheme="minorHAnsi" w:hAnsiTheme="minorHAnsi"/>
              <w:noProof/>
              <w:sz w:val="22"/>
            </w:rPr>
          </w:pPr>
          <w:hyperlink w:anchor="_Toc256000011" w:history="1">
            <w:r>
              <w:rPr>
                <w:rStyle w:val="Hyperlink"/>
              </w:rPr>
              <w:t>V.</w:t>
            </w:r>
            <w:r>
              <w:rPr>
                <w:rFonts w:asciiTheme="minorHAnsi" w:hAnsiTheme="minorHAnsi"/>
                <w:noProof/>
                <w:sz w:val="22"/>
              </w:rPr>
              <w:tab/>
            </w:r>
            <w:r>
              <w:rPr>
                <w:rStyle w:val="Hyperlink"/>
              </w:rPr>
              <w:t>The Blog Post is nonactionable opinion because it disclosed its entire factual basis.</w:t>
            </w:r>
            <w:r>
              <w:tab/>
            </w:r>
            <w:r>
              <w:fldChar w:fldCharType="begin"/>
            </w:r>
            <w:r>
              <w:instrText xml:space="preserve"> PAGEREF _Toc256000011 \h </w:instrText>
            </w:r>
            <w:r>
              <w:fldChar w:fldCharType="separate"/>
            </w:r>
            <w:r>
              <w:t>26</w:t>
            </w:r>
            <w:r>
              <w:fldChar w:fldCharType="end"/>
            </w:r>
          </w:hyperlink>
        </w:p>
        <w:p>
          <w:pPr>
            <w:pStyle w:val="TOC2"/>
            <w:rPr>
              <w:rFonts w:asciiTheme="minorHAnsi" w:hAnsiTheme="minorHAnsi"/>
              <w:noProof/>
              <w:sz w:val="22"/>
            </w:rPr>
          </w:pPr>
          <w:hyperlink w:anchor="_Toc256000012" w:history="1">
            <w:r>
              <w:rPr>
                <w:rStyle w:val="Hyperlink"/>
              </w:rPr>
              <w:t>VI.</w:t>
            </w:r>
            <w:r>
              <w:rPr>
                <w:rFonts w:asciiTheme="minorHAnsi" w:hAnsiTheme="minorHAnsi"/>
                <w:noProof/>
                <w:sz w:val="22"/>
              </w:rPr>
              <w:tab/>
            </w:r>
            <w:r>
              <w:rPr>
                <w:rStyle w:val="Hyperlink"/>
              </w:rPr>
              <w:t>Section 45a requires special damages for alleged harm from criticism of the Magazine Article.</w:t>
            </w:r>
            <w:r>
              <w:tab/>
            </w:r>
            <w:r>
              <w:fldChar w:fldCharType="begin"/>
            </w:r>
            <w:r>
              <w:instrText xml:space="preserve"> PAGEREF _Toc256000012 \h </w:instrText>
            </w:r>
            <w:r>
              <w:fldChar w:fldCharType="separate"/>
            </w:r>
            <w:r>
              <w:t>28</w:t>
            </w:r>
            <w:r>
              <w:fldChar w:fldCharType="end"/>
            </w:r>
          </w:hyperlink>
        </w:p>
        <w:p>
          <w:pPr>
            <w:pStyle w:val="TOC1"/>
            <w:rPr>
              <w:rFonts w:asciiTheme="minorHAnsi" w:hAnsiTheme="minorHAnsi"/>
              <w:noProof/>
              <w:sz w:val="22"/>
            </w:rPr>
          </w:pPr>
          <w:hyperlink w:anchor="_Toc256000013" w:history="1">
            <w:r>
              <w:rPr>
                <w:rStyle w:val="Hyperlink"/>
              </w:rPr>
              <w:t>Conclusion</w:t>
            </w:r>
            <w:r>
              <w:tab/>
            </w:r>
            <w:r>
              <w:fldChar w:fldCharType="begin"/>
            </w:r>
            <w:r>
              <w:instrText xml:space="preserve"> PAGEREF _Toc256000013 \h </w:instrText>
            </w:r>
            <w:r>
              <w:fldChar w:fldCharType="separate"/>
            </w:r>
            <w:r>
              <w:t>31</w:t>
            </w:r>
            <w:r>
              <w:fldChar w:fldCharType="end"/>
            </w:r>
          </w:hyperlink>
        </w:p>
        <w:p>
          <w:pPr>
            <w:pStyle w:val="TOC1"/>
            <w:rPr>
              <w:rFonts w:asciiTheme="minorHAnsi" w:hAnsiTheme="minorHAnsi"/>
              <w:noProof/>
              <w:sz w:val="22"/>
            </w:rPr>
          </w:pPr>
          <w:hyperlink w:anchor="_Toc256000014" w:history="1">
            <w:r>
              <w:rPr>
                <w:rStyle w:val="Hyperlink"/>
              </w:rPr>
              <w:t>Certificate of Compliance</w:t>
            </w:r>
            <w:r>
              <w:tab/>
            </w:r>
            <w:r>
              <w:fldChar w:fldCharType="begin"/>
            </w:r>
            <w:r>
              <w:instrText xml:space="preserve"> PAGEREF _Toc256000014 \h </w:instrText>
            </w:r>
            <w:r>
              <w:fldChar w:fldCharType="separate"/>
            </w:r>
            <w:r>
              <w:t>32</w:t>
            </w:r>
            <w:r>
              <w:fldChar w:fldCharType="end"/>
            </w:r>
          </w:hyperlink>
        </w:p>
        <w:p>
          <w:pPr>
            <w:pStyle w:val="TOC1"/>
            <w:rPr>
              <w:rFonts w:asciiTheme="minorHAnsi" w:hAnsiTheme="minorHAnsi"/>
              <w:noProof/>
              <w:sz w:val="22"/>
            </w:rPr>
          </w:pPr>
          <w:hyperlink w:anchor="_Toc256000015" w:history="1">
            <w:r>
              <w:rPr>
                <w:rStyle w:val="Hyperlink"/>
              </w:rPr>
              <w:t>Certificate of Service</w:t>
            </w:r>
            <w:r>
              <w:tab/>
            </w:r>
            <w:r>
              <w:fldChar w:fldCharType="begin"/>
            </w:r>
            <w:r>
              <w:instrText xml:space="preserve"> PAGEREF _Toc256000015 \h </w:instrText>
            </w:r>
            <w:r>
              <w:fldChar w:fldCharType="separate"/>
            </w:r>
            <w:r>
              <w:t>33</w:t>
            </w:r>
            <w:r>
              <w:fldChar w:fldCharType="end"/>
            </w:r>
          </w:hyperlink>
        </w:p>
        <w:p>
          <w:pPr>
            <w:pStyle w:val="TOC1"/>
            <w:tabs>
              <w:tab w:val="clear" w:pos="9350"/>
              <w:tab w:val="right" w:leader="dot" w:pos="9360"/>
            </w:tabs>
          </w:pPr>
          <w:r>
            <w:rPr>
              <w:rStyle w:val="IndexLink"/>
            </w:rPr>
            <w:fldChar w:fldCharType="end"/>
          </w:r>
        </w:p>
      </w:sdtContent>
    </w:sdt>
    <w:p>
      <w:r>
        <w:br w:type="page"/>
      </w:r>
    </w:p>
    <w:p>
      <w:pPr>
        <w:pStyle w:val="Heading1"/>
      </w:pPr>
      <w:bookmarkStart w:id="0" w:name="_Toc256000000"/>
      <w:r>
        <w:t>Table of Authorities</w:t>
      </w:r>
      <w:bookmarkEnd w:id="0"/>
    </w:p>
    <w:sdt>
      <w:sdtPr>
        <w:id w:val="1393181034"/>
        <w:docPartObj>
          <w:docPartGallery w:val="Table of Authorities"/>
          <w:docPartUnique/>
        </w:docPartObj>
      </w:sdtPr>
      <w:sdtContent>
        <w:p>
          <w:pPr>
            <w:pStyle w:val="TOAHeading"/>
            <w:tabs>
              <w:tab w:val="right" w:leader="dot" w:pos="9350"/>
            </w:tabs>
          </w:pPr>
          <w:r>
            <w:fldChar w:fldCharType="begin"/>
          </w:r>
          <w:r>
            <w:instrText>TOA \h \c "1" \f</w:instrText>
          </w:r>
          <w:r>
            <w:fldChar w:fldCharType="separate"/>
          </w:r>
          <w:r>
            <w:t>Cases</w:t>
          </w:r>
        </w:p>
        <w:p>
          <w:pPr>
            <w:pStyle w:val="TableofAuthorities"/>
          </w:pPr>
          <w:r>
            <w:t>Campbell v. Acuff-Rose Music, Inc.,     510 U.S. 569 (1994)</w:t>
          </w:r>
          <w:r>
            <w:tab/>
          </w:r>
          <w:r>
            <w:t>14, 15, 16, 28</w:t>
          </w:r>
        </w:p>
        <w:p>
          <w:pPr>
            <w:pStyle w:val="TableofAuthorities"/>
          </w:pPr>
          <w:r>
            <w:t>Cel-Tech Communications, Inc. v. Los Angeles Cellular Telephone Co.,     20 Cal. 4th 163 (1999)</w:t>
          </w:r>
          <w:r>
            <w:tab/>
          </w:r>
          <w:r>
            <w:t>22</w:t>
          </w:r>
        </w:p>
        <w:p>
          <w:pPr>
            <w:pStyle w:val="TableofAuthorities"/>
          </w:pPr>
          <w:r>
            <w:t>Dereck Seltzer v. Green Day, Inc.,     725 F.3d 1170 (9th Cir. 2013)</w:t>
          </w:r>
          <w:r>
            <w:tab/>
          </w:r>
          <w:r>
            <w:t>17</w:t>
          </w:r>
        </w:p>
        <w:p>
          <w:pPr>
            <w:pStyle w:val="TableofAuthorities"/>
          </w:pPr>
          <w:r>
            <w:t>Dr. Seuss Enterprises, L.P. v. Comicmix LLC,     983 F.3d 443 (9th Cir. 2020)</w:t>
          </w:r>
          <w:r>
            <w:tab/>
          </w:r>
          <w:r>
            <w:t>26, 27</w:t>
          </w:r>
        </w:p>
        <w:p>
          <w:pPr>
            <w:pStyle w:val="TableofAuthorities"/>
          </w:pPr>
          <w:r>
            <w:t>Harper &amp; Row, Publishers, Inc. v. Nation Enterprises, 85 L. Ed. 2d 588 (1985)</w:t>
          </w:r>
          <w:r>
            <w:tab/>
          </w:r>
          <w:r>
            <w:t>11, 15, 16</w:t>
          </w:r>
        </w:p>
        <w:p>
          <w:pPr>
            <w:pStyle w:val="TableofAuthorities"/>
          </w:pPr>
          <w:r>
            <w:t>Korea Supply Co. v. Lockheed Martin Corp.,     29 Cal. 4th 1134 (2003)</w:t>
          </w:r>
          <w:r>
            <w:tab/>
          </w:r>
          <w:r>
            <w:t>21</w:t>
          </w:r>
        </w:p>
        <w:p>
          <w:pPr>
            <w:pStyle w:val="TableofAuthorities"/>
          </w:pPr>
          <w:r>
            <w:t>New York Times Co. v. Sullivan,     376 U.S. 254 (1964)</w:t>
          </w:r>
          <w:r>
            <w:tab/>
          </w:r>
          <w:r>
            <w:t>26, 27, 28, 29</w:t>
          </w:r>
        </w:p>
        <w:p>
          <w:pPr>
            <w:pStyle w:val="TableofAuthorities"/>
          </w:pPr>
          <w:r>
            <w:t>Noelia Monge v. Maya Magazines, Inc.,     688 F.3d 1164 (9th Cir. 2012)</w:t>
          </w:r>
          <w:r>
            <w:tab/>
          </w:r>
          <w:r>
            <w:t>15</w:t>
          </w:r>
        </w:p>
        <w:p>
          <w:pPr>
            <w:pStyle w:val="TableofAuthorities"/>
          </w:pPr>
          <w:r>
            <w:t>Perfect 10, Inc. v. Amazon. Com, Inc.,     508 F.3d 1146 (9th Cir. 2007)</w:t>
          </w:r>
          <w:r>
            <w:tab/>
          </w:r>
          <w:r>
            <w:t>16</w:t>
          </w:r>
        </w:p>
        <w:p>
          <w:r>
            <w:fldChar w:fldCharType="end"/>
          </w:r>
        </w:p>
        <w:p>
          <w:pPr>
            <w:pStyle w:val="TOAHeading"/>
            <w:tabs>
              <w:tab w:val="right" w:leader="dot" w:pos="9350"/>
            </w:tabs>
          </w:pPr>
          <w:r>
            <w:fldChar w:fldCharType="begin"/>
          </w:r>
          <w:r>
            <w:instrText>TOA \h \c "2" \f</w:instrText>
          </w:r>
          <w:r>
            <w:fldChar w:fldCharType="separate"/>
          </w:r>
          <w:r>
            <w:t>Statutes</w:t>
          </w:r>
        </w:p>
        <w:p>
          <w:pPr>
            <w:pStyle w:val="TableofAuthorities"/>
          </w:pPr>
          <w:r>
            <w:t>17 U.S.C. § 106 - Exclusive rights in copyrighted works</w:t>
          </w:r>
          <w:r>
            <w:tab/>
          </w:r>
          <w:r>
            <w:t>14, 17</w:t>
          </w:r>
        </w:p>
        <w:p>
          <w:pPr>
            <w:pStyle w:val="TableofAuthorities"/>
          </w:pPr>
          <w:r>
            <w:t>17 U.S.C. § 501 - Infringement of copyright</w:t>
          </w:r>
          <w:r>
            <w:tab/>
          </w:r>
          <w:r>
            <w:t>14, 17</w:t>
          </w:r>
        </w:p>
        <w:p>
          <w:pPr>
            <w:pStyle w:val="TableofAuthorities"/>
          </w:pPr>
          <w:r>
            <w:t>17 U.S.C. § 504 - Remedies for infringement: Damages and profits</w:t>
          </w:r>
          <w:r>
            <w:tab/>
          </w:r>
          <w:r>
            <w:t>17, 18, 19, 20</w:t>
          </w:r>
        </w:p>
        <w:p>
          <w:pPr>
            <w:pStyle w:val="TableofAuthorities"/>
          </w:pPr>
          <w:r>
            <w:t>Cal. Bus. &amp; Prof. Code § 17200</w:t>
          </w:r>
          <w:r>
            <w:tab/>
          </w:r>
          <w:r>
            <w:t>20, 22, 23, 24, 25, 26</w:t>
          </w:r>
        </w:p>
        <w:p>
          <w:pPr>
            <w:pStyle w:val="TableofAuthorities"/>
          </w:pPr>
          <w:r>
            <w:t>Cal. Bus. &amp; Prof. Code § 17203</w:t>
          </w:r>
          <w:r>
            <w:tab/>
          </w:r>
          <w:r>
            <w:t>23, 25, 26</w:t>
          </w:r>
        </w:p>
        <w:p>
          <w:pPr>
            <w:pStyle w:val="TableofAuthorities"/>
          </w:pPr>
          <w:r>
            <w:t>Cal. Civ. Code § 44</w:t>
          </w:r>
          <w:r>
            <w:tab/>
          </w:r>
          <w:r>
            <w:t>26, 27, 28, 30</w:t>
          </w:r>
        </w:p>
        <w:p>
          <w:pPr>
            <w:pStyle w:val="TableofAuthorities"/>
          </w:pPr>
          <w:r>
            <w:t>Cal. Civ. Code § 45</w:t>
          </w:r>
          <w:r>
            <w:tab/>
          </w:r>
          <w:r>
            <w:t>26, 27, 29, 30</w:t>
          </w:r>
        </w:p>
        <w:p>
          <w:pPr>
            <w:pStyle w:val="TableofAuthorities"/>
          </w:pPr>
          <w:r>
            <w:t>Cal. Civ. Code § 45a</w:t>
          </w:r>
          <w:r>
            <w:tab/>
          </w:r>
          <w:r>
            <w:t>28, 29, 30</w:t>
          </w:r>
        </w:p>
        <w:p>
          <w:r>
            <w:fldChar w:fldCharType="end"/>
          </w:r>
        </w:p>
      </w:sdtContent>
    </w:sdt>
    <w:p>
      <w:bookmarkStart w:id="1" w:name="table-of-authorities"/>
      <w:bookmarkEnd w:id="1"/>
      <w:r>
        <w:br w:type="page"/>
      </w:r>
    </w:p>
    <w:p>
      <w:pPr>
        <w:pStyle w:val="Heading1"/>
      </w:pPr>
      <w:bookmarkStart w:id="2" w:name="_Toc256000001"/>
      <w:r>
        <w:t>Introduction</w:t>
      </w:r>
      <w:bookmarkEnd w:id="2"/>
    </w:p>
    <w:p>
      <w:pPr>
        <w:pStyle w:val="FirstParagraph"/>
      </w:pPr>
      <w:r>
        <w:t>Plaintiff GLOBAL MEDIA (“Global Media”) asks this Court to punish Defendant JANE SMITH (“Ms. Smith”) for doing what the First Amendment and the Copyright Act expressly protect: quoting from a published work in order to criticize it. After Global Media placed its magazine article into the stream of public discourse, Ms. Smith wrote a single, noncommercial blog post on her ad-free blog commenting on the article’s content and quality. Global Media now recasts that criticism as actionable infringement, unfair competition, and defamation—while offering only speculative allegations of harm untethered to any cognizable legal theory.</w:t>
      </w:r>
    </w:p>
    <w:p>
      <w:pPr>
        <w:pStyle w:val="BodyText"/>
      </w:pPr>
      <w:r>
        <w:t xml:space="preserve">This case turns on straightforward questions of law. First, Ms. Smith’s post is a paradigmatic fair use under 17 U.S.C. § 107: its purpose was criticism and comment, the work was published, the excerpting was tied to the critical aim, and Global Media alleges no plausible market substitution. See </w:t>
      </w:r>
      <w:r>
        <w:rPr>
          <w:i/>
          <w:iCs/>
        </w:rPr>
        <w:t>Campbell</w:t>
      </w:r>
      <w:r>
        <w:t xml:space="preserve"> v. </w:t>
      </w:r>
      <w:r>
        <w:rPr>
          <w:i/>
          <w:iCs/>
        </w:rPr>
        <w:t>Acuff-Rose Music, Inc.</w:t>
      </w:r>
      <w:r>
        <w:t xml:space="preserve">, 510 U.S. 569 (1994); </w:t>
      </w:r>
      <w:r>
        <w:rPr>
          <w:i/>
          <w:iCs/>
        </w:rPr>
        <w:t>Harper &amp; Row, Publishers, Inc.</w:t>
      </w:r>
      <w:r>
        <w:t xml:space="preserve"> v. </w:t>
      </w:r>
      <w:r>
        <w:rPr>
          <w:i/>
          <w:iCs/>
        </w:rPr>
        <w:t>Nation Enters.</w:t>
      </w:r>
      <w:r>
        <w:t xml:space="preserve">, 471 U.S. 539 (1985); </w:t>
      </w:r>
      <w:r>
        <w:rPr>
          <w:i/>
          <w:iCs/>
        </w:rPr>
        <w:t>Perfect 10, Inc.</w:t>
      </w:r>
      <w:r>
        <w:t xml:space="preserve"> v. </w:t>
      </w:r>
      <w:r>
        <w:rPr>
          <w:i/>
          <w:iCs/>
        </w:rPr>
        <w:t>Amazon.com, Inc.</w:t>
      </w:r>
      <w:r>
        <w:t xml:space="preserve">, 508 F.3d 1146 (9th Cir. 2007). Second, even on Global Media’s own allegations, it cannot recover actual damages or disgorgement under 17 U.S.C. § 504(b) because the blog carried no advertising and Global Media points only to generalized business “costs” and purportedly increased voluntary reader contributions—neither of which is tied by non-speculative proof to any infringement. See </w:t>
      </w:r>
      <w:r>
        <w:rPr>
          <w:i/>
          <w:iCs/>
        </w:rPr>
        <w:t>Mackie</w:t>
      </w:r>
      <w:r>
        <w:t xml:space="preserve"> v. </w:t>
      </w:r>
      <w:r>
        <w:rPr>
          <w:i/>
          <w:iCs/>
        </w:rPr>
        <w:t>Rieser</w:t>
      </w:r>
      <w:r>
        <w:t xml:space="preserve">, 296 F.3d 909 (9th Cir. 2002); </w:t>
      </w:r>
      <w:r>
        <w:rPr>
          <w:i/>
          <w:iCs/>
        </w:rPr>
        <w:t>Polar Bear Prods., Inc.</w:t>
      </w:r>
      <w:r>
        <w:t xml:space="preserve"> v. </w:t>
      </w:r>
      <w:r>
        <w:rPr>
          <w:i/>
          <w:iCs/>
        </w:rPr>
        <w:t>Timex Corp.</w:t>
      </w:r>
      <w:r>
        <w:t>, 384 F.3d 700 (9th Cir. 2004).</w:t>
      </w:r>
    </w:p>
    <w:p>
      <w:pPr>
        <w:pStyle w:val="BodyText"/>
      </w:pPr>
      <w:r>
        <w:t xml:space="preserve">Global Media’s state-law claims fail for the same reason: they attempt to convert protected expression into commercial misconduct and actionable “fact.” The UCL requires a concrete loss of money or property caused by the challenged conduct, which Global Media does not and cannot plead based on reputational displeasure with criticism. See Cal. Bus. &amp; Prof. Code §§ 17200, 17204; </w:t>
      </w:r>
      <w:r>
        <w:rPr>
          <w:i/>
          <w:iCs/>
        </w:rPr>
        <w:t>Kwikset Corp.</w:t>
      </w:r>
      <w:r>
        <w:t xml:space="preserve"> v. </w:t>
      </w:r>
      <w:r>
        <w:rPr>
          <w:i/>
          <w:iCs/>
        </w:rPr>
        <w:t>Superior Court</w:t>
      </w:r>
      <w:r>
        <w:t xml:space="preserve">, 51 Cal. 4th 310 (2011); </w:t>
      </w:r>
      <w:r>
        <w:rPr>
          <w:i/>
          <w:iCs/>
        </w:rPr>
        <w:t>In re Tobacco II Cases</w:t>
      </w:r>
      <w:r>
        <w:t xml:space="preserve">, 46 Cal. 4th 298 (2009). And Ms. Smith’s post—presenting the quoted text and then sharply negative evaluation—would be understood by any reasonable reader as opinion and rhetorical hyperbole, not a provably false assertion of fact. See </w:t>
      </w:r>
      <w:r>
        <w:rPr>
          <w:i/>
          <w:iCs/>
        </w:rPr>
        <w:t>Milkovich</w:t>
      </w:r>
      <w:r>
        <w:t xml:space="preserve"> v. </w:t>
      </w:r>
      <w:r>
        <w:rPr>
          <w:i/>
          <w:iCs/>
        </w:rPr>
        <w:t>Lorain Journal Co.</w:t>
      </w:r>
      <w:r>
        <w:t xml:space="preserve">, 497 U.S. 1 (1990); </w:t>
      </w:r>
      <w:r>
        <w:rPr>
          <w:i/>
          <w:iCs/>
        </w:rPr>
        <w:t>Baker</w:t>
      </w:r>
      <w:r>
        <w:t xml:space="preserve"> v. </w:t>
      </w:r>
      <w:r>
        <w:rPr>
          <w:i/>
          <w:iCs/>
        </w:rPr>
        <w:t>Los Angeles Herald Examiner</w:t>
      </w:r>
      <w:r>
        <w:t xml:space="preserve">, 42 Cal. 3d 254 (1986). At most, any defamation theory here sounds in libel not on its face, requiring special damages that Global Media does not plead. See Cal. Civ. Code § 45a; </w:t>
      </w:r>
      <w:r>
        <w:rPr>
          <w:i/>
          <w:iCs/>
        </w:rPr>
        <w:t>Slaughter</w:t>
      </w:r>
      <w:r>
        <w:t xml:space="preserve"> v. </w:t>
      </w:r>
      <w:r>
        <w:rPr>
          <w:i/>
          <w:iCs/>
        </w:rPr>
        <w:t>Friedman</w:t>
      </w:r>
      <w:r>
        <w:t xml:space="preserve">, 32 Cal. 3d 149 (1982); </w:t>
      </w:r>
      <w:r>
        <w:rPr>
          <w:i/>
          <w:iCs/>
        </w:rPr>
        <w:t>Barnes-Hind, Inc.</w:t>
      </w:r>
      <w:r>
        <w:t xml:space="preserve"> v. </w:t>
      </w:r>
      <w:r>
        <w:rPr>
          <w:i/>
          <w:iCs/>
        </w:rPr>
        <w:t>Superior Court</w:t>
      </w:r>
      <w:r>
        <w:t>, 181 Cal. App. 3d 377 (1986).</w:t>
      </w:r>
    </w:p>
    <w:p>
      <w:pPr>
        <w:pStyle w:val="BodyText"/>
      </w:pPr>
      <w:r>
        <w:t>Because Global Media’s complaint targets a single noncommercial act of commentary and rests on conjecture about business effects rather than legally cognizable injury, the Court should grant the requested relief and dispose of these claims at the threshold.</w:t>
      </w:r>
    </w:p>
    <w:p>
      <w:bookmarkStart w:id="3" w:name="introduction"/>
      <w:bookmarkEnd w:id="3"/>
      <w:r>
        <w:br w:type="page"/>
      </w:r>
    </w:p>
    <w:p>
      <w:pPr>
        <w:pStyle w:val="Heading1"/>
      </w:pPr>
      <w:bookmarkStart w:id="4" w:name="_Toc256000002"/>
      <w:r>
        <w:t>Statement of Jurisdiction</w:t>
      </w:r>
      <w:bookmarkEnd w:id="4"/>
    </w:p>
    <w:p>
      <w:pPr>
        <w:pStyle w:val="FirstParagraph"/>
      </w:pPr>
      <w:r>
        <w:t xml:space="preserve">This Court has subject-matter jurisdiction because Global Media’s claims, as pleaded, arise in substantial part from alleged copying and online republication of the Magazine Article—conduct that falls within the exclusive province of the federal Copyright Act’s protected rights of reproduction and public display, 17 U.S.C. § 106, and its civil infringement remedy, 17 U.S.C. § 501. Federal district courts have original and exclusive jurisdiction over “any civil action arising under any Act of Congress relating to copyrights,” 28 U.S.C. § 1338(a), and a complaint that seeks relief for unauthorized copying and republication of protected expression “arises under” the Copyright Act within the meaning of § 1338(a), see </w:t>
      </w:r>
      <w:r>
        <w:rPr>
          <w:i/>
          <w:iCs/>
        </w:rPr>
        <w:t>Gunn</w:t>
      </w:r>
      <w:r>
        <w:t xml:space="preserve"> v. </w:t>
      </w:r>
      <w:r>
        <w:rPr>
          <w:i/>
          <w:iCs/>
        </w:rPr>
        <w:t>Minton</w:t>
      </w:r>
      <w:r>
        <w:t>, 568 U.S. 251 (2013) (explaining “arising under” principles for embedded federal issues) (2013).</w:t>
      </w:r>
    </w:p>
    <w:p>
      <w:pPr>
        <w:pStyle w:val="BodyText"/>
      </w:pPr>
      <w:r>
        <w:t xml:space="preserve">To the extent Global Media asserts any California unfair-competition theory predicated on the same alleged copying and exploitation of the Magazine Article, this Court may adjudicate that claim alongside the copyright claim because jurisdiction extends to “any civil action asserting a claim of unfair competition when joined with a substantial and related claim under the copyright . . . laws,” 28 U.S.C. § 1338(b). And to the extent Global Media’s remaining state-law theories (including any libel/defamation theory under Cal. Civ. Code §§ 44–45a) are part of the same case or controversy arising from the single challenged Blog Post and its asserted marketplace effects, this Court may, as a matter of pendent jurisdiction, resolve those closely related state claims to promote judicial economy and consistent outcomes, see </w:t>
      </w:r>
      <w:r>
        <w:rPr>
          <w:i/>
          <w:iCs/>
        </w:rPr>
        <w:t>United Mine Workers</w:t>
      </w:r>
      <w:r>
        <w:t xml:space="preserve"> v. </w:t>
      </w:r>
      <w:r>
        <w:rPr>
          <w:i/>
          <w:iCs/>
        </w:rPr>
        <w:t>Gibbs</w:t>
      </w:r>
      <w:r>
        <w:t>, 383 U.S. 715 (1966).</w:t>
      </w:r>
    </w:p>
    <w:p>
      <w:pPr>
        <w:pStyle w:val="BodyText"/>
      </w:pPr>
      <w:r>
        <w:t xml:space="preserve">This Court has personal jurisdiction over Ms. Smith because she is a California resident, and California’s long-arm statute authorizes jurisdiction on any basis not inconsistent with the Constitutions of California or the United States, Cal. Civ. Proc. Code § 410.10. A defendant’s domicile in the forum state supplies a constitutionally sufficient basis for the state’s courts—and, by extension, a federal court sitting in California applying California’s long-arm authorization—to exercise general jurisdiction over claims against that defendant, see </w:t>
      </w:r>
      <w:r>
        <w:rPr>
          <w:i/>
          <w:iCs/>
        </w:rPr>
        <w:t>Daimler AG</w:t>
      </w:r>
      <w:r>
        <w:t xml:space="preserve"> v. </w:t>
      </w:r>
      <w:r>
        <w:rPr>
          <w:i/>
          <w:iCs/>
        </w:rPr>
        <w:t>Bauman</w:t>
      </w:r>
      <w:r>
        <w:t xml:space="preserve">, 571 U.S. 117 (2014); </w:t>
      </w:r>
      <w:r>
        <w:rPr>
          <w:i/>
          <w:iCs/>
        </w:rPr>
        <w:t>Vons Cos.</w:t>
      </w:r>
      <w:r>
        <w:t xml:space="preserve"> v. </w:t>
      </w:r>
      <w:r>
        <w:rPr>
          <w:i/>
          <w:iCs/>
        </w:rPr>
        <w:t>Seabest Foods, Inc.</w:t>
      </w:r>
      <w:r>
        <w:t>, 14 Cal. 4th 434 (1996).</w:t>
      </w:r>
    </w:p>
    <w:p>
      <w:pPr>
        <w:pStyle w:val="BodyText"/>
      </w:pPr>
      <w:r>
        <w:t xml:space="preserve">Alternatively, even if the Court were to analyze jurisdiction claim-by-claim, specific jurisdiction independently exists because the operative conduct alleged is the creation and publication of the Blog Post in California and the resulting alleged injury to a California business, rendering it foreseeable that Ms. Smith would be haled into a California forum for claims arising from that publication, Cal. Civ. Proc. Code § 410.10; see </w:t>
      </w:r>
      <w:r>
        <w:rPr>
          <w:i/>
          <w:iCs/>
        </w:rPr>
        <w:t>Calder</w:t>
      </w:r>
      <w:r>
        <w:t xml:space="preserve"> v. </w:t>
      </w:r>
      <w:r>
        <w:rPr>
          <w:i/>
          <w:iCs/>
        </w:rPr>
        <w:t>Jones</w:t>
      </w:r>
      <w:r>
        <w:t xml:space="preserve">, 465 U.S. 783 (1984); </w:t>
      </w:r>
      <w:r>
        <w:rPr>
          <w:i/>
          <w:iCs/>
        </w:rPr>
        <w:t>Pavlovich</w:t>
      </w:r>
      <w:r>
        <w:t xml:space="preserve"> v. </w:t>
      </w:r>
      <w:r>
        <w:rPr>
          <w:i/>
          <w:iCs/>
        </w:rPr>
        <w:t>Superior Court</w:t>
      </w:r>
      <w:r>
        <w:t>, 29 Cal. 4th 262 (2002).</w:t>
      </w:r>
    </w:p>
    <w:p>
      <w:pPr>
        <w:pStyle w:val="BodyText"/>
      </w:pPr>
      <w:r>
        <w:t>Venue is proper in this District under California venue principles because the action is based on a publication and asserted injury connected to California, and California provides that transitory actions are generally tried in the county where the defendant resides and, in appropriate cases, where the injury occurs, Cal. Civ. Proc. Code § 395(a). Given Ms. Smith’s California residency and Global Media’s allegations of harm within California flowing from the Blog Post, venue is proper in the California forum in which this action proceeds, consistent with Cal. Civ. Proc. Code § 395(a).</w:t>
      </w:r>
    </w:p>
    <w:p>
      <w:pPr>
        <w:pStyle w:val="BodyText"/>
      </w:pPr>
      <w:r>
        <w:t xml:space="preserve">Accordingly, the Court has authority to hear and decide this dispute: it possesses subject-matter jurisdiction over the substantial copyright claim and closely related joined and pendent state claims, 28 U.S.C. §§ 1338(a)–(b); 17 U.S.C. §§ 106, 501, and it may exercise personal jurisdiction over Ms. Smith under California’s long-arm statute because she is a California resident and the challenged publication is alleged to have caused injury in California, Cal. Civ. Proc. Code § 410.10; </w:t>
      </w:r>
      <w:r>
        <w:rPr>
          <w:i/>
          <w:iCs/>
        </w:rPr>
        <w:t>Vons Cos.</w:t>
      </w:r>
      <w:r>
        <w:t xml:space="preserve"> v. </w:t>
      </w:r>
      <w:r>
        <w:rPr>
          <w:i/>
          <w:iCs/>
        </w:rPr>
        <w:t>Seabest Foods, Inc.</w:t>
      </w:r>
      <w:r>
        <w:t>, 14 Cal. 4th 434 (1996).</w:t>
      </w:r>
    </w:p>
    <w:p>
      <w:bookmarkStart w:id="5" w:name="statement-of-jurisdiction"/>
      <w:bookmarkEnd w:id="5"/>
      <w:r>
        <w:br w:type="page"/>
      </w:r>
    </w:p>
    <w:p>
      <w:pPr>
        <w:pStyle w:val="Heading1"/>
      </w:pPr>
      <w:bookmarkStart w:id="6" w:name="_Toc256000003"/>
      <w:r>
        <w:t>Statement of Issues</w:t>
      </w:r>
      <w:bookmarkEnd w:id="6"/>
    </w:p>
    <w:p>
      <w:pPr>
        <w:numPr>
          <w:ilvl w:val="0"/>
          <w:numId w:val="10"/>
        </w:numPr>
      </w:pPr>
      <w:r>
        <w:t xml:space="preserve">Whether Ms. Smith’s noncommercial blog post, which reproduced excerpts from Global Media’s article solely to critique and comment on the disclosed text, constitutes fair use under 17 U.S.C. § 107 notwithstanding Global Media’s speculative allegations of lost magazine business. See </w:t>
      </w:r>
      <w:r>
        <w:rPr>
          <w:i/>
          <w:iCs/>
        </w:rPr>
        <w:t>Campbell</w:t>
      </w:r>
      <w:r>
        <w:t xml:space="preserve"> v. </w:t>
      </w:r>
      <w:r>
        <w:rPr>
          <w:i/>
          <w:iCs/>
        </w:rPr>
        <w:t>Acuff-Rose Music, Inc.</w:t>
      </w:r>
      <w:r>
        <w:t xml:space="preserve">, 510 U.S. 569 (1994); </w:t>
      </w:r>
      <w:r>
        <w:rPr>
          <w:i/>
          <w:iCs/>
        </w:rPr>
        <w:t>Harper &amp; Row, Publishers, Inc.</w:t>
      </w:r>
      <w:r>
        <w:t xml:space="preserve"> v. </w:t>
      </w:r>
      <w:r>
        <w:rPr>
          <w:i/>
          <w:iCs/>
        </w:rPr>
        <w:t>Nation Enters.</w:t>
      </w:r>
      <w:r>
        <w:t xml:space="preserve">, 471 U.S. 539 (1985); </w:t>
      </w:r>
      <w:r>
        <w:rPr>
          <w:i/>
          <w:iCs/>
        </w:rPr>
        <w:t>Perfect 10, Inc.</w:t>
      </w:r>
      <w:r>
        <w:t xml:space="preserve"> v. </w:t>
      </w:r>
      <w:r>
        <w:rPr>
          <w:i/>
          <w:iCs/>
        </w:rPr>
        <w:t>Amazon.com, Inc.</w:t>
      </w:r>
      <w:r>
        <w:t>, 508 F.3d 1146 (9th Cir. 2007).</w:t>
      </w:r>
    </w:p>
    <w:p>
      <w:pPr>
        <w:numPr>
          <w:ilvl w:val="0"/>
          <w:numId w:val="10"/>
        </w:numPr>
      </w:pPr>
      <w:r>
        <w:t xml:space="preserve">Whether Global Media can recover any actual damages and/or disgorgement of profits under 17 U.S.C. § 504 where the blog carried no advertising, Global Media alleges only generalized business harm untethered to the challenged post, and Ms. Smith’s asserted “benefit” is limited to voluntary reader contributions not shown to be attributable to infringement. See </w:t>
      </w:r>
      <w:r>
        <w:rPr>
          <w:i/>
          <w:iCs/>
        </w:rPr>
        <w:t>Mackie</w:t>
      </w:r>
      <w:r>
        <w:t xml:space="preserve"> v. </w:t>
      </w:r>
      <w:r>
        <w:rPr>
          <w:i/>
          <w:iCs/>
        </w:rPr>
        <w:t>Rieser</w:t>
      </w:r>
      <w:r>
        <w:t xml:space="preserve">, 296 F.3d 909 (9th Cir. 2002); </w:t>
      </w:r>
      <w:r>
        <w:rPr>
          <w:i/>
          <w:iCs/>
        </w:rPr>
        <w:t>Polar Bear Prods., Inc.</w:t>
      </w:r>
      <w:r>
        <w:t xml:space="preserve"> v. </w:t>
      </w:r>
      <w:r>
        <w:rPr>
          <w:i/>
          <w:iCs/>
        </w:rPr>
        <w:t>Timex Corp.</w:t>
      </w:r>
      <w:r>
        <w:t>, 384 F.3d 700 (9th Cir. 2004).</w:t>
      </w:r>
    </w:p>
    <w:p>
      <w:pPr>
        <w:numPr>
          <w:ilvl w:val="0"/>
          <w:numId w:val="10"/>
        </w:numPr>
      </w:pPr>
      <w:r>
        <w:t xml:space="preserve">Whether Global Media has Article III and statutory standing to pursue a claim under the Unfair Competition Law, Cal. Bus. &amp; Prof. Code §§ 17200, 17204, where it alleges only reputational or business “costs” from criticism but does not plead a concrete loss of money or property caused by Ms. Smith’s post. See </w:t>
      </w:r>
      <w:r>
        <w:rPr>
          <w:i/>
          <w:iCs/>
        </w:rPr>
        <w:t>Kwikset Corp.</w:t>
      </w:r>
      <w:r>
        <w:t xml:space="preserve"> v. </w:t>
      </w:r>
      <w:r>
        <w:rPr>
          <w:i/>
          <w:iCs/>
        </w:rPr>
        <w:t>Superior Court</w:t>
      </w:r>
      <w:r>
        <w:t xml:space="preserve">, 51 Cal. 4th 310 (2011); </w:t>
      </w:r>
      <w:r>
        <w:rPr>
          <w:i/>
          <w:iCs/>
        </w:rPr>
        <w:t>In re Tobacco II Cases</w:t>
      </w:r>
      <w:r>
        <w:t>, 46 Cal. 4th 298 (2009).</w:t>
      </w:r>
    </w:p>
    <w:p>
      <w:pPr>
        <w:numPr>
          <w:ilvl w:val="0"/>
          <w:numId w:val="10"/>
        </w:numPr>
      </w:pPr>
      <w:r>
        <w:t xml:space="preserve">Whether a non-advertising, commentary-driven blog post—unconnected to the sale of goods or services and involving only voluntary contributions—constitutes a “business act or practice” actionable under Cal. Bus. &amp; Prof. Code § 17200, as opposed to protected noncommercial expression. See </w:t>
      </w:r>
      <w:r>
        <w:rPr>
          <w:i/>
          <w:iCs/>
        </w:rPr>
        <w:t>Kasky</w:t>
      </w:r>
      <w:r>
        <w:t xml:space="preserve"> v. </w:t>
      </w:r>
      <w:r>
        <w:rPr>
          <w:i/>
          <w:iCs/>
        </w:rPr>
        <w:t>Nike, Inc.</w:t>
      </w:r>
      <w:r>
        <w:t>, 27 Cal. 4th 939 (2002).</w:t>
      </w:r>
    </w:p>
    <w:p>
      <w:pPr>
        <w:numPr>
          <w:ilvl w:val="0"/>
          <w:numId w:val="10"/>
        </w:numPr>
      </w:pPr>
      <w:r>
        <w:t xml:space="preserve">Whether Ms. Smith’s post, which disclosed the relevant text and then offered evaluative criticism of Global Media’s writing and editorial choices, would be understood by a reasonable reader as nonactionable opinion and rhetorical hyperbole rather than a provably false assertion of fact. See </w:t>
      </w:r>
      <w:r>
        <w:rPr>
          <w:i/>
          <w:iCs/>
        </w:rPr>
        <w:t>Milkovich</w:t>
      </w:r>
      <w:r>
        <w:t xml:space="preserve"> v. </w:t>
      </w:r>
      <w:r>
        <w:rPr>
          <w:i/>
          <w:iCs/>
        </w:rPr>
        <w:t>Lorain Journal Co.</w:t>
      </w:r>
      <w:r>
        <w:t xml:space="preserve">, 497 U.S. 1 (1990); </w:t>
      </w:r>
      <w:r>
        <w:rPr>
          <w:i/>
          <w:iCs/>
        </w:rPr>
        <w:t>Baker</w:t>
      </w:r>
      <w:r>
        <w:t xml:space="preserve"> v. </w:t>
      </w:r>
      <w:r>
        <w:rPr>
          <w:i/>
          <w:iCs/>
        </w:rPr>
        <w:t>Los Angeles Herald Examiner</w:t>
      </w:r>
      <w:r>
        <w:t xml:space="preserve">, 42 Cal. 3d 254 (1986); </w:t>
      </w:r>
      <w:r>
        <w:rPr>
          <w:i/>
          <w:iCs/>
        </w:rPr>
        <w:t>Gregory</w:t>
      </w:r>
      <w:r>
        <w:t xml:space="preserve"> v. </w:t>
      </w:r>
      <w:r>
        <w:rPr>
          <w:i/>
          <w:iCs/>
        </w:rPr>
        <w:t>McDonnell Douglas Corp.</w:t>
      </w:r>
      <w:r>
        <w:t>, 17 Cal. 3d 596 (1976).</w:t>
      </w:r>
    </w:p>
    <w:p>
      <w:pPr>
        <w:numPr>
          <w:ilvl w:val="0"/>
          <w:numId w:val="10"/>
        </w:numPr>
      </w:pPr>
      <w:r>
        <w:t xml:space="preserve">Whether, because Global Media’s claimed injury arises (if at all) from criticism of its publication rather than any statement falling within a libel-per-se category, Cal. Civ. Code § 45a requires Global Media to plead and prove special damages as an essential element of any libel claim. See </w:t>
      </w:r>
      <w:r>
        <w:rPr>
          <w:i/>
          <w:iCs/>
        </w:rPr>
        <w:t>Slaughter</w:t>
      </w:r>
      <w:r>
        <w:t xml:space="preserve"> v. </w:t>
      </w:r>
      <w:r>
        <w:rPr>
          <w:i/>
          <w:iCs/>
        </w:rPr>
        <w:t>Friedman</w:t>
      </w:r>
      <w:r>
        <w:t xml:space="preserve">, 32 Cal. 3d 149 (1982); </w:t>
      </w:r>
      <w:r>
        <w:rPr>
          <w:i/>
          <w:iCs/>
        </w:rPr>
        <w:t>Barnes-Hind, Inc.</w:t>
      </w:r>
      <w:r>
        <w:t xml:space="preserve"> v. </w:t>
      </w:r>
      <w:r>
        <w:rPr>
          <w:i/>
          <w:iCs/>
        </w:rPr>
        <w:t>Superior Court</w:t>
      </w:r>
      <w:r>
        <w:t>, 181 Cal. App. 3d 377 (1986).</w:t>
      </w:r>
    </w:p>
    <w:p>
      <w:bookmarkStart w:id="7" w:name="statement-of-issues"/>
      <w:bookmarkEnd w:id="7"/>
      <w:r>
        <w:br w:type="page"/>
      </w:r>
    </w:p>
    <w:p>
      <w:pPr>
        <w:pStyle w:val="Heading1"/>
      </w:pPr>
      <w:bookmarkStart w:id="8" w:name="_Toc256000004"/>
      <w:r>
        <w:t>Statement of the Case</w:t>
      </w:r>
      <w:bookmarkEnd w:id="8"/>
    </w:p>
    <w:p>
      <w:pPr>
        <w:pStyle w:val="FirstParagraph"/>
      </w:pPr>
      <w:r>
        <w:t xml:space="preserve">Plaintiff brings this action against Ms. Smith based on Ms. Smith’s blog post, which quoted the heart of Plaintiff’s magazine article and included criticism of that article. </w:t>
      </w:r>
      <w:r>
        <w:fldChar w:fldCharType="begin"/>
      </w:r>
      <w:r>
        <w:instrText>TA \l "Harper &amp; Row, Publishers, Inc. v. Nation Enterprises, 85 L. Ed. 2d 588 (1985)" \s "Harper &amp; Row, Publishers, Inc. v. Nation Enterprises, 85 L. Ed. 2d" \c 1</w:instrText>
      </w:r>
      <w:r>
        <w:fldChar w:fldCharType="separate"/>
      </w:r>
      <w:r>
        <w:fldChar w:fldCharType="end"/>
      </w:r>
    </w:p>
    <w:p>
      <w:bookmarkStart w:id="9" w:name="statement-of-the-case"/>
      <w:bookmarkEnd w:id="9"/>
      <w:r>
        <w:br w:type="page"/>
      </w:r>
    </w:p>
    <w:p>
      <w:pPr>
        <w:pStyle w:val="Heading1"/>
      </w:pPr>
      <w:bookmarkStart w:id="10" w:name="_Toc256000005"/>
      <w:r>
        <w:t>Statement of the Facts</w:t>
      </w:r>
      <w:bookmarkEnd w:id="10"/>
    </w:p>
    <w:p>
      <w:pPr>
        <w:pStyle w:val="FirstParagraph"/>
      </w:pPr>
      <w:r>
        <w:t>Ms. Smith is a California resident who operates the Blog as a platform for her own commentary and criticism. The Blog does not carry advertising, underscoring its noncommercial nature and Ms. Smith’s lack of any traditional profit motive from page views or readership.</w:t>
      </w:r>
    </w:p>
    <w:p>
      <w:pPr>
        <w:pStyle w:val="BodyText"/>
      </w:pPr>
      <w:r>
        <w:t>Global Media, also a California resident, publishes the Magazine. Global Media published the Magazine Article at issue and placed it into the stream of public discourse through the Magazine’s distribution.</w:t>
      </w:r>
    </w:p>
    <w:p>
      <w:pPr>
        <w:pStyle w:val="BodyText"/>
      </w:pPr>
      <w:r>
        <w:t>After the Magazine Article appeared, Ms. Smith authored a single Blog Post addressing that publication. The Blog Post focused on evaluating the Magazine Article’s content and quality as a matter of public discussion and critique.</w:t>
      </w:r>
    </w:p>
    <w:p>
      <w:pPr>
        <w:pStyle w:val="BodyText"/>
      </w:pPr>
      <w:r>
        <w:t>In the Blog Post, Ms. Smith quoted what the parties describe as the “heart” of the Magazine Article. The Blog Post included little material beyond that quoted portion, and then followed with Ms. Smith’s own criticism of the Magazine Article.</w:t>
      </w:r>
    </w:p>
    <w:p>
      <w:pPr>
        <w:pStyle w:val="BodyText"/>
      </w:pPr>
      <w:r>
        <w:t>Ms. Smith’s criticism was short relative to the amount she quoted, but it was direct and pointed. The criticism has been described as “ruthless,” reflecting the sharply negative assessment she expressed about the Magazine Article.</w:t>
      </w:r>
    </w:p>
    <w:p>
      <w:pPr>
        <w:pStyle w:val="BodyText"/>
      </w:pPr>
      <w:r>
        <w:t>Global Media contends that Ms. Smith’s criticism may have harmed the Magazine’s credibility. Global Media further maintains that the Blog Post has cost the Magazine business, attributing adverse marketplace effects to Ms. Smith’s online critique.</w:t>
      </w:r>
    </w:p>
    <w:p>
      <w:pPr>
        <w:pStyle w:val="BodyText"/>
      </w:pPr>
      <w:r>
        <w:t>Although the Blog does not run advertisements, Global Media alleges that Ms. Smith benefited from increased voluntary contributions to the Blog following the Blog Post. Ms. Smith did not sell advertising space on the Blog in connection with the Blog Post.</w:t>
      </w:r>
    </w:p>
    <w:p>
      <w:pPr>
        <w:pStyle w:val="BodyText"/>
      </w:pPr>
      <w:r>
        <w:t>Based on the Blog Post’s quotation of the Magazine Article and Ms. Smith’s accompanying critique, and based on the effects Global Media attributes to that post, Global Media filed this action against Ms. Smith.</w:t>
      </w:r>
    </w:p>
    <w:p>
      <w:bookmarkStart w:id="11" w:name="statement-of-the-facts"/>
      <w:bookmarkEnd w:id="11"/>
      <w:r>
        <w:br w:type="page"/>
      </w:r>
    </w:p>
    <w:p>
      <w:pPr>
        <w:pStyle w:val="Heading1"/>
      </w:pPr>
      <w:bookmarkStart w:id="12" w:name="_Toc256000006"/>
      <w:r>
        <w:t>Argument</w:t>
      </w:r>
      <w:bookmarkEnd w:id="12"/>
    </w:p>
    <w:p>
      <w:pPr>
        <w:pStyle w:val="Heading2"/>
      </w:pPr>
      <w:bookmarkStart w:id="13" w:name="Xa72c5cb38037f8d2cd29f7138a3bc4a90a5d772"/>
      <w:bookmarkStart w:id="14" w:name="_Toc256000007"/>
      <w:r>
        <w:t>Ms. Smith’s critical blog post is protected fair use despite verbatim quotation</w:t>
      </w:r>
      <w:bookmarkEnd w:id="14"/>
    </w:p>
    <w:p>
      <w:pPr>
        <w:pStyle w:val="FirstParagraph"/>
      </w:pPr>
      <w:r>
        <w:t xml:space="preserve">Fair use is a statutory limitation on Global Media’s exclusive rights under 17 U.S.C. § 106 and therefore defeats liability under 17 U.S.C. § 501 where the challenged use falls within 17 U.S.C. § 107. </w:t>
      </w:r>
      <w:r>
        <w:fldChar w:fldCharType="begin"/>
      </w:r>
      <w:r>
        <w:instrText>TA \l "17 U.S.C. § 106 - Exclusive rights in copyrighted works" \s "Exclusive rights in copyrighted works" \c 2</w:instrText>
      </w:r>
      <w:r>
        <w:fldChar w:fldCharType="separate"/>
      </w:r>
      <w:r>
        <w:fldChar w:fldCharType="end"/>
      </w:r>
      <w:r>
        <w:t xml:space="preserve"> </w:t>
      </w:r>
      <w:r>
        <w:fldChar w:fldCharType="begin"/>
      </w:r>
      <w:r>
        <w:instrText>TA \l "17 U.S.C. § 501 - Infringement of copyright" \s "Infringement of Copyright" \c 2</w:instrText>
      </w:r>
      <w:r>
        <w:fldChar w:fldCharType="separate"/>
      </w:r>
      <w:r>
        <w:fldChar w:fldCharType="end"/>
      </w:r>
      <w:r>
        <w:t xml:space="preserve"> The Blog Post at issue is a paradigmatic fair-use context: Ms. Smith quoted from the Magazine Article and then criticized it. Even if Global Media seeks to characterize the Blog Post as an unauthorized republication that “cost the Magazine business,” the proper inquiry is the four-factor analysis under § 107, not a generalized complaint that the Blog Post was unfavorable or drew attention away from the Magazine.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The first factor strongly favors Ms. Smith because the Blog Post’s purpose and character are criticism and commentary, which are core § 107 purposes. </w:t>
      </w:r>
      <w:r>
        <w:rPr>
          <w:i/>
          <w:iCs/>
        </w:rPr>
        <w:t>Campbell</w:t>
      </w:r>
      <w:r>
        <w:t xml:space="preserve"> v. </w:t>
      </w:r>
      <w:r>
        <w:rPr>
          <w:i/>
          <w:iCs/>
        </w:rPr>
        <w:t>Acuff-Rose Music, Inc.</w:t>
      </w:r>
      <w:r>
        <w:t xml:space="preserve">, 510 U.S. 569 (1994), instructs that the central question is whether the use “adds something new” with a different purpose or character. </w:t>
      </w:r>
      <w:r>
        <w:fldChar w:fldCharType="begin"/>
      </w:r>
      <w:r>
        <w:instrText>TA \l "Campbell v. Acuff-Rose Music, Inc.,     510 U.S. 569 (1994)" \s "Campbell v. Acuff-Rose Music, Inc., 510 U.S." \c 1</w:instrText>
      </w:r>
      <w:r>
        <w:fldChar w:fldCharType="separate"/>
      </w:r>
      <w:r>
        <w:fldChar w:fldCharType="end"/>
      </w:r>
      <w:r>
        <w:t xml:space="preserve"> Here, the Blog Post’s critical framing—quoting and then criticizing—changes the use from consumption of the Magazine Article as magazine content to evaluation of the Magazine Article as an object of critique.</w:t>
      </w:r>
    </w:p>
    <w:p>
      <w:pPr>
        <w:pStyle w:val="BodyText"/>
      </w:pPr>
      <w:r>
        <w:t xml:space="preserve">Global Media will argue that the Blog Post “did not include much content other than the quoted portion” and that Ms. Smith’s “criticism was short relative” to the quoted portion, purportedly showing a thin veil for republication. But the relevant question under Factor One is not a word-count comparison; it is whether the use serves a different function. A critique can be “short,” even “ruthless,” and still be transformative because it repurposes the quoted material as evidence for the critique.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Nor does the absence of advertisers cut against Ms. Smith; it underscores that the Blog is not an advertising vehicle. Global Media’s allegation that Ms. Smith “benefited by seeing increased voluntary contributions to her Blog” does not convert criticism into a commercial, superseding use. Factor One’s commerciality inquiry asks whether the challenged use is exploitative in the sense of serving as a substitute for the original market, not whether the defendant received incidental financial support while engaging in criticism.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The second factor also favors Ms. Smith because the Magazine Article was published, and copying from a published work raises far less concern than copying from an unpublished work. In </w:t>
      </w:r>
      <w:r>
        <w:rPr>
          <w:i/>
          <w:iCs/>
        </w:rPr>
        <w:t>Harper &amp; Row, Publishers, Inc.</w:t>
      </w:r>
      <w:r>
        <w:t xml:space="preserve"> v. </w:t>
      </w:r>
      <w:r>
        <w:rPr>
          <w:i/>
          <w:iCs/>
        </w:rPr>
        <w:t>Nation Enterprises</w:t>
      </w:r>
      <w:r>
        <w:t xml:space="preserve">, 471 U.S. 539 (1985), the Supreme Court emphasized the author’s right of first publication; that concern is absent where, as here, Global Media already published the Magazine Article in the Magazine.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Likewise, the Ninth Circuit’s emphasis on unpublished material in </w:t>
      </w:r>
      <w:r>
        <w:rPr>
          <w:i/>
          <w:iCs/>
        </w:rPr>
        <w:t>Noelia Monge</w:t>
      </w:r>
      <w:r>
        <w:t xml:space="preserve"> v. </w:t>
      </w:r>
      <w:r>
        <w:rPr>
          <w:i/>
          <w:iCs/>
        </w:rPr>
        <w:t>Maya Magazines, Inc.</w:t>
      </w:r>
      <w:r>
        <w:t xml:space="preserve">, 688 F.3d 1164 (2012), underscores why this factor does not weigh heavily against fair use on these facts. </w:t>
      </w:r>
      <w:r>
        <w:fldChar w:fldCharType="begin"/>
      </w:r>
      <w:r>
        <w:instrText>TA \l "Noelia Monge v. Maya Magazines, Inc.,     688 F.3d 1164 (9th Cir. 2012)" \s "Noelia Monge v. Maya Magazines, Inc., 688 F.3d" \c 1</w:instrText>
      </w:r>
      <w:r>
        <w:fldChar w:fldCharType="separate"/>
      </w:r>
      <w:r>
        <w:fldChar w:fldCharType="end"/>
      </w:r>
    </w:p>
    <w:p>
      <w:pPr>
        <w:pStyle w:val="BodyText"/>
      </w:pPr>
      <w:r>
        <w:t xml:space="preserve">Global Media will stress Factor Three because Ms. Smith “quoted the heart of the Magazine Article.” That phrase is not a talisman that automatically defeats fair use. The third factor asks whether the amount and substantiality used was reasonable in relation to the purpose of the copying.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When the purpose is criticism, quoting the most salient portion—the very portion that supports or exemplifies what is being criticized—can be justified because it allows readers to understand precisely what the critique targets.</w:t>
      </w:r>
    </w:p>
    <w:p>
      <w:pPr>
        <w:pStyle w:val="BodyText"/>
      </w:pPr>
      <w:r>
        <w:rPr>
          <w:i/>
          <w:iCs/>
        </w:rPr>
        <w:t>Harper &amp; Row, Publishers, Inc.</w:t>
      </w:r>
      <w:r>
        <w:t xml:space="preserve"> v. </w:t>
      </w:r>
      <w:r>
        <w:rPr>
          <w:i/>
          <w:iCs/>
        </w:rPr>
        <w:t>Nation Enterprises</w:t>
      </w:r>
      <w:r>
        <w:t xml:space="preserve">, 471 U.S. 539 (1985), is distinguishable on exactly this point.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There, the defendant’s use was aimed at exploiting the expressive value of the “heart” of the work as a substitute disclosure of its most valuable content, not to evaluate or criticize the work in a critical forum. Here, by contrast, Ms. Smith’s post quoted and then criticized the Magazine Article; the quoted portion served as the subject and evidentiary basis of that criticism. The use therefore tracks the kind of quotation that § 107 contemplates, even if the quoted passage was substantial.</w:t>
      </w:r>
    </w:p>
    <w:p>
      <w:pPr>
        <w:pStyle w:val="BodyText"/>
      </w:pPr>
      <w:r>
        <w:t xml:space="preserve">Factor Four confirms fair use because Global Media’s asserted injuries do not show cognizable market substitution. The fourth factor focuses on whether the use usurps demand for the original or its legitimate derivative markets, not whether criticism was damaging or credibility was harmed. See </w:t>
      </w:r>
      <w:r>
        <w:rPr>
          <w:i/>
          <w:iCs/>
        </w:rPr>
        <w:t>Campbell</w:t>
      </w:r>
      <w:r>
        <w:t xml:space="preserve"> v. </w:t>
      </w:r>
      <w:r>
        <w:rPr>
          <w:i/>
          <w:iCs/>
        </w:rPr>
        <w:t>Acuff-Rose Music, Inc.</w:t>
      </w:r>
      <w:r>
        <w:t xml:space="preserve">, 510 U.S. 569 (1994). </w:t>
      </w:r>
      <w:r>
        <w:fldChar w:fldCharType="begin"/>
      </w:r>
      <w:r>
        <w:instrText>TA \l "Campbell v. Acuff-Rose Music, Inc.,     510 U.S. 569 (1994)" \s "Campbell v. Acuff-Rose Music, Inc., 510 U.S." \c 1</w:instrText>
      </w:r>
      <w:r>
        <w:fldChar w:fldCharType="separate"/>
      </w:r>
      <w:r>
        <w:fldChar w:fldCharType="end"/>
      </w:r>
      <w:r>
        <w:t xml:space="preserve"> Global Media’s contention that Ms. Smith’s “ruthless” criticism “may have harmed the credibility of the Magazine” is not the kind of market harm copyright protects against; copyright does not confer a right to be free from negative reviews.</w:t>
      </w:r>
    </w:p>
    <w:p>
      <w:pPr>
        <w:pStyle w:val="BodyText"/>
      </w:pPr>
      <w:r>
        <w:t xml:space="preserve">Global Media also asserts that the Blog “has cost the Magazine business,” but it bears the burden of showing market harm attributable to substitution rather than to criticism. See </w:t>
      </w:r>
      <w:r>
        <w:rPr>
          <w:i/>
          <w:iCs/>
        </w:rPr>
        <w:t>Harper &amp; Row, Publishers, Inc.</w:t>
      </w:r>
      <w:r>
        <w:t xml:space="preserve"> v. </w:t>
      </w:r>
      <w:r>
        <w:rPr>
          <w:i/>
          <w:iCs/>
        </w:rPr>
        <w:t>Nation Enterprises</w:t>
      </w:r>
      <w:r>
        <w:t xml:space="preserve">, 471 U.S. 539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Where a use is transformative criticism, any market effect must be evaluated with that context in mind, including whether the use serves a different purpose than the original and whether it targets a different demand. See </w:t>
      </w:r>
      <w:r>
        <w:rPr>
          <w:i/>
          <w:iCs/>
        </w:rPr>
        <w:t>Perfect 10, Inc.</w:t>
      </w:r>
      <w:r>
        <w:t xml:space="preserve"> v. </w:t>
      </w:r>
      <w:r>
        <w:rPr>
          <w:i/>
          <w:iCs/>
        </w:rPr>
        <w:t>Amazon.com, Inc.</w:t>
      </w:r>
      <w:r>
        <w:t xml:space="preserve">, 508 F.3d 1146 (9th Cir. 2007). </w:t>
      </w:r>
      <w:r>
        <w:fldChar w:fldCharType="begin"/>
      </w:r>
      <w:r>
        <w:instrText>TA \l "Perfect 10, Inc. v. Amazon. Com, Inc.,     508 F.3d 1146 (9th Cir. 2007)" \s "Perfect 10, Inc. v. Amazon. Com, Inc., 508 F.3d" \c 1</w:instrText>
      </w:r>
      <w:r>
        <w:fldChar w:fldCharType="separate"/>
      </w:r>
      <w:r>
        <w:fldChar w:fldCharType="end"/>
      </w:r>
    </w:p>
    <w:p>
      <w:pPr>
        <w:pStyle w:val="BodyText"/>
      </w:pPr>
      <w:r>
        <w:t xml:space="preserve">Global Media’s attempt to reframe increased voluntary contributions as “profit” likewise does not establish usurpation of a traditional or likely market for the Magazine Article or excerpts. The pertinent question is whether Ms. Smith’s Blog Post displaced the market for the Magazine Article by serving as a substitute reading experience, or displaced a legitimate licensing market for excerpts. See </w:t>
      </w:r>
      <w:r>
        <w:rPr>
          <w:i/>
          <w:iCs/>
        </w:rPr>
        <w:t>Perfect 10, Inc.</w:t>
      </w:r>
      <w:r>
        <w:t xml:space="preserve"> v. </w:t>
      </w:r>
      <w:r>
        <w:rPr>
          <w:i/>
          <w:iCs/>
        </w:rPr>
        <w:t>Amazon.com, Inc.</w:t>
      </w:r>
      <w:r>
        <w:t xml:space="preserve">, 508 F.3d 1146 (9th Cir. 2007). </w:t>
      </w:r>
      <w:r>
        <w:fldChar w:fldCharType="begin"/>
      </w:r>
      <w:r>
        <w:instrText>TA \l "Perfect 10, Inc. v. Amazon. Com, Inc.,     508 F.3d 1146 (9th Cir. 2007)" \s "Perfect 10, Inc. v. Amazon. Com, Inc., 508 F.3d" \c 1</w:instrText>
      </w:r>
      <w:r>
        <w:fldChar w:fldCharType="separate"/>
      </w:r>
      <w:r>
        <w:fldChar w:fldCharType="end"/>
      </w:r>
      <w:r>
        <w:t xml:space="preserve"> Global Media’s allegations are framed at a high level and do not identify a displaced licensing transaction or a concrete substitution mechanism; on this record, the claimed “lost business” is at most speculative or attributable to the reaction to criticism, not to market usurpation.</w:t>
      </w:r>
    </w:p>
    <w:p>
      <w:pPr>
        <w:pStyle w:val="BodyText"/>
      </w:pPr>
      <w:r>
        <w:t xml:space="preserve">Considering the factors together, this is the type of use the fair-use doctrine is designed to protect: a non-advertising Blog Post that quotes from a published magazine article in order to criticize it. The Ninth Circuit has repeatedly emphasized that a use is transformative where it repurposes copyrighted material for a new expressive end, particularly in commentary contexts. See </w:t>
      </w:r>
      <w:r>
        <w:rPr>
          <w:i/>
          <w:iCs/>
        </w:rPr>
        <w:t>Dereck Seltzer</w:t>
      </w:r>
      <w:r>
        <w:t xml:space="preserve"> v. </w:t>
      </w:r>
      <w:r>
        <w:rPr>
          <w:i/>
          <w:iCs/>
        </w:rPr>
        <w:t>Green Day, Inc.</w:t>
      </w:r>
      <w:r>
        <w:t xml:space="preserve">, 725 F.3d 1170 (9th Cir. 2013). </w:t>
      </w:r>
      <w:r>
        <w:fldChar w:fldCharType="begin"/>
      </w:r>
      <w:r>
        <w:instrText>TA \l "Dereck Seltzer v. Green Day, Inc.,     725 F.3d 1170 (9th Cir. 2013)" \s "Dereck Seltzer v. Green Day, Inc., 725 F.3d" \c 1</w:instrText>
      </w:r>
      <w:r>
        <w:fldChar w:fldCharType="separate"/>
      </w:r>
      <w:r>
        <w:fldChar w:fldCharType="end"/>
      </w:r>
      <w:r>
        <w:t xml:space="preserve"> Even accepting Global Media’s characterization that the Blog Post contained little additional content beyond the quotation and that the quoted material was the “heart,” the post’s critical character, the absence of advertising, the published nature of the Magazine Article, and the lack of cognizable substitution-based market harm compel the conclusion that Ms. Smith’s use is fair under 17 U.S.C. § 107 and therefore noninfringing notwithstanding 17 U.S.C. §§ 106 and 501. </w:t>
      </w:r>
      <w:r>
        <w:fldChar w:fldCharType="begin"/>
      </w:r>
      <w:r>
        <w:instrText>TA \l "17 U.S.C. § 106 - Exclusive rights in copyrighted works" \s "Exclusive rights in copyrighted works" \c 2</w:instrText>
      </w:r>
      <w:r>
        <w:fldChar w:fldCharType="separate"/>
      </w:r>
      <w:r>
        <w:fldChar w:fldCharType="end"/>
      </w:r>
      <w:r>
        <w:t xml:space="preserve"> </w:t>
      </w:r>
      <w:r>
        <w:fldChar w:fldCharType="begin"/>
      </w:r>
      <w:r>
        <w:instrText>TA \l "17 U.S.C. § 501 - Infringement of copyright" \s "Infringement of Copyright" \c 2</w:instrText>
      </w:r>
      <w:r>
        <w:fldChar w:fldCharType="separate"/>
      </w:r>
      <w:r>
        <w:fldChar w:fldCharType="end"/>
      </w:r>
      <w:bookmarkEnd w:id="13"/>
    </w:p>
    <w:p>
      <w:pPr>
        <w:pStyle w:val="Heading2"/>
      </w:pPr>
      <w:bookmarkStart w:id="15" w:name="Xf76ae337e3a5b7ef553fd7aa5acd236dc53e922"/>
      <w:bookmarkStart w:id="16" w:name="_Toc256000008"/>
      <w:r>
        <w:t>Global Media cannot recover § 504(b) damages or profits on this record</w:t>
      </w:r>
      <w:bookmarkEnd w:id="16"/>
    </w:p>
    <w:p>
      <w:pPr>
        <w:pStyle w:val="FirstParagraph"/>
      </w:pPr>
      <w:r>
        <w:t xml:space="preserve">Section 504(b) authorizes recovery only of (1) “the actual damages suffered by [the copyright owner] as a result of the infringement” and (2) “any profits of the infringer that are attributable to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statutory text imposes two related limits that Global Media cannot satisfy here: causation (“as a result of the infringement”) and attribution (“profits … attributable to the infringement”). Id. </w:t>
      </w:r>
      <w:r>
        <w:fldChar w:fldCharType="begin"/>
      </w:r>
      <w:r>
        <w:instrText>TA \l "17 U.S.C. § 504 - Remedies for infringement: Damages and profits" \s "Remedies for infringement: Damages and profits" \c 2</w:instrText>
      </w:r>
      <w:r>
        <w:fldChar w:fldCharType="separate"/>
      </w:r>
      <w:r>
        <w:fldChar w:fldCharType="end"/>
      </w:r>
      <w:r>
        <w:t xml:space="preserve"> Those limits matter acutely where the complained-of Blog Post combines copying with criticism, because § 504(b) does not permit an end-run around causation by treating any business decline following “ruthless” criticism as “damages” from infringement.</w:t>
      </w:r>
    </w:p>
    <w:p>
      <w:pPr>
        <w:pStyle w:val="BodyText"/>
      </w:pPr>
      <w:r>
        <w:t xml:space="preserve">Global Media’s asserted “lost business” theory fails because the fact pattern identifies no cognizable, non-speculative economic loss tied to the act of copying—as distinct from any reaction to Ms. Smith’s criticism. Global Media maintains that the Blog “has cost the Magazine business,” and that Ms. Smith’s criticism “may have harmed the credibility of the Magazine.” But § 504(b) does not award actual damages for credibility harm untethered to a proven economic measure of loss, and it certainly does not allow recovery where the causal mechanism is the criticism itself rather than the copying. </w:t>
      </w:r>
      <w:r>
        <w:fldChar w:fldCharType="begin"/>
      </w:r>
      <w:r>
        <w:instrText>TA \l "17 U.S.C. § 504 - Remedies for infringement: Damages and profits" \s "Remedies for infringement: Damages and profits" \c 2</w:instrText>
      </w:r>
      <w:r>
        <w:fldChar w:fldCharType="separate"/>
      </w:r>
      <w:r>
        <w:fldChar w:fldCharType="end"/>
      </w:r>
      <w:r>
        <w:t xml:space="preserve"> On this record, Global Media has not shown (or even articulated) a concrete measure—such as lost sales, lost subscriptions, diminished licensing value, or some other quantifiable loss—caused by the reproduction of the “heart of the Magazine Article,” as opposed to the post-publication effects of the criticism that followed the quote.</w:t>
      </w:r>
    </w:p>
    <w:p>
      <w:pPr>
        <w:pStyle w:val="BodyText"/>
      </w:pPr>
      <w:r>
        <w:t xml:space="preserve">Nor can Global Media satisfy § 504(b)’s embedded market-substitution logic. The Blog Post “quoted the heart of the Magazine Article” and “did not include much content other than the quoted portion,” then criticized the article. But the fact pattern does not establish that the Blog Post displaced demand for the Magazine Article or usurped any monetizable market for Global Media. Instead, the only stated causal story for harm is that the criticism “may have harmed the credibility of the Magazine,” which—whatever its rhetorical force—does not establish that any reader chose not to engage with Global Media’s Magazine because of the copying itself. Without proof that the copying, rather than the critique, drove any market effect, Global Media’s asserted business-loss narrative is exactly the kind of speculative chain § 504(b) forecloses.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 may argue that it can recover “actual damages” simply because Ms. Smith copied a substantial portion (“the heart”) of the Magazine Article. But § 504(b) does not permit actual damages to be assumed from the fact of copying; it requires proof of an actual, economic injury “as a result of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Where Global Media’s own theory of harm is intertwined with the Blog Post’s “ruthless” criticism and alleged credibility effects, Global Media must separate and prove the portion of any loss caused by the infringement itself. It cannot collapse all adverse consequences of a critical post into § 504(b) damages without meeting the statute’s causation requirement.</w:t>
      </w:r>
    </w:p>
    <w:p>
      <w:pPr>
        <w:pStyle w:val="BodyText"/>
      </w:pPr>
      <w:r>
        <w:t xml:space="preserve">Global Media’s attempt to recover Ms. Smith’s “profits” is even weaker. The Blog “does not have any advertisers,” eliminating the most obvious form of gross revenue associated with website traffic. Global Media therefore relies only on its assertion that Ms. Smith “benefited by seeing increased voluntary contributions to her Blog.” But § 504(b) allows recovery only of profits “attributable to the infringement,” not money that may have been received for any number of lawful reasons, including support for the Blog generally or for Ms. Smith’s criticism in particular.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fact pattern provides no basis to trace any purported increase in voluntary contributions to the act of copying the Magazine Article, as opposed to readers responding to the controversy or to the “ruthless” critical commentary that followed the quotation.</w:t>
      </w:r>
    </w:p>
    <w:p>
      <w:pPr>
        <w:pStyle w:val="BodyText"/>
      </w:pPr>
      <w:r>
        <w:t xml:space="preserve">Global Media will likely contend that temporal proximity—voluntary contributions increasing after the Blog Post—satisfies attribution. It does not. Section 504(b) demands a causal link between the alleged profits and the infringement itself.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Here, where the Blog Post paired a large quote with criticism, and the criticism is expressly described as “ruthless” and potentially harmful to the Magazine’s credibility, any claimed increase in voluntary contributions is at least equally consistent with non-infringing drivers: readers rewarding the critique, reacting to the dispute, or supporting the Blog’s viewpoint. Without evidence tying the contributions to the copied excerpt rather than to the criticism (which Global Media does not identify in the record), Global Media cannot meet § 504(b)’s “attributable to the infringement” requirement.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Even if Global Media could identify some revenue stream in the form of voluntary contributions, § 504(b) still would not permit an award of the full amount Global Media assumes. The statute expressly limits recovery to profits “attributable to the infringement,” which necessarily requires separating any portion attributable to non-infringing elements of the Blog Post—most notably, the criticism—from any portion attributable to the copied text.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Given that the Blog had no advertisers and the only asserted “benefit” is voluntary contributions following a post featuring “ruthless” criticism, any attempt to award all purportedly increased contributions as “profits” would create precisely the windfall § 504(b) is designed to prevent.</w:t>
      </w:r>
    </w:p>
    <w:p>
      <w:pPr>
        <w:pStyle w:val="BodyText"/>
      </w:pPr>
      <w:r>
        <w:t xml:space="preserve">In sum, even assuming arguendo that quoting “the heart of the Magazine Article” in the Blog Post supports liability, Global Media cannot satisfy § 504(b)’s distinct remedial burdens. Global Media’s claimed “lost business” is not shown to be an actual economic loss caused by the infringement rather than by the criticism and its alleged credibility effects, and Global Media’s “profits” theory collapses because the Blog had no advertisers and any purported increase in voluntary contributions is not shown to be attributable to infringement as opposed to the criticism.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Court should therefore reject Global Media’s demands for actual damages and Ms. Smith’s profits under § 504(b).</w:t>
      </w:r>
      <w:bookmarkEnd w:id="15"/>
    </w:p>
    <w:p>
      <w:pPr>
        <w:pStyle w:val="Heading2"/>
      </w:pPr>
      <w:bookmarkStart w:id="17" w:name="Xa72740e1257074b9e0816d251891e2c00fb779b"/>
      <w:bookmarkStart w:id="18" w:name="_Toc256000009"/>
      <w:r>
        <w:t>Global Media alleges no concrete lost money or property from the Blog Post</w:t>
      </w:r>
      <w:bookmarkEnd w:id="18"/>
    </w:p>
    <w:p>
      <w:pPr>
        <w:pStyle w:val="FirstParagraph"/>
      </w:pPr>
      <w:r>
        <w:t xml:space="preserve">Proposition 64 strictly limits UCL standing to a plaintiff who (1) suffered an injury in fact and (2) “lost money or property” (economic injury) “as a result of” the challenged practice. Cal. Bus. &amp; Prof. Code § 17204 </w:t>
      </w:r>
      <w:r>
        <w:fldChar w:fldCharType="begin"/>
      </w:r>
      <w:r>
        <w:instrText>TA \l "Cal. Bus. &amp; Prof. Code § 17200" \s "California Unfair Competition Law" \c 2</w:instrText>
      </w:r>
      <w:r>
        <w:fldChar w:fldCharType="separate"/>
      </w:r>
      <w:r>
        <w:fldChar w:fldCharType="end"/>
      </w:r>
      <w:r>
        <w:t xml:space="preserve">; </w:t>
      </w:r>
      <w:r>
        <w:rPr>
          <w:i/>
          <w:iCs/>
        </w:rPr>
        <w:t>Kwikset Corp.</w:t>
      </w:r>
      <w:r>
        <w:t xml:space="preserve"> v. </w:t>
      </w:r>
      <w:r>
        <w:rPr>
          <w:i/>
          <w:iCs/>
        </w:rPr>
        <w:t>Superior Court</w:t>
      </w:r>
      <w:r>
        <w:t xml:space="preserve">, 51 Cal. 4th 310, 320–23 (2011) </w:t>
      </w:r>
      <w:r>
        <w:fldChar w:fldCharType="begin"/>
      </w:r>
      <w:r>
        <w:instrText>TA \l "Korea Supply Co. v. Lockheed Martin Corp.,     29 Cal. 4th 1134 (2003)" \s "Korea Supply Co. v. Lockheed Martin Corp., 29 Cal. 4th" \c 1</w:instrText>
      </w:r>
      <w:r>
        <w:fldChar w:fldCharType="separate"/>
      </w:r>
      <w:r>
        <w:fldChar w:fldCharType="end"/>
      </w:r>
      <w:r>
        <w:t xml:space="preserve">; </w:t>
      </w:r>
      <w:r>
        <w:rPr>
          <w:i/>
          <w:iCs/>
        </w:rPr>
        <w:t>In re Tobacco II Cases</w:t>
      </w:r>
      <w:r>
        <w:t xml:space="preserve">, 46 Cal. 4th 298, 316–20 (2009) </w:t>
      </w:r>
      <w:r>
        <w:fldChar w:fldCharType="begin"/>
      </w:r>
      <w:r>
        <w:instrText>TA \l "Korea Supply Co. v. Lockheed Martin Corp.,     29 Cal. 4th 1134 (2003)" \s "Korea Supply Co. v. Lockheed Martin Corp., 29 Cal. 4th" \c 1</w:instrText>
      </w:r>
      <w:r>
        <w:fldChar w:fldCharType="separate"/>
      </w:r>
      <w:r>
        <w:fldChar w:fldCharType="end"/>
      </w:r>
      <w:r>
        <w:t xml:space="preserve"> This requirement is not a pleading technicality; it is a jurisdictional gatekeeping rule that prevents UCL claims from proceeding on generalized grievances, reputational complaints, or speculation untethered to an actual economic deprivation.</w:t>
      </w:r>
    </w:p>
    <w:p>
      <w:pPr>
        <w:pStyle w:val="BodyText"/>
      </w:pPr>
      <w:r>
        <w:t xml:space="preserve">Global Media’s standing theory fails at the threshold because it alleges, at most, reputational harm and an unquantified assertion of business impact. The Fact Pattern does not identify any concrete economic metric—no lost subscriptions, canceled renewals, reduced sales, terminated distribution arrangements, withdrawn advertisers, increased costs, or any other measurable deprivation of money or a vested property interest. Instead, Global Media pleads only that Ms. Smith’s “ruthless” criticism “may have harmed the credibility of the Magazine” and that the Blog “has cost the Magazine business.” A claimed blow to “credibility” is paradigmatically noneconomic and, without factual allegations connecting it to a specific economic loss, cannot satisfy the “lost money or property” element. See </w:t>
      </w:r>
      <w:r>
        <w:rPr>
          <w:i/>
          <w:iCs/>
        </w:rPr>
        <w:t>Kwikset Corp.</w:t>
      </w:r>
      <w:r>
        <w:t xml:space="preserve"> v. </w:t>
      </w:r>
      <w:r>
        <w:rPr>
          <w:i/>
          <w:iCs/>
        </w:rPr>
        <w:t>Superior Court</w:t>
      </w:r>
      <w:r>
        <w:t xml:space="preserve">, 51 Cal. 4th 310, 323 (2011) (UCL standing requires economic injury, not merely an abstract or generalized harm). </w:t>
      </w:r>
      <w:r>
        <w:fldChar w:fldCharType="begin"/>
      </w:r>
      <w:r>
        <w:instrText>TA \l "Korea Supply Co. v. Lockheed Martin Corp.,     29 Cal. 4th 1134 (2003)" \s "Korea Supply Co. v. Lockheed Martin Corp., 29 Cal. 4th" \c 1</w:instrText>
      </w:r>
      <w:r>
        <w:fldChar w:fldCharType="separate"/>
      </w:r>
      <w:r>
        <w:fldChar w:fldCharType="end"/>
      </w:r>
    </w:p>
    <w:p>
      <w:pPr>
        <w:pStyle w:val="BodyText"/>
      </w:pPr>
      <w:r>
        <w:t xml:space="preserve">The absence of any pleaded, non-speculative loss is particularly glaring given the undisputed nature of the Blog: it “does not have any advertisers.” That fact defeats any plausible inference of a direct commercial diversion mechanism (for example, that Ms. Smith used the Blog Post to siphon advertising revenue that otherwise would have gone to the Magazine). Without that kind of commercial linkage, Global Media’s “cost the Magazine business” allegation is not a factual allegation of loss; it is an inference stacked on conjecture—precisely what Proposition 64 forbids as a basis for standing. See </w:t>
      </w:r>
      <w:r>
        <w:rPr>
          <w:i/>
          <w:iCs/>
        </w:rPr>
        <w:t>Jenkins</w:t>
      </w:r>
      <w:r>
        <w:t xml:space="preserve"> v. </w:t>
      </w:r>
      <w:r>
        <w:rPr>
          <w:i/>
          <w:iCs/>
        </w:rPr>
        <w:t>JPMorgan Chase Bank, N.A.</w:t>
      </w:r>
      <w:r>
        <w:t xml:space="preserve">, 216 Cal. App. 4th 497, 521–23 (2013) (UCL standing requires a non-speculative economic injury caused by the challenged conduct). </w:t>
      </w:r>
      <w:r>
        <w:fldChar w:fldCharType="begin"/>
      </w:r>
      <w:r>
        <w:instrText>TA \l "Cel-Tech Communications, Inc. v. Los Angeles Cellular Telephone Co.,     20 Cal. 4th 163 (1999)" \s "Cel-Tech Communications, Inc. v. Los Angeles Cellular Telephone Co., 20 Cal. 4th" \c 1</w:instrText>
      </w:r>
      <w:r>
        <w:fldChar w:fldCharType="separate"/>
      </w:r>
      <w:r>
        <w:fldChar w:fldCharType="end"/>
      </w:r>
    </w:p>
    <w:p>
      <w:pPr>
        <w:pStyle w:val="BodyText"/>
      </w:pPr>
      <w:r>
        <w:t xml:space="preserve">Causation independently defeats standing. The UCL requires that the plaintiff’s loss of money or property occurred “as a result of” the challenged act. Cal. Bus. &amp; Prof. Code § 17204. </w:t>
      </w:r>
      <w:r>
        <w:fldChar w:fldCharType="begin"/>
      </w:r>
      <w:r>
        <w:instrText>TA \l "Cal. Bus. &amp; Prof. Code § 17200" \s "California Unfair Competition Law" \c 2</w:instrText>
      </w:r>
      <w:r>
        <w:fldChar w:fldCharType="separate"/>
      </w:r>
      <w:r>
        <w:fldChar w:fldCharType="end"/>
      </w:r>
      <w:r>
        <w:t xml:space="preserve"> Global Media alleges no causal mechanism by which a single Blog Post—consisting largely of a quoted portion of the Magazine Article followed by short criticism—produced an actual economic loss to Global Media. It does not allege that any reader withheld payment, that any relationship ended, or that any transaction failed because of the Blog Post; it alleges only that the Blog “has cost the Magazine business.” That is the very definition of an unsupported causation conclusion. See </w:t>
      </w:r>
      <w:r>
        <w:rPr>
          <w:i/>
          <w:iCs/>
        </w:rPr>
        <w:t>In re Tobacco II Cases</w:t>
      </w:r>
      <w:r>
        <w:t xml:space="preserve">, 46 Cal. 4th 298, 326–28 (2009) (standing requires a causal link between the practice and the economic injury). </w:t>
      </w:r>
      <w:r>
        <w:fldChar w:fldCharType="begin"/>
      </w:r>
      <w:r>
        <w:instrText>TA \l "Cel-Tech Communications, Inc. v. Los Angeles Cellular Telephone Co.,     20 Cal. 4th 163 (1999)" \s "Cel-Tech Communications, Inc. v. Los Angeles Cellular Telephone Co., 20 Cal. 4th" \c 1</w:instrText>
      </w:r>
      <w:r>
        <w:fldChar w:fldCharType="separate"/>
      </w:r>
      <w:r>
        <w:fldChar w:fldCharType="end"/>
      </w:r>
    </w:p>
    <w:p>
      <w:pPr>
        <w:pStyle w:val="BodyText"/>
      </w:pPr>
      <w:r>
        <w:t xml:space="preserve">Global Media may try to salvage standing by reframing “credibility” and “business” as “goodwill,” and then arguing that goodwill is “property.” But Proposition 64 does not permit plaintiffs to proceed on a label; it demands a loss—an economic deprivation—rather than an alleged injury to reputation untethered to any measurable monetary consequence. See </w:t>
      </w:r>
      <w:r>
        <w:rPr>
          <w:i/>
          <w:iCs/>
        </w:rPr>
        <w:t>Kwikset Corp.</w:t>
      </w:r>
      <w:r>
        <w:t xml:space="preserve"> v. </w:t>
      </w:r>
      <w:r>
        <w:rPr>
          <w:i/>
          <w:iCs/>
        </w:rPr>
        <w:t>Superior Court</w:t>
      </w:r>
      <w:r>
        <w:t xml:space="preserve">, 51 Cal. 4th 310, 323 (2011). </w:t>
      </w:r>
      <w:r>
        <w:fldChar w:fldCharType="begin"/>
      </w:r>
      <w:r>
        <w:instrText>TA \l "Cel-Tech Communications, Inc. v. Los Angeles Cellular Telephone Co.,     20 Cal. 4th 163 (1999)" \s "Cel-Tech Communications, Inc. v. Los Angeles Cellular Telephone Co., 20 Cal. 4th" \c 1</w:instrText>
      </w:r>
      <w:r>
        <w:fldChar w:fldCharType="separate"/>
      </w:r>
      <w:r>
        <w:fldChar w:fldCharType="end"/>
      </w:r>
      <w:r>
        <w:t xml:space="preserve"> Here, the Fact Pattern provides no factual bridge from alleged harm to “credibility” to any identifiable lost money or property. Allowing standing on these allegations would effectively restore pre–Proposition 64 UCL standing by permitting reputational displeasure to be repackaged as economic injury.</w:t>
      </w:r>
    </w:p>
    <w:p>
      <w:pPr>
        <w:pStyle w:val="BodyText"/>
      </w:pPr>
      <w:r>
        <w:t xml:space="preserve">Global Media may also argue that Ms. Smith “benefited by seeing increased voluntary contributions to her Blog,” and that this purported benefit demonstrates Global Media’s own loss. It does not. UCL standing turns on the plaintiff’s loss of money or property, not on whether the defendant allegedly gained something. Cal. Bus. &amp; Prof. Code § 17204; see also </w:t>
      </w:r>
      <w:r>
        <w:rPr>
          <w:i/>
          <w:iCs/>
        </w:rPr>
        <w:t>Clayworth</w:t>
      </w:r>
      <w:r>
        <w:t xml:space="preserve"> v. </w:t>
      </w:r>
      <w:r>
        <w:rPr>
          <w:i/>
          <w:iCs/>
        </w:rPr>
        <w:t>Pfizer, Inc.</w:t>
      </w:r>
      <w:r>
        <w:t xml:space="preserve">, 49 Cal. 4th 758, 788–89 (2010) (standing focuses on plaintiff’s economic injury). </w:t>
      </w:r>
      <w:r>
        <w:fldChar w:fldCharType="begin"/>
      </w:r>
      <w:r>
        <w:instrText>TA \l "Cal. Bus. &amp; Prof. Code § 17200" \s "California Unfair Competition Law" \c 2</w:instrText>
      </w:r>
      <w:r>
        <w:fldChar w:fldCharType="separate"/>
      </w:r>
      <w:r>
        <w:fldChar w:fldCharType="end"/>
      </w:r>
      <w:r>
        <w:t xml:space="preserve"> The Fact Pattern does not allege that any voluntary contribution was diverted from money that otherwise would have been paid to Global Media or the Magazine. The mere assertion that Ms. Smith received increased voluntary contributions therefore cannot establish Global Media’s statutory standing.</w:t>
      </w:r>
    </w:p>
    <w:p>
      <w:pPr>
        <w:pStyle w:val="BodyText"/>
      </w:pPr>
      <w:r>
        <w:t xml:space="preserve">Finally, Global Media’s pleaded theory would expand the UCL beyond its statutory limits by permitting any business to sue over criticism that “may have harmed” its credibility, based on a bare claim that it “cost” business. That result is incompatible with the UCL’s post–Proposition 64 standing requirement and would erase the “lost money or property” limitation that the electorate imposed. Because Global Media has not alleged a concrete, non-speculative loss of money or property caused “as a result of” the Blog Post, it lacks standing under Cal. Bus. &amp; Prof. Code § 17200 </w:t>
      </w:r>
      <w:r>
        <w:fldChar w:fldCharType="begin"/>
      </w:r>
      <w:r>
        <w:instrText>TA \l "Cal. Bus. &amp; Prof. Code § 17200" \s "California Unfair Competition Law" \c 2</w:instrText>
      </w:r>
      <w:r>
        <w:fldChar w:fldCharType="separate"/>
      </w:r>
      <w:r>
        <w:fldChar w:fldCharType="end"/>
      </w:r>
      <w:r>
        <w:t xml:space="preserve">, and the Court should dismiss the UCL claim (or, at minimum, require Global Media to plead specific economic loss and causation before it may pursue relief under Cal. Bus. &amp; Prof. Code § 17203) </w:t>
      </w:r>
      <w:r>
        <w:fldChar w:fldCharType="begin"/>
      </w:r>
      <w:r>
        <w:instrText>TA \l "Cal. Bus. &amp; Prof. Code § 17203" \s "California Business and Professions Code Section 17203" \c 2</w:instrText>
      </w:r>
      <w:r>
        <w:fldChar w:fldCharType="separate"/>
      </w:r>
      <w:r>
        <w:fldChar w:fldCharType="end"/>
      </w:r>
      <w:bookmarkEnd w:id="17"/>
    </w:p>
    <w:p>
      <w:pPr>
        <w:pStyle w:val="Heading2"/>
      </w:pPr>
      <w:bookmarkStart w:id="19" w:name="X9ff9b51f4dc84c3ee9b99e39d860bb7e9878ba9"/>
      <w:bookmarkStart w:id="20" w:name="_Toc256000010"/>
      <w:r>
        <w:t>Ms. Smith’s non-advertising blog criticism is not a “business act or practice” under § 17200.</w:t>
      </w:r>
      <w:bookmarkEnd w:id="20"/>
    </w:p>
    <w:p>
      <w:pPr>
        <w:pStyle w:val="FirstParagraph"/>
      </w:pPr>
      <w:r>
        <w:t xml:space="preserve">Section 17200 targets “unlawful, unfair, or fraudulent business act[s] or practice[s].” Cal. Bus. &amp; Prof. Code § 17200. </w:t>
      </w:r>
      <w:r>
        <w:fldChar w:fldCharType="begin"/>
      </w:r>
      <w:r>
        <w:instrText>TA \l "Cal. Bus. &amp; Prof. Code § 17200" \s "California Unfair Competition Law" \c 2</w:instrText>
      </w:r>
      <w:r>
        <w:fldChar w:fldCharType="separate"/>
      </w:r>
      <w:r>
        <w:fldChar w:fldCharType="end"/>
      </w:r>
      <w:r>
        <w:t xml:space="preserve"> The threshold question is therefore whether the challenged conduct is undertaken in a business, trade, or commercial context—i.e., an entrepreneurial act directed at operating, promoting, or advancing an enterprise in the marketplace—rather than a private or expressive act. Here, the challenged conduct is a single Blog Post that (1) quoted the heart of the Magazine Article and (2) offered short, ruthless criticism. On the administrative record, that conduct is most naturally understood as commentary and criticism, not as commerce.</w:t>
      </w:r>
    </w:p>
    <w:p>
      <w:pPr>
        <w:pStyle w:val="BodyText"/>
      </w:pPr>
      <w:r>
        <w:t xml:space="preserve">Global Media’s own pleaded facts underscore the noncommercial character of the Blog Post. The Blog “does not have any advertisers,” and the Blog Post “did not include much content other than the quoted portion of the Magazine Article,” followed by criticism. Those facts matter because they show the post is not connected to any advertising program, marketing campaign, or commercial transaction. Without advertisers—and with content framed as criticism rather than promotion—the Blog Post is not plausibly “business” conduct; it is expressive conduct that Global Media disfavors because it “may have harmed the credibility of the Magazine” and allegedly “cost the Magazine business.” But alleged harm to a business does not itself supply the missing § 17200 predicate: the statute requires a “business act or practice” by the defendant, not merely an adverse effect on the plaintiff. </w:t>
      </w:r>
      <w:r>
        <w:fldChar w:fldCharType="begin"/>
      </w:r>
      <w:r>
        <w:instrText>TA \l "Cal. Bus. &amp; Prof. Code § 17200" \s "California Unfair Competition Law" \c 2</w:instrText>
      </w:r>
      <w:r>
        <w:fldChar w:fldCharType="separate"/>
      </w:r>
      <w:r>
        <w:fldChar w:fldCharType="end"/>
      </w:r>
    </w:p>
    <w:p>
      <w:pPr>
        <w:pStyle w:val="BodyText"/>
      </w:pPr>
      <w:r>
        <w:t>Nor does Global Media’s allegation that Ms. Smith “benefited by seeing increased voluntary contributions to her Blog” transform the challenged post into a commercial practice. Voluntary contributions are not advertising, sales, subscriptions, or sponsorships—i.e., not a revenue stream inherently tied to marketplace conduct on this record. At most, Global Media alleges a post hoc increase in contributions after the Blog Post, which is too attenuated to convert criticism into an entrepreneurial act absent facts showing that the Blog Post was designed as a commercial mechanism to market, sell, or transact. The record contains no allegation that Ms. Smith used the Blog Post to promote goods or services, to run advertisements, or to offer commercial products. And because the contributions are described as “voluntary,” the alleged benefit lacks the commercial structure that typically distinguishes business conduct from speech.</w:t>
      </w:r>
    </w:p>
    <w:p>
      <w:pPr>
        <w:pStyle w:val="BodyText"/>
      </w:pPr>
      <w:r>
        <w:t xml:space="preserve">Global Media will likely argue that any increase in voluntary contributions demonstrates an economic motive and therefore satisfies § 17200. That overreads both the record and the statute. Section 17200 requires a “business act or practice,” Cal. Bus. &amp; Prof. Code § 17200, </w:t>
      </w:r>
      <w:r>
        <w:fldChar w:fldCharType="begin"/>
      </w:r>
      <w:r>
        <w:instrText>TA \l "Cal. Bus. &amp; Prof. Code § 17200" \s "California Unfair Competition Law" \c 2</w:instrText>
      </w:r>
      <w:r>
        <w:fldChar w:fldCharType="separate"/>
      </w:r>
      <w:r>
        <w:fldChar w:fldCharType="end"/>
      </w:r>
      <w:r>
        <w:t xml:space="preserve"> not merely conduct that someone claims resulted in money changing hands. The key issue is whether the challenged conduct is entrepreneurial—conduct undertaken in the operation of commerce. A critical post on a non-advertising blog that largely quotes an article and then criticizes it, even ruthlessly, is not plausibly a commercial “act or practice” simply because some readers later chose to contribute voluntarily.</w:t>
      </w:r>
    </w:p>
    <w:p>
      <w:pPr>
        <w:pStyle w:val="BodyText"/>
      </w:pPr>
      <w:r>
        <w:t xml:space="preserve">The “practice” requirement also cuts against Global Media. The fact pattern identifies one Blog Post. It does not allege a recurring course of conduct, an operational method, or a systematic strategy of quoting Magazine content to drive contributions. Without allegations of regularity, repetition, or an ongoing scheme, Global Media is attempting to repackage a one-off dispute about quotation and criticism as “unfair competition.” That is especially problematic where the UCL’s remedies are forward-looking and equitable, including injunctive relief. Cal. Bus. &amp; Prof. Code § 17203. </w:t>
      </w:r>
      <w:r>
        <w:fldChar w:fldCharType="begin"/>
      </w:r>
      <w:r>
        <w:instrText>TA \l "Cal. Bus. &amp; Prof. Code § 17203" \s "California Business and Professions Code Section 17203" \c 2</w:instrText>
      </w:r>
      <w:r>
        <w:fldChar w:fldCharType="separate"/>
      </w:r>
      <w:r>
        <w:fldChar w:fldCharType="end"/>
      </w:r>
      <w:r>
        <w:t xml:space="preserve"> On this record, there is no pleaded basis to infer an ongoing business practice capable of repetition; there is only a single instance of alleged expressive criticism.</w:t>
      </w:r>
    </w:p>
    <w:p>
      <w:pPr>
        <w:pStyle w:val="BodyText"/>
      </w:pPr>
      <w:r>
        <w:t xml:space="preserve">Global Media’s theory is also inconsistent with the UCL’s focus on marketplace-facing practices. Even accepting Global Media’s assertion that the Blog Post “may have harmed the credibility of the Magazine” and “cost the Magazine business,” those allegations describe consequences, not commercial conduct by Ms. Smith. The UCL is not a general-purpose vehicle to police all conduct that adversely affects another business; it requires unfair competition in the form of a defendant’s “business act or practice.” Cal. Bus. &amp; Prof. Code § 17200. </w:t>
      </w:r>
      <w:r>
        <w:fldChar w:fldCharType="begin"/>
      </w:r>
      <w:r>
        <w:instrText>TA \l "Cal. Bus. &amp; Prof. Code § 17200" \s "California Unfair Competition Law" \c 2</w:instrText>
      </w:r>
      <w:r>
        <w:fldChar w:fldCharType="separate"/>
      </w:r>
      <w:r>
        <w:fldChar w:fldCharType="end"/>
      </w:r>
      <w:r>
        <w:t xml:space="preserve"> Here, the record supports only a dispute over a quoted excerpt and criticism, not marketplace manipulation or entrepreneurial competition.</w:t>
      </w:r>
    </w:p>
    <w:p>
      <w:pPr>
        <w:pStyle w:val="BodyText"/>
      </w:pPr>
      <w:r>
        <w:t xml:space="preserve">In sum, the absence of advertisers, the primarily critical nature of the Blog Post, the lack of any alleged marketing or commercial offering tied to the challenged post, and the one-off character of the incident foreclose Global Media’s attempt to satisfy § 17200’s “business act or practice” threshold. Because Global Media cannot plausibly plead—let alone prove on this closed record—that Ms. Smith’s Blog Post was undertaken in a commercial or entrepreneurial context, the § 17200 claim fails as a matter of law, and any request for relief predicated on “unfair competition” likewise fails. Cal. Bus. &amp; Prof. Code §§ 17200, 17203. </w:t>
      </w:r>
      <w:r>
        <w:fldChar w:fldCharType="begin"/>
      </w:r>
      <w:r>
        <w:instrText>TA \l "Cal. Bus. &amp; Prof. Code § 17200" \s "California Unfair Competition Law" \c 2</w:instrText>
      </w:r>
      <w:r>
        <w:fldChar w:fldCharType="separate"/>
      </w:r>
      <w:r>
        <w:fldChar w:fldCharType="end"/>
      </w:r>
      <w:r>
        <w:t xml:space="preserve"> </w:t>
      </w:r>
      <w:r>
        <w:fldChar w:fldCharType="begin"/>
      </w:r>
      <w:r>
        <w:instrText>TA \l "Cal. Bus. &amp; Prof. Code § 17203" \s "California Business and Professions Code Section 17203" \c 2</w:instrText>
      </w:r>
      <w:r>
        <w:fldChar w:fldCharType="separate"/>
      </w:r>
      <w:r>
        <w:fldChar w:fldCharType="end"/>
      </w:r>
      <w:bookmarkEnd w:id="19"/>
    </w:p>
    <w:p>
      <w:pPr>
        <w:pStyle w:val="Heading2"/>
      </w:pPr>
      <w:bookmarkStart w:id="21" w:name="X42072f7cb494bea20a343bcf654efa4de9d0f2f"/>
      <w:bookmarkStart w:id="22" w:name="_Toc256000011"/>
      <w:r>
        <w:t>The Blog Post is nonactionable opinion because it disclosed its entire factual basis.</w:t>
      </w:r>
      <w:bookmarkEnd w:id="22"/>
    </w:p>
    <w:p>
      <w:pPr>
        <w:pStyle w:val="FirstParagraph"/>
      </w:pPr>
      <w:r>
        <w:t xml:space="preserve">California libel requires a “false and unprivileged publication” that tends to injure the plaintiff in its occupation. Cal. Civ. Code §§ 44–45. </w:t>
      </w:r>
      <w:r>
        <w:fldChar w:fldCharType="begin"/>
      </w:r>
      <w:r>
        <w:instrText>TA \l "Cal. Civ. Code § 44" \s "California Civil Code Section 44" \c 2</w:instrText>
      </w:r>
      <w:r>
        <w:fldChar w:fldCharType="separate"/>
      </w:r>
      <w:r>
        <w:fldChar w:fldCharType="end"/>
      </w:r>
      <w:r>
        <w:t xml:space="preserve"> </w:t>
      </w:r>
      <w:r>
        <w:fldChar w:fldCharType="begin"/>
      </w:r>
      <w:r>
        <w:instrText>TA \l "Cal. Civ. Code § 45" \s "California Civil Code Section 45" \c 2</w:instrText>
      </w:r>
      <w:r>
        <w:fldChar w:fldCharType="separate"/>
      </w:r>
      <w:r>
        <w:fldChar w:fldCharType="end"/>
      </w:r>
      <w:r>
        <w:t xml:space="preserve"> That threshold requirement is not met where the challenged communication, considered in full context, would be understood by a reasonable reader as commentary or opinion rather than an assertion of objective fact capable of being proven true or false. </w:t>
      </w:r>
      <w:r>
        <w:rPr>
          <w:i/>
          <w:iCs/>
        </w:rPr>
        <w:t>Milkovich</w:t>
      </w:r>
      <w:r>
        <w:t xml:space="preserve"> v. </w:t>
      </w:r>
      <w:r>
        <w:rPr>
          <w:i/>
          <w:iCs/>
        </w:rPr>
        <w:t>Lorain Journal Co.</w:t>
      </w:r>
      <w:r>
        <w:t xml:space="preserve">, 497 U.S. 1 (1990). </w:t>
      </w:r>
      <w:r>
        <w:fldChar w:fldCharType="begin"/>
      </w:r>
      <w:r>
        <w:instrText>TA \l "New York Times Co. v. Sullivan,     376 U.S. 254 (1964)" \s "New York Times Co. v. Sullivan, 376 U.S." \c 1</w:instrText>
      </w:r>
      <w:r>
        <w:fldChar w:fldCharType="separate"/>
      </w:r>
      <w:r>
        <w:fldChar w:fldCharType="end"/>
      </w:r>
    </w:p>
    <w:p>
      <w:pPr>
        <w:pStyle w:val="BodyText"/>
      </w:pPr>
      <w:r>
        <w:t xml:space="preserve">Here, the Blog Post’s structure and content place it squarely on the protected-opinion side of the line. The Fact Pattern establishes that Ms. Smith “quoted the heart of the Magazine Article,” that the Blog Post “did not include much content other than the quoted portion,” and that only “[a]fter quoting the Magazine Article” did Ms. Smith offer criticism that was “short” relative to the quotation and “described as ruthless.” Those features communicate to readers that they are encountering a critique of a disclosed source text—not a factual report about Global Media based on independent, undisclosed information. </w:t>
      </w:r>
      <w:r>
        <w:fldChar w:fldCharType="begin"/>
      </w:r>
      <w:r>
        <w:instrText>TA \l "Dr. Seuss Enterprises, L.P. v. Comicmix LLC,     983 F.3d 443 (9th Cir. 2020)" \s "Dr. Seuss Enterprises, L.P. v. Comicmix LLC, 983 F.3d" \c 1</w:instrText>
      </w:r>
      <w:r>
        <w:fldChar w:fldCharType="separate"/>
      </w:r>
      <w:r>
        <w:fldChar w:fldCharType="end"/>
      </w:r>
    </w:p>
    <w:p>
      <w:pPr>
        <w:pStyle w:val="BodyText"/>
      </w:pPr>
      <w:r>
        <w:t xml:space="preserve">The disclosure of the factual basis is dispositive under the verifiability and “totality of the circumstances” inquiry. When a speaker lays out the underlying material and then offers a harsh evaluation, readers understand the evaluation as the speaker’s judgment about what the disclosed text shows. See </w:t>
      </w:r>
      <w:r>
        <w:rPr>
          <w:i/>
          <w:iCs/>
        </w:rPr>
        <w:t>Nygard, Inc.</w:t>
      </w:r>
      <w:r>
        <w:t xml:space="preserve"> v. </w:t>
      </w:r>
      <w:r>
        <w:rPr>
          <w:i/>
          <w:iCs/>
        </w:rPr>
        <w:t>Uusi-Kerttula</w:t>
      </w:r>
      <w:r>
        <w:t xml:space="preserve">, 159 Cal. App. 4th 1027 (2008). </w:t>
      </w:r>
      <w:r>
        <w:fldChar w:fldCharType="begin"/>
      </w:r>
      <w:r>
        <w:instrText>TA \l "Dr. Seuss Enterprises, L.P. v. Comicmix LLC,     983 F.3d 443 (9th Cir. 2020)" \s "Dr. Seuss Enterprises, L.P. v. Comicmix LLC, 983 F.3d" \c 1</w:instrText>
      </w:r>
      <w:r>
        <w:fldChar w:fldCharType="separate"/>
      </w:r>
      <w:r>
        <w:fldChar w:fldCharType="end"/>
      </w:r>
      <w:r>
        <w:t xml:space="preserve"> Because Ms. Smith provided the heart of the Magazine Article itself, the audience was equipped to assess the Magazine Article and Ms. Smith’s critique independently; the Blog Post therefore does not reasonably imply that Ms. Smith possessed additional, defamatory facts about Global Media that she withheld.</w:t>
      </w:r>
    </w:p>
    <w:p>
      <w:pPr>
        <w:pStyle w:val="BodyText"/>
      </w:pPr>
      <w:r>
        <w:t xml:space="preserve">Nothing in the Fact Pattern suggests Ms. Smith leveled any precise, objectively verifiable accusation about Global Media. The criticism is described only as “ruthless” and “short” and as potentially harming the Magazine’s “credibility.” But a broad attack on “credibility,” particularly in the course of criticizing disclosed writing, is paradigmatic evaluative rhetoric: it is a value-laden conclusion drawn from the reader-visible text, not a concrete factual claim about Global Media’s conduct that can be proven true or false. See </w:t>
      </w:r>
      <w:r>
        <w:rPr>
          <w:i/>
          <w:iCs/>
        </w:rPr>
        <w:t>Baker</w:t>
      </w:r>
      <w:r>
        <w:t xml:space="preserve"> v. </w:t>
      </w:r>
      <w:r>
        <w:rPr>
          <w:i/>
          <w:iCs/>
        </w:rPr>
        <w:t>Los Angeles Herald Examiner</w:t>
      </w:r>
      <w:r>
        <w:t xml:space="preserve">, 42 Cal. 3d 254 (1986). </w:t>
      </w:r>
      <w:r>
        <w:fldChar w:fldCharType="begin"/>
      </w:r>
      <w:r>
        <w:instrText>TA \l "New York Times Co. v. Sullivan,     376 U.S. 254 (1964)" \s "New York Times Co. v. Sullivan, 376 U.S." \c 1</w:instrText>
      </w:r>
      <w:r>
        <w:fldChar w:fldCharType="separate"/>
      </w:r>
      <w:r>
        <w:fldChar w:fldCharType="end"/>
      </w:r>
    </w:p>
    <w:p>
      <w:pPr>
        <w:pStyle w:val="BodyText"/>
      </w:pPr>
      <w:r>
        <w:t xml:space="preserve">Global Media’s anticipated rejoinder—that the criticism “may have harmed the credibility of the Magazine” and allegedly “cost the Magazine business”—does not transform opinion into fact. Defamation law turns on what was communicated (a provably false factual assertion), not on the intensity of the criticism or the magnitude of the claimed economic effect. Cal. Civ. Code §§ 44–45. </w:t>
      </w:r>
      <w:r>
        <w:fldChar w:fldCharType="begin"/>
      </w:r>
      <w:r>
        <w:instrText>TA \l "Cal. Civ. Code § 44" \s "California Civil Code Section 44" \c 2</w:instrText>
      </w:r>
      <w:r>
        <w:fldChar w:fldCharType="separate"/>
      </w:r>
      <w:r>
        <w:fldChar w:fldCharType="end"/>
      </w:r>
      <w:r>
        <w:t xml:space="preserve"> </w:t>
      </w:r>
      <w:r>
        <w:fldChar w:fldCharType="begin"/>
      </w:r>
      <w:r>
        <w:instrText>TA \l "Cal. Civ. Code § 45" \s "California Civil Code Section 45" \c 2</w:instrText>
      </w:r>
      <w:r>
        <w:fldChar w:fldCharType="separate"/>
      </w:r>
      <w:r>
        <w:fldChar w:fldCharType="end"/>
      </w:r>
      <w:r>
        <w:t xml:space="preserve"> Even caustic, reputation-affecting commentary remains nonactionable where, as here, the publication signals critique and provides the reader the cited material on which the critique rests. </w:t>
      </w:r>
      <w:r>
        <w:rPr>
          <w:i/>
          <w:iCs/>
        </w:rPr>
        <w:t>Franklin</w:t>
      </w:r>
      <w:r>
        <w:t xml:space="preserve"> v. </w:t>
      </w:r>
      <w:r>
        <w:rPr>
          <w:i/>
          <w:iCs/>
        </w:rPr>
        <w:t>Dynamic Details, Inc.</w:t>
      </w:r>
      <w:r>
        <w:t>, 116 Cal. App. 4th 375 (2004).</w:t>
      </w:r>
    </w:p>
    <w:p>
      <w:pPr>
        <w:pStyle w:val="BodyText"/>
      </w:pPr>
      <w:r>
        <w:t xml:space="preserve">Nor can Global Media salvage a libel theory by reframing Ms. Smith’s disclosed-basis critique as an implied assertion of “hidden” facts. The Blog Post did not purport to reveal inside information about Global Media; it primarily reproduced the Magazine Article and then expressed a negative reaction “based on that disclosed text.” In this setting, a reasonable reader would not infer that Ms. Smith was asserting additional, undisclosed defamatory facts about Global Media; the reader would infer precisely what the Blog Post presented—an interpretation and judgment about the Magazine Article’s content. See </w:t>
      </w:r>
      <w:r>
        <w:rPr>
          <w:i/>
          <w:iCs/>
        </w:rPr>
        <w:t>Summit Bank</w:t>
      </w:r>
      <w:r>
        <w:t xml:space="preserve"> v. </w:t>
      </w:r>
      <w:r>
        <w:rPr>
          <w:i/>
          <w:iCs/>
        </w:rPr>
        <w:t>Rogers</w:t>
      </w:r>
      <w:r>
        <w:t xml:space="preserve">, 206 Cal. App. 4th 669 (2012). </w:t>
      </w:r>
      <w:r>
        <w:fldChar w:fldCharType="begin"/>
      </w:r>
      <w:r>
        <w:instrText>TA \l "New York Times Co. v. Sullivan,     376 U.S. 254 (1964)" \s "New York Times Co. v. Sullivan, 376 U.S." \c 1</w:instrText>
      </w:r>
      <w:r>
        <w:fldChar w:fldCharType="separate"/>
      </w:r>
      <w:r>
        <w:fldChar w:fldCharType="end"/>
      </w:r>
    </w:p>
    <w:p>
      <w:pPr>
        <w:pStyle w:val="BodyText"/>
      </w:pPr>
      <w:r>
        <w:t xml:space="preserve">Because the Blog Post, viewed in its full context, conveyed only brief, ruthless criticism grounded in the heart of the Magazine Article that it disclosed, it did not communicate a provably false factual assertion about Global Media. Without falsity in the requisite sense, Global Media cannot satisfy the elements of libel under California law, and the claim should be dismissed. Cal. Civ. Code §§ 44–45. </w:t>
      </w:r>
      <w:r>
        <w:fldChar w:fldCharType="begin"/>
      </w:r>
      <w:r>
        <w:instrText>TA \l "Cal. Civ. Code § 44" \s "California Civil Code Section 44" \c 2</w:instrText>
      </w:r>
      <w:r>
        <w:fldChar w:fldCharType="separate"/>
      </w:r>
      <w:r>
        <w:fldChar w:fldCharType="end"/>
      </w:r>
      <w:bookmarkEnd w:id="21"/>
    </w:p>
    <w:p>
      <w:pPr>
        <w:pStyle w:val="Heading2"/>
      </w:pPr>
      <w:bookmarkStart w:id="23" w:name="_Toc256000012"/>
      <w:r>
        <w:t>Section 45a requires special damages for alleged harm from criticism of the Magazine Article.</w:t>
      </w:r>
      <w:bookmarkEnd w:id="23"/>
    </w:p>
    <w:p>
      <w:pPr>
        <w:pStyle w:val="FirstParagraph"/>
      </w:pPr>
      <w:r>
        <w:t xml:space="preserve">Cal. Civ. Code § 45a establishes a dispositive threshold: only a publication that is “libelous on its face” may proceed without proof of special damages; where the publication is not defamatory on its face, the claim is “not libelous on its face,” and special damages are mandatory. Cal. Civ. Code § 45a. </w:t>
      </w:r>
      <w:r>
        <w:fldChar w:fldCharType="begin"/>
      </w:r>
      <w:r>
        <w:instrText>TA \l "Cal. Civ. Code § 45a" \s "California Civil Code Section 45a" \c 2</w:instrText>
      </w:r>
      <w:r>
        <w:fldChar w:fldCharType="separate"/>
      </w:r>
      <w:r>
        <w:fldChar w:fldCharType="end"/>
      </w:r>
      <w:r>
        <w:t xml:space="preserve"> The Court therefore must first examine the Blog Post itself to determine whether an ordinary reader would understand it, as written and without extrinsic facts or innuendo, to convey a defamatory meaning that exposes Global Media (through its Magazine) to hatred, contempt, ridicule, or tends to injure it in its occupation. See Cal. Civ. Code §§ 45, 45a. </w:t>
      </w:r>
      <w:r>
        <w:fldChar w:fldCharType="begin"/>
      </w:r>
      <w:r>
        <w:instrText>TA \l "Cal. Civ. Code § 45a" \s "California Civil Code Section 45a" \c 2</w:instrText>
      </w:r>
      <w:r>
        <w:fldChar w:fldCharType="separate"/>
      </w:r>
      <w:r>
        <w:fldChar w:fldCharType="end"/>
      </w:r>
    </w:p>
    <w:p>
      <w:pPr>
        <w:pStyle w:val="BodyText"/>
      </w:pPr>
      <w:r>
        <w:t xml:space="preserve">On this record, the Blog Post largely quotes “the heart” of the Magazine Article and then offers criticism that is “short” relative to the quoted portion and was described as “ruthless.” </w:t>
      </w:r>
      <w:r>
        <w:fldChar w:fldCharType="begin"/>
      </w:r>
      <w:r>
        <w:instrText>TA \l "Campbell v. Acuff-Rose Music, Inc.,     510 U.S. 569 (1994)" \s "Campbell v. Acuff-Rose Music, Inc., 510 U.S." \c 1</w:instrText>
      </w:r>
      <w:r>
        <w:fldChar w:fldCharType="separate"/>
      </w:r>
      <w:r>
        <w:fldChar w:fldCharType="end"/>
      </w:r>
      <w:r>
        <w:t xml:space="preserve"> The asserted injury is that the criticism “may have harmed the credibility of the Magazine,” and Global Media maintains the Blog “has cost the Magazine business.” Those allegations confirm that Global Media’s theory is reputational fallout from harsh commentary about the Magazine Article’s quality or reliability—not a facially apparent accusation that, standing alone, communicates a concrete defamatory fact about Global Media. Criticism of a publication, particularly when presented as commentary following extensive quotation of the underlying material, reads to ordinary readers as evaluative judgment about the Magazine Article rather than as a standalone factual charge about Global Media. </w:t>
      </w:r>
      <w:r>
        <w:fldChar w:fldCharType="begin"/>
      </w:r>
      <w:r>
        <w:instrText>TA \l "New York Times Co. v. Sullivan,     376 U.S. 254 (1964)" \s "New York Times Co. v. Sullivan, 376 U.S." \c 1</w:instrText>
      </w:r>
      <w:r>
        <w:fldChar w:fldCharType="separate"/>
      </w:r>
      <w:r>
        <w:fldChar w:fldCharType="end"/>
      </w:r>
    </w:p>
    <w:p>
      <w:pPr>
        <w:pStyle w:val="BodyText"/>
      </w:pPr>
      <w:r>
        <w:t xml:space="preserve">That framing is critical under § 45a. Even if the criticism could be argued to “tend[] to injure” Global Media in its business in the abstract, see Cal. Civ. Code § 45, </w:t>
      </w:r>
      <w:r>
        <w:fldChar w:fldCharType="begin"/>
      </w:r>
      <w:r>
        <w:instrText>TA \l "Cal. Civ. Code § 45" \s "California Civil Code Section 45" \c 2</w:instrText>
      </w:r>
      <w:r>
        <w:fldChar w:fldCharType="separate"/>
      </w:r>
      <w:r>
        <w:fldChar w:fldCharType="end"/>
      </w:r>
      <w:r>
        <w:t xml:space="preserve"> the alleged defamatory meaning here is not self-evident from the face of the Blog Post; it depends on how readers interpret the criticism, what they assume about the Magazine based on that criticism, and whether they translate that reaction into purchasing decisions. Those are precisely the kinds of extrinsic inferences and contextual steps that take a claim outside “libel on its face” and into § 45a’s “not libelous on its face” category, where special damages are required. Cal. Civ. Code § 45a. </w:t>
      </w:r>
      <w:r>
        <w:fldChar w:fldCharType="begin"/>
      </w:r>
      <w:r>
        <w:instrText>TA \l "Cal. Civ. Code § 45a" \s "California Civil Code Section 45a" \c 2</w:instrText>
      </w:r>
      <w:r>
        <w:fldChar w:fldCharType="separate"/>
      </w:r>
      <w:r>
        <w:fldChar w:fldCharType="end"/>
      </w:r>
    </w:p>
    <w:p>
      <w:pPr>
        <w:pStyle w:val="BodyText"/>
      </w:pPr>
      <w:r>
        <w:t xml:space="preserve">Global Media will likely attempt to repackage “credibility” injury as facial occupational harm, arguing that a publication harming a magazine’s credibility necessarily “tends to injure” it in its business. See Cal. Civ. Code § 45. </w:t>
      </w:r>
      <w:r>
        <w:fldChar w:fldCharType="begin"/>
      </w:r>
      <w:r>
        <w:instrText>TA \l "Cal. Civ. Code § 45" \s "California Civil Code Section 45" \c 2</w:instrText>
      </w:r>
      <w:r>
        <w:fldChar w:fldCharType="separate"/>
      </w:r>
      <w:r>
        <w:fldChar w:fldCharType="end"/>
      </w:r>
      <w:r>
        <w:t xml:space="preserve"> But § 45a is not satisfied by a generalized assertion that credibility affects business; it asks whether the defamatory meaning is apparent from the publication itself without added explanatory matter. Cal. Civ. Code § 45a. </w:t>
      </w:r>
      <w:r>
        <w:fldChar w:fldCharType="begin"/>
      </w:r>
      <w:r>
        <w:instrText>TA \l "Cal. Civ. Code § 45a" \s "California Civil Code Section 45a" \c 2</w:instrText>
      </w:r>
      <w:r>
        <w:fldChar w:fldCharType="separate"/>
      </w:r>
      <w:r>
        <w:fldChar w:fldCharType="end"/>
      </w:r>
      <w:r>
        <w:t xml:space="preserve"> Here, the Blog Post’s dominant feature is quotation of the Magazine Article, with comparatively short criticism afterward. The face of that publication does not, by itself, communicate a specific defamatory factual assertion about Global Media; at most it communicates disagreement and negative appraisal of the Magazine Article. Because the supposedly harmful meaning is not apparent without extrinsic interpretation, the claim necessarily falls within § 45a’s special-damages regime. </w:t>
      </w:r>
      <w:r>
        <w:fldChar w:fldCharType="begin"/>
      </w:r>
      <w:r>
        <w:instrText>TA \l "Cal. Civ. Code § 45a" \s "California Civil Code Section 45a" \c 2</w:instrText>
      </w:r>
      <w:r>
        <w:fldChar w:fldCharType="separate"/>
      </w:r>
      <w:r>
        <w:fldChar w:fldCharType="end"/>
      </w:r>
    </w:p>
    <w:p>
      <w:pPr>
        <w:pStyle w:val="BodyText"/>
      </w:pPr>
      <w:r>
        <w:t xml:space="preserve">Nor can Global Media avoid § 45a by pointing to its maintained downstream effects. Global Media maintains the Blog has “cost the Magazine business,” and it maintains Ms. Smith benefited by increased voluntary contributions to her Blog. But § 45a draws a line between presumed reputational harm and recoverable harm when the alleged defamation is not facial: absent libel on its face, Global Media must prove special damages—i.e., specific, quantifiable pecuniary loss proximately caused by the Blog Post—not merely an asserted decline in credibility or a conclusory claim that business was lost. Cal. Civ. Code § 45a. </w:t>
      </w:r>
      <w:r>
        <w:fldChar w:fldCharType="begin"/>
      </w:r>
      <w:r>
        <w:instrText>TA \l "Cal. Civ. Code § 45a" \s "California Civil Code Section 45a" \c 2</w:instrText>
      </w:r>
      <w:r>
        <w:fldChar w:fldCharType="separate"/>
      </w:r>
      <w:r>
        <w:fldChar w:fldCharType="end"/>
      </w:r>
      <w:r>
        <w:t xml:space="preserve"> Generalized reputational harm is exactly what § 45a requires a plaintiff to translate into concrete, provable economic loss when the publication is not defamatory on its face.</w:t>
      </w:r>
    </w:p>
    <w:p>
      <w:pPr>
        <w:pStyle w:val="BodyText"/>
      </w:pPr>
      <w:r>
        <w:t xml:space="preserve">Finally, the Court should not lose sight of the gatekeeping problem embedded in Global Media’s theory. A claim predicated on “ruthless” criticism of a published article, offered after quoting the heart of that article, is the paradigm of evaluative commentary about a work. If the challenged criticism is not a provably false statement of fact about Global Media, then there is no actionable libel under Cal. Civ. Code §§ 44–45, and § 45a’s damages question becomes moot. </w:t>
      </w:r>
      <w:r>
        <w:fldChar w:fldCharType="begin"/>
      </w:r>
      <w:r>
        <w:instrText>TA \l "Cal. Civ. Code § 44" \s "California Civil Code Section 44" \c 2</w:instrText>
      </w:r>
      <w:r>
        <w:fldChar w:fldCharType="separate"/>
      </w:r>
      <w:r>
        <w:fldChar w:fldCharType="end"/>
      </w:r>
      <w:r>
        <w:t xml:space="preserve"> </w:t>
      </w:r>
      <w:r>
        <w:fldChar w:fldCharType="begin"/>
      </w:r>
      <w:r>
        <w:instrText>TA \l "Cal. Civ. Code § 45" \s "California Civil Code Section 45" \c 2</w:instrText>
      </w:r>
      <w:r>
        <w:fldChar w:fldCharType="separate"/>
      </w:r>
      <w:r>
        <w:fldChar w:fldCharType="end"/>
      </w:r>
      <w:r>
        <w:t xml:space="preserve"> But even giving Global Media every benefit of the doubt and assuming the criticism could be construed to imply an actionable factual assertion, the absence of a facially defamatory meaning on the face of the Blog Post triggers § 45a: Global Media cannot recover without pleading and proving special damages tied to that publication. Cal. Civ. Code § 45a. </w:t>
      </w:r>
      <w:r>
        <w:fldChar w:fldCharType="begin"/>
      </w:r>
      <w:r>
        <w:instrText>TA \l "Cal. Civ. Code § 45a" \s "California Civil Code Section 45a" \c 2</w:instrText>
      </w:r>
      <w:r>
        <w:fldChar w:fldCharType="separate"/>
      </w:r>
      <w:r>
        <w:fldChar w:fldCharType="end"/>
      </w:r>
    </w:p>
    <w:p>
      <w:bookmarkStart w:id="24" w:name="argument"/>
      <w:bookmarkStart w:id="25" w:name="X92607a0b8f80875ea0f102ff519e98c76dd88af"/>
      <w:bookmarkEnd w:id="24"/>
      <w:bookmarkEnd w:id="25"/>
      <w:r>
        <w:br w:type="page"/>
      </w:r>
    </w:p>
    <w:p>
      <w:pPr>
        <w:pStyle w:val="Heading1"/>
      </w:pPr>
      <w:bookmarkStart w:id="26" w:name="_Toc256000013"/>
      <w:r>
        <w:t>Conclusion</w:t>
      </w:r>
      <w:bookmarkEnd w:id="26"/>
    </w:p>
    <w:p>
      <w:pPr>
        <w:pStyle w:val="FirstParagraph"/>
      </w:pPr>
      <w:r>
        <w:t>For the foregoing reasons, Ms. Smith respectfully requests that the Court enter judgment in favor of Ms. Smith and against Global Media.</w:t>
      </w:r>
    </w:p>
    <w:p>
      <w:pPr>
        <w:spacing w:before="240" w:after="240"/>
      </w:pP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Pr>
          <w:p>
            <w:pPr>
              <w:widowControl w:val="0"/>
              <w:spacing w:before="240" w:after="200"/>
              <w:ind w:left="0" w:firstLine="0"/>
            </w:pPr>
            <w:r>
              <w:t>Dated: [DATE]</w:t>
            </w:r>
          </w:p>
        </w:tc>
        <w:tc>
          <w:tcPr>
            <w:tcW w:w="4679" w:type="dxa"/>
          </w:tcPr>
          <w:p>
            <w:pPr>
              <w:widowControl w:val="0"/>
              <w:spacing w:before="0" w:after="240" w:line="240" w:lineRule="auto"/>
              <w:ind w:left="0" w:firstLine="0"/>
            </w:pPr>
            <w:r>
              <w:t>Respectfully submitted,</w:t>
            </w:r>
          </w:p>
          <w:p>
            <w:pPr>
              <w:widowControl w:val="0"/>
              <w:spacing w:before="480" w:after="0" w:line="240" w:lineRule="auto"/>
              <w:ind w:left="0" w:firstLine="0"/>
            </w:pPr>
            <w:r>
              <w:t>____________________________</w:t>
            </w:r>
          </w:p>
          <w:p>
            <w:pPr>
              <w:widowControl w:val="0"/>
              <w:spacing w:before="120" w:after="0" w:line="240" w:lineRule="auto"/>
              <w:ind w:left="0" w:firstLine="0"/>
            </w:pPr>
            <w:r>
              <w:t>[ATTORNEY NAME]</w:t>
            </w:r>
          </w:p>
          <w:p>
            <w:pPr>
              <w:widowControl w:val="0"/>
              <w:spacing w:before="0" w:after="0" w:line="240" w:lineRule="auto"/>
              <w:ind w:left="0" w:firstLine="0"/>
            </w:pPr>
            <w:r>
              <w:t>Attorney for Defendant</w:t>
            </w:r>
          </w:p>
        </w:tc>
      </w:tr>
    </w:tbl>
    <w:p>
      <w:bookmarkStart w:id="27" w:name="conclusion"/>
      <w:bookmarkEnd w:id="27"/>
      <w:r>
        <w:br w:type="page"/>
      </w:r>
    </w:p>
    <w:p>
      <w:pPr>
        <w:pStyle w:val="Heading1"/>
      </w:pPr>
      <w:bookmarkStart w:id="28" w:name="_Toc256000014"/>
      <w:r>
        <w:t>Certificate of Compliance</w:t>
      </w:r>
      <w:bookmarkEnd w:id="28"/>
    </w:p>
    <w:p>
      <w:pPr>
        <w:pStyle w:val="centeredstyle"/>
      </w:pPr>
      <w:r>
        <w:t>CERTIFICATE OF COMPLIANCE WITH [COURT_RULES]</w:t>
      </w:r>
    </w:p>
    <w:p>
      <w:pPr>
        <w:pStyle w:val="BodyText"/>
      </w:pPr>
      <w:r>
        <w:t>I, [YOUR_NAME], counsel for the Defendant, hereby certify that, according to the word-count tool in Microsoft Word, the Brief of Defendant consists of 7261 words, excluding footnotes. The Brief therefore complies with [COURT_RULES] and is within the [WORD_LIMIT] word limit.</w:t>
      </w:r>
    </w:p>
    <w:p>
      <w:pPr>
        <w:pStyle w:val="BodyText"/>
      </w:pPr>
      <w:r>
        <w:t>Dated 31 of March, 2026.</w:t>
      </w:r>
    </w:p>
    <w:p>
      <w:r>
        <mc:AlternateContent>
          <mc:Choice Requires="wps">
            <w:drawing>
              <wp:inline distT="0" distB="0" distL="0" distR="0">
                <wp:extent cx="5943600" cy="19050"/>
                <wp:effectExtent l="0" t="0" r="0" b="0"/>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5" style="width:467.95pt;height:1.45pt;margin-top:0;margin-left:0;mso-position-horizontal:center;mso-position-vertical:top;mso-wrap-style:none;position:absolute;v-text-anchor:middle;z-index:251658240"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6" style="width:467.95pt;height:1.45pt;margin-top:0;margin-left:0;mso-position-horizontal:center;mso-position-vertical:top;mso-wrap-style:none;position:absolute;v-text-anchor:middle;z-index:251659264"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p>
    <w:p>
      <w:bookmarkStart w:id="29" w:name="certificate-of-compliance"/>
      <w:bookmarkEnd w:id="29"/>
      <w:r>
        <w:br w:type="page"/>
      </w:r>
    </w:p>
    <w:p>
      <w:pPr>
        <w:pStyle w:val="Heading1"/>
      </w:pPr>
      <w:bookmarkStart w:id="30" w:name="certificate-of-service"/>
      <w:bookmarkStart w:id="31" w:name="_Toc256000015"/>
      <w:r>
        <w:t>Certificate of Service</w:t>
      </w:r>
      <w:bookmarkEnd w:id="31"/>
    </w:p>
    <w:p>
      <w:pPr>
        <w:pStyle w:val="centeredstyle"/>
      </w:pPr>
      <w:r>
        <w:t>NO. [CASE_NUMBER]</w:t>
      </w:r>
    </w:p>
    <w:p>
      <w:pPr>
        <w:pStyle w:val="centeredstyle"/>
      </w:pPr>
      <w:r>
        <w:t>IN THE UNITED STATES DISTRICT COURT FOR THE [NORTHERN/CENTRAL/SOUTHERN/EASTERN] DISTRICT OF CALIFORNIA</w:t>
      </w:r>
    </w:p>
    <w:p>
      <w:r>
        <mc:AlternateContent>
          <mc:Choice Requires="wps">
            <w:drawing>
              <wp:inline distT="0" distB="0" distL="0" distR="0">
                <wp:extent cx="5943600" cy="19050"/>
                <wp:effectExtent l="0" t="0" r="0" b="0"/>
                <wp:docPr id="3"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7" style="width:467.95pt;height:1.45pt;margin-top:0;margin-left:0;mso-position-horizontal:center;mso-position-vertical:top;mso-wrap-style:none;position:absolute;v-text-anchor:middle;z-index:251660288" o:allowincell="f" fillcolor="white" stroked="t" strokecolor="black">
                <v:fill color2="black" type="solid" o:detectmouseclick="t"/>
                <v:stroke joinstyle="round" endcap="flat"/>
                <w10:wrap type="topAndBottom"/>
              </v:rect>
            </w:pict>
          </mc:Fallback>
        </mc:AlternateContent>
      </w:r>
    </w:p>
    <w:p>
      <w:pPr>
        <w:pStyle w:val="centeredstyle"/>
      </w:pPr>
      <w:r>
        <w:t>GLOBAL MEDIA, INC.</w:t>
      </w:r>
    </w:p>
    <w:p>
      <w:pPr>
        <w:pStyle w:val="centeredstyle"/>
      </w:pPr>
      <w:r>
        <w:t>v.</w:t>
      </w:r>
    </w:p>
    <w:p>
      <w:pPr>
        <w:pStyle w:val="centeredstyle"/>
      </w:pPr>
      <w:r>
        <w:t>JANE SMITH</w:t>
      </w:r>
    </w:p>
    <w:p>
      <w:r>
        <mc:AlternateContent>
          <mc:Choice Requires="wps">
            <w:drawing>
              <wp:inline distT="0" distB="0" distL="0" distR="0">
                <wp:extent cx="5943600" cy="19050"/>
                <wp:effectExtent l="0" t="0" r="0" b="0"/>
                <wp:docPr id="4"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8" style="width:467.95pt;height:1.45pt;margin-top:0;margin-left:0;mso-position-horizontal:center;mso-position-vertical:top;mso-wrap-style:none;position:absolute;v-text-anchor:middle;z-index:251661312" o:allowincell="f" fillcolor="white" stroked="t" strokecolor="black">
                <v:fill color2="black" type="solid" o:detectmouseclick="t"/>
                <v:stroke joinstyle="round" endcap="flat"/>
                <w10:wrap type="topAndBottom"/>
              </v:rect>
            </w:pict>
          </mc:Fallback>
        </mc:AlternateContent>
      </w:r>
    </w:p>
    <w:p>
      <w:pPr>
        <w:pStyle w:val="centeredstyle"/>
      </w:pPr>
      <w:r>
        <w:t>CERTIFICATE OF SERVICE</w:t>
      </w:r>
    </w:p>
    <w:p>
      <w:pPr>
        <w:pStyle w:val="BodyText"/>
      </w:pPr>
      <w:r>
        <w:t>This is to certify that I am counsel for the Defendant in the above-captioned case. On Tuesday, March 31, 2026, I served a copy of the foregoing brief: ‘Legal Brief’ by [METHOD_OF_SERVICE] on the following parties:</w:t>
      </w:r>
    </w:p>
    <w:p>
      <w:pPr>
        <w:pStyle w:val="BodyText"/>
      </w:pPr>
      <w:r>
        <w:t>Dated 31 of March, 2026.</w:t>
      </w:r>
    </w:p>
    <w:p>
      <w:r>
        <mc:AlternateContent>
          <mc:Choice Requires="wps">
            <w:drawing>
              <wp:inline distT="0" distB="0" distL="0" distR="0">
                <wp:extent cx="5943600" cy="19050"/>
                <wp:effectExtent l="0" t="0" r="0" b="0"/>
                <wp:docPr id="5"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9" style="width:467.95pt;height:1.45pt;margin-top:0;margin-left:0;mso-position-horizontal:center;mso-position-vertical:top;mso-wrap-style:none;position:absolute;v-text-anchor:middle;z-index:251662336"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6"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30" style="width:467.95pt;height:1.45pt;margin-top:0;margin-left:0;mso-position-horizontal:center;mso-position-vertical:top;mso-wrap-style:none;position:absolute;v-text-anchor:middle;z-index:251663360"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bookmarkEnd w:id="30"/>
    </w:p>
    <w:sectPr>
      <w:footerReference w:type="even" r:id="rId4"/>
      <w:footerReference w:type="default" r:id="rId5"/>
      <w:type w:val="nextPage"/>
      <w:pgSz w:w="12240" w:h="15840"/>
      <w:pgMar w:top="1440" w:right="1440" w:bottom="1440" w:left="1440" w:header="0" w:footer="720" w:gutter="0"/>
      <w:pgNumType w:fmt="decimal"/>
      <w:cols w:space="720"/>
      <w:formProt w:val="0"/>
      <w:titlePg/>
      <w:textDirection w:val="lrTb"/>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0"/>
    <w:family w:val="roman"/>
    <w:pitch w:val="variable"/>
  </w:font>
  <w:font w:name="Franklin Gothic Book">
    <w:charset w:val="00"/>
    <w:family w:val="roman"/>
    <w:pitch w:val="variable"/>
  </w:font>
  <w:font w:name="Constantia">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56990436"/>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259936553"/>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sdtContent>
  </w:sdt>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F1BED9C"/>
    <w:multiLevelType w:val="hybridMultilevel"/>
    <w:tmpl w:val="0000000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2A483B94"/>
    <w:multiLevelType w:val="hybridMultilevel"/>
    <w:tmpl w:val="0000000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EA37DD2"/>
    <w:multiLevelType w:val="hybridMultilevel"/>
    <w:tmpl w:val="00000000"/>
    <w:lvl w:ilvl="0">
      <w:start w:val="1"/>
      <w:numFmt w:val="upperRoman"/>
      <w:lvlText w:val="%1."/>
      <w:lvlJc w:val="left"/>
      <w:pPr>
        <w:tabs>
          <w:tab w:val="num" w:pos="0"/>
        </w:tabs>
        <w:ind w:left="0" w:firstLine="0"/>
      </w:pPr>
    </w:lvl>
    <w:lvl w:ilvl="1">
      <w:start w:val="1"/>
      <w:numFmt w:val="upperRoman"/>
      <w:pStyle w:val="Heading2"/>
      <w:lvlText w:val="%2."/>
      <w:lvlJc w:val="left"/>
      <w:pPr>
        <w:tabs>
          <w:tab w:val="num" w:pos="0"/>
        </w:tabs>
        <w:ind w:left="720" w:hanging="720"/>
      </w:pPr>
    </w:lvl>
    <w:lvl w:ilvl="2">
      <w:start w:val="1"/>
      <w:numFmt w:val="upperLetter"/>
      <w:pStyle w:val="Heading3"/>
      <w:suff w:val="space"/>
      <w:lvlText w:val="%3."/>
      <w:lvlJc w:val="left"/>
      <w:pPr>
        <w:tabs>
          <w:tab w:val="num" w:pos="0"/>
        </w:tabs>
        <w:ind w:left="1440" w:hanging="72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abstractNum w:abstractNumId="3">
    <w:nsid w:val="30561E33"/>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46833ED2"/>
    <w:multiLevelType w:val="hybridMultilevel"/>
    <w:tmpl w:val="0000000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nsid w:val="469708E5"/>
    <w:multiLevelType w:val="hybridMultilevel"/>
    <w:tmpl w:val="000000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4D85C538"/>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DE489B3"/>
    <w:multiLevelType w:val="hybridMultilevel"/>
    <w:tmpl w:val="00000000"/>
    <w:lvl w:ilvl="0">
      <w:start w:va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nsid w:val="67564D62"/>
    <w:multiLevelType w:val="hybridMultilevel"/>
    <w:tmpl w:val="0000000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75A36263"/>
    <w:multiLevelType w:val="hybridMultilevel"/>
    <w:tmpl w:val="00000000"/>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8"/>
  </w:num>
  <w:num w:numId="3">
    <w:abstractNumId w:val="3"/>
  </w:num>
  <w:num w:numId="4">
    <w:abstractNumId w:val="0"/>
  </w:num>
  <w:num w:numId="5">
    <w:abstractNumId w:val="1"/>
  </w:num>
  <w:num w:numId="6">
    <w:abstractNumId w:val="9"/>
  </w:num>
  <w:num w:numId="7">
    <w:abstractNumId w:val="5"/>
  </w:num>
  <w:num w:numId="8">
    <w:abstractNumId w:val="6"/>
  </w:num>
  <w:num w:numId="9">
    <w:abstractNumId w:val="4"/>
  </w:num>
  <w:num w:numId="10">
    <w:abstractNumId w:val="7"/>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toc 1" w:uiPriority="39"/>
    <w:lsdException w:name="toc 2" w:uiPriority="39"/>
    <w:lsdException w:name="toc 3" w:uiPriority="39"/>
    <w:lsdException w:name="table of authorities" w:uiPriority="99"/>
    <w:lsdException w:name="toa heading"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9F"/>
    <w:pPr>
      <w:widowControl/>
      <w:bidi w:val="0"/>
      <w:spacing w:before="0" w:after="200"/>
      <w:jc w:val="left"/>
    </w:pPr>
    <w:rPr>
      <w:rFonts w:ascii="Constantia" w:hAnsi="Constantia" w:eastAsiaTheme="minorHAnsi" w:cstheme="minorBidi"/>
      <w:color w:val="auto"/>
      <w:kern w:val="0"/>
      <w:sz w:val="24"/>
      <w:szCs w:val="24"/>
      <w:lang w:val="en-US" w:eastAsia="en-US" w:bidi="ar-SA"/>
    </w:rPr>
  </w:style>
  <w:style w:type="paragraph" w:styleId="Heading1">
    <w:name w:val="heading 1"/>
    <w:basedOn w:val="Normal"/>
    <w:next w:val="BodyText"/>
    <w:uiPriority w:val="9"/>
    <w:qFormat/>
    <w:rsid w:val="0067625C"/>
    <w:pPr>
      <w:keepNext/>
      <w:keepLines/>
      <w:spacing w:before="480" w:after="240"/>
      <w:jc w:val="center"/>
      <w:outlineLvl w:val="0"/>
    </w:pPr>
    <w:rPr>
      <w:rFonts w:asciiTheme="majorHAnsi" w:eastAsiaTheme="majorEastAsia" w:hAnsiTheme="majorHAnsi" w:cs="Times New Roman (Headings CS)"/>
      <w:b/>
      <w:bCs/>
      <w:caps/>
      <w:sz w:val="32"/>
      <w:szCs w:val="32"/>
      <w:u w:val="single"/>
    </w:rPr>
  </w:style>
  <w:style w:type="paragraph" w:styleId="Heading2">
    <w:name w:val="heading 2"/>
    <w:basedOn w:val="Normal"/>
    <w:next w:val="BodyText"/>
    <w:uiPriority w:val="9"/>
    <w:unhideWhenUsed/>
    <w:qFormat/>
    <w:rsid w:val="00F6070A"/>
    <w:pPr>
      <w:keepNext/>
      <w:keepLines/>
      <w:numPr>
        <w:ilvl w:val="1"/>
        <w:numId w:val="1"/>
      </w:numPr>
      <w:spacing w:before="200" w:after="200"/>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D01E7"/>
    <w:pPr>
      <w:numPr>
        <w:ilvl w:val="2"/>
        <w:numId w:val="1"/>
      </w:numPr>
      <w:ind w:left="1080" w:hanging="360"/>
      <w:outlineLvl w:val="2"/>
    </w:pPr>
  </w:style>
  <w:style w:type="paragraph" w:styleId="Heading4">
    <w:name w:val="heading 4"/>
    <w:basedOn w:val="Normal"/>
    <w:next w:val="BodyText"/>
    <w:uiPriority w:val="9"/>
    <w:unhideWhenUsed/>
    <w:qFormat/>
    <w:rsid w:val="00F6070A"/>
    <w:pPr>
      <w:keepNext/>
      <w:keepLines/>
      <w:numPr>
        <w:ilvl w:val="3"/>
        <w:numId w:val="1"/>
      </w:numPr>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F6070A"/>
    <w:pPr>
      <w:keepNext/>
      <w:keepLines/>
      <w:numPr>
        <w:ilvl w:val="4"/>
        <w:numId w:val="1"/>
      </w:numPr>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F6070A"/>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F6070A"/>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F6070A"/>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F6070A"/>
    <w:pPr>
      <w:keepNext/>
      <w:keepLines/>
      <w:numPr>
        <w:ilvl w:val="8"/>
        <w:numId w:val="1"/>
      </w:numPr>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character" w:customStyle="1" w:styleId="CaptionChar">
    <w:name w:val="Caption Char"/>
    <w:basedOn w:val="DefaultParagraphFont"/>
    <w:link w:val="Caption"/>
    <w:qFormat/>
  </w:style>
  <w:style w:type="character" w:customStyle="1" w:styleId="VerbatimChar">
    <w:name w:val="Verbatim Char"/>
    <w:basedOn w:val="CaptionChar"/>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sid w:val="00C772B3"/>
    <w:rPr>
      <w:color w:val="000000" w:themeColor="text1"/>
    </w:rPr>
  </w:style>
  <w:style w:type="character" w:customStyle="1" w:styleId="FooterChar">
    <w:name w:val="Footer Char"/>
    <w:basedOn w:val="DefaultParagraphFont"/>
    <w:link w:val="Footer"/>
    <w:qFormat/>
    <w:rsid w:val="002C6476"/>
  </w:style>
  <w:style w:type="character" w:styleId="PageNumber">
    <w:name w:val="page number"/>
    <w:basedOn w:val="DefaultParagraphFont"/>
    <w:qFormat/>
    <w:rsid w:val="002C6476"/>
  </w:style>
  <w:style w:type="character" w:customStyle="1" w:styleId="TableofAuthoritiesChar">
    <w:name w:val="Table of Authorities Char"/>
    <w:basedOn w:val="DefaultParagraphFont"/>
    <w:link w:val="TableofAuthorities"/>
    <w:uiPriority w:val="99"/>
    <w:qFormat/>
    <w:rsid w:val="000F239C"/>
    <w:rPr>
      <w:rFonts w:ascii="Constantia" w:hAnsi="Constantia" w:cs="Times New Roman (Body CS)"/>
    </w:rPr>
  </w:style>
  <w:style w:type="character" w:customStyle="1" w:styleId="KeywordTok">
    <w:name w:val="KeywordTok"/>
    <w:basedOn w:val="VerbatimChar"/>
    <w:qFormat/>
    <w:rPr>
      <w:b/>
      <w:color w:val="007020"/>
    </w:rPr>
  </w:style>
  <w:style w:type="character" w:customStyle="1" w:styleId="DataTypeTok">
    <w:name w:val="DataTypeTok"/>
    <w:basedOn w:val="VerbatimChar"/>
    <w:qFormat/>
    <w:rPr>
      <w:color w:val="902000"/>
    </w:rPr>
  </w:style>
  <w:style w:type="character" w:customStyle="1" w:styleId="DecValTok">
    <w:name w:val="DecValTok"/>
    <w:basedOn w:val="VerbatimChar"/>
    <w:qFormat/>
    <w:rPr>
      <w:color w:val="40A070"/>
    </w:rPr>
  </w:style>
  <w:style w:type="character" w:customStyle="1" w:styleId="BaseNTok">
    <w:name w:val="BaseNTok"/>
    <w:basedOn w:val="VerbatimChar"/>
    <w:qFormat/>
    <w:rPr>
      <w:color w:val="40A070"/>
    </w:rPr>
  </w:style>
  <w:style w:type="character" w:customStyle="1" w:styleId="FloatTok">
    <w:name w:val="FloatTok"/>
    <w:basedOn w:val="VerbatimChar"/>
    <w:qFormat/>
    <w:rPr>
      <w:color w:val="40A070"/>
    </w:rPr>
  </w:style>
  <w:style w:type="character" w:customStyle="1" w:styleId="ConstantTok">
    <w:name w:val="ConstantTok"/>
    <w:basedOn w:val="VerbatimChar"/>
    <w:qFormat/>
    <w:rPr>
      <w:color w:val="880000"/>
    </w:rPr>
  </w:style>
  <w:style w:type="character" w:customStyle="1" w:styleId="CharTok">
    <w:name w:val="CharTok"/>
    <w:basedOn w:val="VerbatimChar"/>
    <w:qFormat/>
    <w:rPr>
      <w:color w:val="4070A0"/>
    </w:rPr>
  </w:style>
  <w:style w:type="character" w:customStyle="1" w:styleId="SpecialCharTok">
    <w:name w:val="SpecialCharTok"/>
    <w:basedOn w:val="VerbatimChar"/>
    <w:qFormat/>
    <w:rPr>
      <w:color w:val="4070A0"/>
    </w:rPr>
  </w:style>
  <w:style w:type="character" w:customStyle="1" w:styleId="StringTok">
    <w:name w:val="StringTok"/>
    <w:basedOn w:val="VerbatimChar"/>
    <w:qFormat/>
    <w:rPr>
      <w:color w:val="4070A0"/>
    </w:rPr>
  </w:style>
  <w:style w:type="character" w:customStyle="1" w:styleId="VerbatimStringTok">
    <w:name w:val="VerbatimStringTok"/>
    <w:basedOn w:val="VerbatimChar"/>
    <w:qFormat/>
    <w:rPr>
      <w:color w:val="4070A0"/>
    </w:rPr>
  </w:style>
  <w:style w:type="character" w:customStyle="1" w:styleId="SpecialStringTok">
    <w:name w:val="SpecialStringTok"/>
    <w:basedOn w:val="VerbatimChar"/>
    <w:qFormat/>
    <w:rPr>
      <w:color w:val="BB6688"/>
    </w:rPr>
  </w:style>
  <w:style w:type="character" w:customStyle="1" w:styleId="ImportTok">
    <w:name w:val="ImportTok"/>
    <w:basedOn w:val="VerbatimChar"/>
    <w:qFormat/>
    <w:rPr>
      <w:b/>
      <w:color w:val="008000"/>
    </w:rPr>
  </w:style>
  <w:style w:type="character" w:customStyle="1" w:styleId="CommentTok">
    <w:name w:val="CommentTok"/>
    <w:basedOn w:val="VerbatimChar"/>
    <w:qFormat/>
    <w:rPr>
      <w:i/>
      <w:color w:val="60A0B0"/>
    </w:rPr>
  </w:style>
  <w:style w:type="character" w:customStyle="1" w:styleId="DocumentationTok">
    <w:name w:val="DocumentationTok"/>
    <w:basedOn w:val="VerbatimChar"/>
    <w:qFormat/>
    <w:rPr>
      <w:i/>
      <w:color w:val="BA2121"/>
    </w:rPr>
  </w:style>
  <w:style w:type="character" w:customStyle="1" w:styleId="AnnotationTok">
    <w:name w:val="AnnotationTok"/>
    <w:basedOn w:val="VerbatimChar"/>
    <w:qFormat/>
    <w:rPr>
      <w:b/>
      <w:i/>
      <w:color w:val="60A0B0"/>
    </w:rPr>
  </w:style>
  <w:style w:type="character" w:customStyle="1" w:styleId="CommentVarTok">
    <w:name w:val="CommentVarTok"/>
    <w:basedOn w:val="VerbatimChar"/>
    <w:qFormat/>
    <w:rPr>
      <w:b/>
      <w:i/>
      <w:color w:val="60A0B0"/>
    </w:rPr>
  </w:style>
  <w:style w:type="character" w:customStyle="1" w:styleId="OtherTok">
    <w:name w:val="OtherTok"/>
    <w:basedOn w:val="VerbatimChar"/>
    <w:qFormat/>
    <w:rPr>
      <w:color w:val="007020"/>
    </w:rPr>
  </w:style>
  <w:style w:type="character" w:customStyle="1" w:styleId="FunctionTok">
    <w:name w:val="FunctionTok"/>
    <w:basedOn w:val="VerbatimChar"/>
    <w:qFormat/>
    <w:rPr>
      <w:color w:val="06287E"/>
    </w:rPr>
  </w:style>
  <w:style w:type="character" w:customStyle="1" w:styleId="VariableTok">
    <w:name w:val="VariableTok"/>
    <w:basedOn w:val="VerbatimChar"/>
    <w:qFormat/>
    <w:rPr>
      <w:color w:val="19177C"/>
    </w:rPr>
  </w:style>
  <w:style w:type="character" w:customStyle="1" w:styleId="ControlFlowTok">
    <w:name w:val="ControlFlowTok"/>
    <w:basedOn w:val="VerbatimChar"/>
    <w:qFormat/>
    <w:rPr>
      <w:b/>
      <w:color w:val="007020"/>
    </w:rPr>
  </w:style>
  <w:style w:type="character" w:customStyle="1" w:styleId="OperatorTok">
    <w:name w:val="OperatorTok"/>
    <w:basedOn w:val="VerbatimChar"/>
    <w:qFormat/>
    <w:rPr>
      <w:color w:val="666666"/>
    </w:rPr>
  </w:style>
  <w:style w:type="character" w:customStyle="1" w:styleId="BuiltInTok">
    <w:name w:val="BuiltInTok"/>
    <w:basedOn w:val="VerbatimChar"/>
    <w:qFormat/>
    <w:rPr>
      <w:color w:val="008000"/>
    </w:rPr>
  </w:style>
  <w:style w:type="character" w:customStyle="1" w:styleId="ExtensionTok">
    <w:name w:val="ExtensionTok"/>
    <w:basedOn w:val="VerbatimChar"/>
    <w:qFormat/>
  </w:style>
  <w:style w:type="character" w:customStyle="1" w:styleId="PreprocessorTok">
    <w:name w:val="PreprocessorTok"/>
    <w:basedOn w:val="VerbatimChar"/>
    <w:qFormat/>
    <w:rPr>
      <w:color w:val="BC7A00"/>
    </w:rPr>
  </w:style>
  <w:style w:type="character" w:customStyle="1" w:styleId="AttributeTok">
    <w:name w:val="AttributeTok"/>
    <w:basedOn w:val="VerbatimChar"/>
    <w:qFormat/>
    <w:rPr>
      <w:color w:val="7D9029"/>
    </w:rPr>
  </w:style>
  <w:style w:type="character" w:customStyle="1" w:styleId="RegionMarkerTok">
    <w:name w:val="RegionMarkerTok"/>
    <w:basedOn w:val="VerbatimChar"/>
    <w:qFormat/>
  </w:style>
  <w:style w:type="character" w:customStyle="1" w:styleId="InformationTok">
    <w:name w:val="InformationTok"/>
    <w:basedOn w:val="VerbatimChar"/>
    <w:qFormat/>
    <w:rPr>
      <w:b/>
      <w:i/>
      <w:color w:val="60A0B0"/>
    </w:rPr>
  </w:style>
  <w:style w:type="character" w:customStyle="1" w:styleId="WarningTok">
    <w:name w:val="WarningTok"/>
    <w:basedOn w:val="VerbatimChar"/>
    <w:qFormat/>
    <w:rPr>
      <w:b/>
      <w:i/>
      <w:color w:val="60A0B0"/>
    </w:rPr>
  </w:style>
  <w:style w:type="character" w:customStyle="1" w:styleId="AlertTok">
    <w:name w:val="AlertTok"/>
    <w:basedOn w:val="VerbatimChar"/>
    <w:qFormat/>
    <w:rPr>
      <w:b/>
      <w:color w:val="FF0000"/>
    </w:rPr>
  </w:style>
  <w:style w:type="character" w:customStyle="1" w:styleId="ErrorTok">
    <w:name w:val="ErrorTok"/>
    <w:basedOn w:val="VerbatimChar"/>
    <w:qFormat/>
    <w:rPr>
      <w:b/>
      <w:color w:val="FF0000"/>
    </w:rPr>
  </w:style>
  <w:style w:type="character" w:customStyle="1" w:styleId="NormalTok">
    <w:name w:val="NormalTok"/>
    <w:basedOn w:val="VerbatimChar"/>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qFormat/>
    <w:rsid w:val="009F741B"/>
    <w:pPr>
      <w:spacing w:before="0" w:after="0" w:line="480" w:lineRule="auto"/>
      <w:ind w:firstLine="720"/>
    </w:pPr>
  </w:style>
  <w:style w:type="paragraph" w:styleId="List">
    <w:name w:val="List"/>
    <w:basedOn w:val="Normal"/>
    <w:rsid w:val="001A6454"/>
    <w:pPr>
      <w:spacing w:before="0" w:after="200"/>
      <w:ind w:left="360" w:hanging="360"/>
      <w:contextualSpacing/>
    </w:p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6D7BB9"/>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styleId="Date">
    <w:name w:val="Date"/>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72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widowControl/>
      <w:bidi w:val="0"/>
      <w:spacing w:before="100" w:after="100"/>
      <w:ind w:left="480" w:right="480" w:firstLine="0"/>
      <w:jc w:val="left"/>
    </w:pPr>
    <w:rPr>
      <w:rFonts w:asciiTheme="minorHAnsi" w:eastAsiaTheme="minorHAnsi" w:hAnsiTheme="minorHAnsi" w:cstheme="minorBidi"/>
      <w:color w:val="auto"/>
      <w:kern w:val="0"/>
      <w:sz w:val="24"/>
      <w:szCs w:val="24"/>
      <w:lang w:val="en-US" w:eastAsia="en-US" w:bidi="ar-SA"/>
    </w:rPr>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styleId="Caption">
    <w:name w:val="caption"/>
    <w:basedOn w:val="Normal"/>
    <w:link w:val="CaptionChar"/>
    <w:qFormat/>
    <w:pPr>
      <w:spacing w:before="0" w:after="120"/>
    </w:pPr>
    <w:rPr>
      <w:i/>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53669C"/>
    <w:pPr>
      <w:spacing w:before="240" w:after="240" w:line="259" w:lineRule="auto"/>
      <w:outlineLvl w:val="9"/>
    </w:pPr>
    <w:rPr>
      <w:bCs w:val="0"/>
      <w:caps w:val="0"/>
      <w:smallCaps w:val="0"/>
      <w:sz w:val="28"/>
      <w:u w:val="none"/>
    </w:rPr>
  </w:style>
  <w:style w:type="paragraph" w:customStyle="1" w:styleId="HeaderandFooter">
    <w:name w:val="Header and Footer"/>
    <w:basedOn w:val="Normal"/>
    <w:qFormat/>
  </w:style>
  <w:style w:type="paragraph" w:styleId="Footer">
    <w:name w:val="footer"/>
    <w:basedOn w:val="Normal"/>
    <w:link w:val="FooterChar"/>
    <w:rsid w:val="002C6476"/>
    <w:pPr>
      <w:tabs>
        <w:tab w:val="clear" w:pos="720"/>
        <w:tab w:val="center" w:pos="4680"/>
        <w:tab w:val="right" w:pos="9360"/>
      </w:tabs>
      <w:spacing w:before="0" w:after="0"/>
    </w:pPr>
  </w:style>
  <w:style w:type="paragraph" w:styleId="TOC1">
    <w:name w:val="toc 1"/>
    <w:basedOn w:val="Normal"/>
    <w:next w:val="Normal"/>
    <w:autoRedefine/>
    <w:uiPriority w:val="39"/>
    <w:rsid w:val="00F069A8"/>
    <w:pPr>
      <w:tabs>
        <w:tab w:val="clear" w:pos="720"/>
        <w:tab w:val="right" w:leader="dot" w:pos="9350"/>
      </w:tabs>
      <w:spacing w:before="240" w:after="240"/>
      <w:ind w:right="720" w:firstLine="0"/>
    </w:pPr>
    <w:rPr>
      <w:rFonts w:cs="Times New Roman (Body CS)"/>
      <w:caps/>
    </w:rPr>
  </w:style>
  <w:style w:type="paragraph" w:styleId="TOC2">
    <w:name w:val="toc 2"/>
    <w:basedOn w:val="Normal"/>
    <w:next w:val="Normal"/>
    <w:autoRedefine/>
    <w:uiPriority w:val="39"/>
    <w:rsid w:val="00F069A8"/>
    <w:pPr>
      <w:tabs>
        <w:tab w:val="left" w:pos="360"/>
        <w:tab w:val="right" w:leader="dot" w:pos="9350"/>
      </w:tabs>
      <w:spacing w:before="240" w:after="240"/>
      <w:ind w:right="720" w:firstLine="0"/>
    </w:pPr>
    <w:rPr>
      <w:rFonts w:cs="Times New Roman (Body CS)"/>
    </w:rPr>
  </w:style>
  <w:style w:type="paragraph" w:styleId="TOC3">
    <w:name w:val="toc 3"/>
    <w:basedOn w:val="Normal"/>
    <w:next w:val="Normal"/>
    <w:autoRedefine/>
    <w:uiPriority w:val="39"/>
    <w:rsid w:val="00F069A8"/>
    <w:pPr>
      <w:tabs>
        <w:tab w:val="left" w:pos="360"/>
        <w:tab w:val="clear" w:pos="720"/>
        <w:tab w:val="right" w:leader="dot" w:pos="9350"/>
      </w:tabs>
      <w:spacing w:before="240" w:after="240"/>
      <w:ind w:left="475" w:right="720" w:firstLine="0"/>
    </w:pPr>
    <w:rPr>
      <w:rFonts w:cs="Times New Roman (Body CS)"/>
    </w:rPr>
  </w:style>
  <w:style w:type="paragraph" w:customStyle="1" w:styleId="centeredstyle">
    <w:name w:val="centered_style"/>
    <w:basedOn w:val="Normal"/>
    <w:qFormat/>
    <w:rsid w:val="007F4339"/>
    <w:pPr>
      <w:jc w:val="center"/>
    </w:pPr>
  </w:style>
  <w:style w:type="paragraph" w:styleId="TOAHeading">
    <w:name w:val="toa heading"/>
    <w:basedOn w:val="Normal"/>
    <w:next w:val="Normal"/>
    <w:uiPriority w:val="99"/>
    <w:qFormat/>
    <w:rsid w:val="007A7E0E"/>
    <w:pPr>
      <w:spacing w:before="120" w:after="200"/>
    </w:pPr>
    <w:rPr>
      <w:rFonts w:asciiTheme="majorHAnsi" w:eastAsiaTheme="majorEastAsia" w:hAnsiTheme="majorHAnsi" w:cstheme="majorBidi"/>
      <w:b/>
      <w:bCs/>
    </w:rPr>
  </w:style>
  <w:style w:type="paragraph" w:styleId="TableofAuthorities">
    <w:name w:val="table of authorities"/>
    <w:basedOn w:val="Normal"/>
    <w:next w:val="Normal"/>
    <w:link w:val="TableofAuthoritiesChar"/>
    <w:uiPriority w:val="99"/>
    <w:qFormat/>
    <w:rsid w:val="000F239C"/>
    <w:pPr>
      <w:tabs>
        <w:tab w:val="clear" w:pos="720"/>
        <w:tab w:val="right" w:leader="dot" w:pos="9360"/>
      </w:tabs>
      <w:spacing w:before="0" w:after="120" w:line="240" w:lineRule="auto"/>
      <w:ind w:left="720" w:hanging="720"/>
    </w:pPr>
    <w:rPr>
      <w:rFonts w:cs="Times New Roman (Body CS)"/>
    </w:rPr>
  </w:style>
  <w:style w:type="paragraph" w:styleId="ListBullet">
    <w:name w:val="List Bullet"/>
    <w:basedOn w:val="Normal"/>
    <w:qFormat/>
    <w:rsid w:val="00D45D12"/>
    <w:pPr>
      <w:numPr>
        <w:ilvl w:val="0"/>
        <w:numId w:val="2"/>
      </w:numPr>
      <w:spacing w:before="0" w:after="200" w:line="480" w:lineRule="auto"/>
      <w:contextualSpacing/>
    </w:pPr>
  </w:style>
  <w:style w:type="paragraph" w:styleId="ListBullet2">
    <w:name w:val="List Bullet 2"/>
    <w:basedOn w:val="Normal"/>
    <w:qFormat/>
    <w:rsid w:val="001A6454"/>
    <w:pPr>
      <w:numPr>
        <w:ilvl w:val="0"/>
        <w:numId w:val="3"/>
      </w:numPr>
      <w:spacing w:before="0" w:after="200"/>
      <w:contextualSpacing/>
    </w:pPr>
  </w:style>
  <w:style w:type="paragraph" w:styleId="ListBullet4">
    <w:name w:val="List Bullet 4"/>
    <w:basedOn w:val="Normal"/>
    <w:qFormat/>
    <w:rsid w:val="001A6454"/>
    <w:pPr>
      <w:numPr>
        <w:ilvl w:val="0"/>
        <w:numId w:val="5"/>
      </w:numPr>
      <w:spacing w:before="0" w:after="200"/>
      <w:contextualSpacing/>
    </w:pPr>
  </w:style>
  <w:style w:type="paragraph" w:styleId="ListBullet5">
    <w:name w:val="List Bullet 5"/>
    <w:basedOn w:val="Normal"/>
    <w:qFormat/>
    <w:rsid w:val="001A6454"/>
    <w:pPr>
      <w:numPr>
        <w:ilvl w:val="0"/>
        <w:numId w:val="6"/>
      </w:numPr>
      <w:spacing w:before="0" w:after="200"/>
      <w:contextualSpacing/>
    </w:pPr>
  </w:style>
  <w:style w:type="paragraph" w:styleId="ListBullet3">
    <w:name w:val="List Bullet 3"/>
    <w:basedOn w:val="Normal"/>
    <w:rsid w:val="001A6454"/>
    <w:pPr>
      <w:spacing w:before="0" w:after="200"/>
      <w:ind w:left="720" w:hanging="360"/>
      <w:contextualSpacing/>
    </w:pPr>
  </w:style>
  <w:style w:type="paragraph" w:styleId="ListNumber">
    <w:name w:val="List Number"/>
    <w:basedOn w:val="Normal"/>
    <w:qFormat/>
    <w:rsid w:val="00D45D12"/>
    <w:pPr>
      <w:numPr>
        <w:ilvl w:val="0"/>
        <w:numId w:val="7"/>
      </w:numPr>
      <w:spacing w:before="0" w:after="200" w:line="480" w:lineRule="auto"/>
      <w:contextualSpacing/>
    </w:pPr>
  </w:style>
  <w:style w:type="paragraph" w:styleId="ListNumber2">
    <w:name w:val="List Number 2"/>
    <w:basedOn w:val="Normal"/>
    <w:qFormat/>
    <w:rsid w:val="001A6454"/>
    <w:pPr>
      <w:numPr>
        <w:ilvl w:val="0"/>
        <w:numId w:val="8"/>
      </w:numPr>
      <w:spacing w:before="0" w:after="200"/>
      <w:contextualSpacing/>
    </w:pPr>
  </w:style>
  <w:style w:type="paragraph" w:customStyle="1" w:styleId="disclaimerstyle">
    <w:name w:val="disclaimer_style"/>
    <w:basedOn w:val="Normal"/>
    <w:qFormat/>
    <w:rsid w:val="004974DC"/>
    <w:rPr>
      <w:rFonts w:ascii="Times New Roman" w:hAnsi="Times New Roman"/>
    </w:rPr>
  </w:style>
  <w:style w:type="paragraph" w:customStyle="1" w:styleId="SourceCode">
    <w:name w:val="Source Code"/>
    <w:basedOn w:val="Normal"/>
    <w:link w:val="VerbatimChar"/>
    <w:qFormat/>
  </w:style>
  <w:style w:type="numbering" w:customStyle="1" w:styleId="CurrentList1">
    <w:name w:val="Current List1"/>
    <w:uiPriority w:val="99"/>
    <w:qFormat/>
    <w:rsid w:val="00674A19"/>
  </w:style>
  <w:style w:type="numbering" w:customStyle="1" w:styleId="CurrentList2">
    <w:name w:val="Current List2"/>
    <w:uiPriority w:val="99"/>
    <w:qFormat/>
    <w:rsid w:val="008B4603"/>
  </w:style>
  <w:style w:type="numbering" w:customStyle="1" w:styleId="CurrentList3">
    <w:name w:val="Current List3"/>
    <w:uiPriority w:val="99"/>
    <w:qFormat/>
    <w:rsid w:val="000F41EA"/>
  </w:style>
  <w:style w:type="numbering" w:customStyle="1" w:styleId="CurrentList4">
    <w:name w:val="Current List4"/>
    <w:uiPriority w:val="99"/>
    <w:qFormat/>
    <w:rsid w:val="00FB499D"/>
  </w:style>
  <w:style w:type="numbering" w:customStyle="1" w:styleId="CurrentList5">
    <w:name w:val="Current List5"/>
    <w:uiPriority w:val="99"/>
    <w:qFormat/>
    <w:rsid w:val="00F6070A"/>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813</Words>
  <Characters>4519</Characters>
  <Application>Microsoft Office Word</Application>
  <DocSecurity>0</DocSecurity>
  <Lines>0</Lines>
  <Paragraphs>43</Paragraphs>
  <ScaleCrop>false</ScaleCrop>
  <Company/>
  <LinksUpToDate>false</LinksUpToDate>
  <CharactersWithSpaces>5302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2026-03-31T23:21:51Z</dcterms:created>
  <dcterms:modified xsi:type="dcterms:W3CDTF">2026-03-31T23:21:53Z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/main/tmp/02be9566c2b345118c7c26bb27bf10b8.json</vt:lpwstr>
  </property>
  <property fmtid="{D5CDD505-2E9C-101B-9397-08002B2CF9AE}" pid="3" name="csl">
    <vt:lpwstr>functions/legal_research/documents/brief/pandoc/bluebook-inline-toa.csl</vt:lpwstr>
  </property>
  <property fmtid="{D5CDD505-2E9C-101B-9397-08002B2CF9AE}" pid="4" name="references">
    <vt:lpwstr/>
  </property>
  <property fmtid="{D5CDD505-2E9C-101B-9397-08002B2CF9AE}" pid="5" name="used_categories">
    <vt:lpwstr>1,2</vt:lpwstr>
  </property>
</Properties>
</file>