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2F6FB" w:sz="1"/>
              <w:left w:val="single" w:color="F2F6FB" w:sz="1"/>
              <w:bottom w:val="single" w:color="F2F6FB" w:sz="1"/>
              <w:right w:val="single" w:color="F2F6FB" w:sz="1"/>
            </w:tcBorders>
            <w:shd w:fill="1F4E79" w:color="auto" w:val="clear"/>
            <w:tcMar>
              <w:top w:type="dxa" w:w="80"/>
              <w:left w:type="dxa" w:w="140"/>
              <w:bottom w:type="dxa" w:w="80"/>
              <w:right w:type="dxa" w:w="140"/>
            </w:tcMar>
            <w:vAlign w:val="center"/>
          </w:tcPr>
          <w:p>
            <w:pPr>
              <w:bidi/>
              <w:jc w:val="right"/>
            </w:pPr>
            <w:r>
              <w:rPr>
                <w:rFonts w:ascii="Tahoma" w:cs="Tahoma" w:hAnsi="Tahoma"/>
                <w:b/>
                <w:bCs/>
                <w:i w:val="false"/>
                <w:iCs w:val="false"/>
                <w:color w:val="FFFFFF"/>
                <w:sz w:val="22"/>
                <w:szCs w:val="22"/>
                <w:rtl/>
              </w:rPr>
              <w:t xml:space="preserve">التاريخ</w:t>
            </w:r>
          </w:p>
        </w:tc>
        <w:tc>
          <w:tcPr>
            <w:tcW w:type="dxa" w:w="4680"/>
            <w:tcBorders>
              <w:top w:val="single" w:color="F2F6FB" w:sz="1"/>
              <w:left w:val="single" w:color="F2F6FB" w:sz="1"/>
              <w:bottom w:val="single" w:color="F2F6FB" w:sz="1"/>
              <w:right w:val="single" w:color="F2F6FB" w:sz="1"/>
            </w:tcBorders>
            <w:shd w:fill="F2F6FB" w:color="auto" w:val="clear"/>
            <w:tcMar>
              <w:top w:type="dxa" w:w="80"/>
              <w:left w:type="dxa" w:w="140"/>
              <w:bottom w:type="dxa" w:w="80"/>
              <w:right w:type="dxa" w:w="140"/>
            </w:tcMar>
            <w:vAlign w:val="center"/>
          </w:tcPr>
          <w:p>
            <w:pPr>
              <w:bidi/>
              <w:jc w:val="right"/>
            </w:pPr>
            <w:r>
              <w:rPr>
                <w:rFonts w:ascii="Tahoma" w:cs="Tahoma" w:hAnsi="Tahoma"/>
                <w:b w:val="false"/>
                <w:bCs w:val="false"/>
                <w:i w:val="false"/>
                <w:iCs w:val="false"/>
                <w:color w:val="1A1A1A"/>
                <w:sz w:val="22"/>
                <w:szCs w:val="22"/>
                <w:rtl/>
              </w:rPr>
              <w:t xml:space="preserve">١٧ / ٠٤ / ٢٠٢٦م</w:t>
            </w:r>
          </w:p>
        </w:tc>
      </w:tr>
      <w:tr>
        <w:tc>
          <w:tcPr>
            <w:tcW w:type="dxa" w:w="4680"/>
            <w:tcBorders>
              <w:top w:val="single" w:color="F2F6FB" w:sz="1"/>
              <w:left w:val="single" w:color="F2F6FB" w:sz="1"/>
              <w:bottom w:val="single" w:color="F2F6FB" w:sz="1"/>
              <w:right w:val="single" w:color="F2F6FB" w:sz="1"/>
            </w:tcBorders>
            <w:shd w:fill="1F4E79" w:color="auto" w:val="clear"/>
            <w:tcMar>
              <w:top w:type="dxa" w:w="80"/>
              <w:left w:type="dxa" w:w="140"/>
              <w:bottom w:type="dxa" w:w="80"/>
              <w:right w:type="dxa" w:w="140"/>
            </w:tcMar>
            <w:vAlign w:val="center"/>
          </w:tcPr>
          <w:p>
            <w:pPr>
              <w:bidi/>
              <w:jc w:val="right"/>
            </w:pPr>
            <w:r>
              <w:rPr>
                <w:rFonts w:ascii="Tahoma" w:cs="Tahoma" w:hAnsi="Tahoma"/>
                <w:b/>
                <w:bCs/>
                <w:i w:val="false"/>
                <w:iCs w:val="false"/>
                <w:color w:val="FFFFFF"/>
                <w:sz w:val="22"/>
                <w:szCs w:val="22"/>
                <w:rtl/>
              </w:rPr>
              <w:t xml:space="preserve">الرقم المرجعي</w:t>
            </w:r>
          </w:p>
        </w:tc>
        <w:tc>
          <w:tcPr>
            <w:tcW w:type="dxa" w:w="4680"/>
            <w:tcBorders>
              <w:top w:val="single" w:color="F2F6FB" w:sz="1"/>
              <w:left w:val="single" w:color="F2F6FB" w:sz="1"/>
              <w:bottom w:val="single" w:color="F2F6FB" w:sz="1"/>
              <w:right w:val="single" w:color="F2F6FB" w:sz="1"/>
            </w:tcBorders>
            <w:shd w:fill="F2F6FB" w:color="auto" w:val="clear"/>
            <w:tcMar>
              <w:top w:type="dxa" w:w="80"/>
              <w:left w:type="dxa" w:w="140"/>
              <w:bottom w:type="dxa" w:w="80"/>
              <w:right w:type="dxa" w:w="140"/>
            </w:tcMar>
            <w:vAlign w:val="center"/>
          </w:tcPr>
          <w:p>
            <w:pPr>
              <w:bidi/>
              <w:jc w:val="right"/>
            </w:pPr>
            <w:r>
              <w:rPr>
                <w:rFonts w:ascii="Tahoma" w:cs="Tahoma" w:hAnsi="Tahoma"/>
                <w:b w:val="false"/>
                <w:bCs w:val="false"/>
                <w:i w:val="false"/>
                <w:iCs w:val="false"/>
                <w:color w:val="1A1A1A"/>
                <w:sz w:val="22"/>
                <w:szCs w:val="22"/>
                <w:rtl/>
              </w:rPr>
              <w:t xml:space="preserve">ME/2026/001</w:t>
            </w:r>
          </w:p>
        </w:tc>
      </w:tr>
      <w:tr>
        <w:tc>
          <w:tcPr>
            <w:tcW w:type="dxa" w:w="4680"/>
            <w:tcBorders>
              <w:top w:val="single" w:color="F2F6FB" w:sz="1"/>
              <w:left w:val="single" w:color="F2F6FB" w:sz="1"/>
              <w:bottom w:val="single" w:color="F2F6FB" w:sz="1"/>
              <w:right w:val="single" w:color="F2F6FB" w:sz="1"/>
            </w:tcBorders>
            <w:shd w:fill="1F4E79" w:color="auto" w:val="clear"/>
            <w:tcMar>
              <w:top w:type="dxa" w:w="80"/>
              <w:left w:type="dxa" w:w="140"/>
              <w:bottom w:type="dxa" w:w="80"/>
              <w:right w:type="dxa" w:w="140"/>
            </w:tcMar>
            <w:vAlign w:val="center"/>
          </w:tcPr>
          <w:p>
            <w:pPr>
              <w:bidi/>
              <w:jc w:val="right"/>
            </w:pPr>
            <w:r>
              <w:rPr>
                <w:rFonts w:ascii="Tahoma" w:cs="Tahoma" w:hAnsi="Tahoma"/>
                <w:b/>
                <w:bCs/>
                <w:i w:val="false"/>
                <w:iCs w:val="false"/>
                <w:color w:val="FFFFFF"/>
                <w:sz w:val="22"/>
                <w:szCs w:val="22"/>
                <w:rtl/>
              </w:rPr>
              <w:t xml:space="preserve">عدد المرفقات</w:t>
            </w:r>
          </w:p>
        </w:tc>
        <w:tc>
          <w:tcPr>
            <w:tcW w:type="dxa" w:w="4680"/>
            <w:tcBorders>
              <w:top w:val="single" w:color="F2F6FB" w:sz="1"/>
              <w:left w:val="single" w:color="F2F6FB" w:sz="1"/>
              <w:bottom w:val="single" w:color="F2F6FB" w:sz="1"/>
              <w:right w:val="single" w:color="F2F6FB" w:sz="1"/>
            </w:tcBorders>
            <w:shd w:fill="F2F6FB" w:color="auto" w:val="clear"/>
            <w:tcMar>
              <w:top w:type="dxa" w:w="80"/>
              <w:left w:type="dxa" w:w="140"/>
              <w:bottom w:type="dxa" w:w="80"/>
              <w:right w:type="dxa" w:w="140"/>
            </w:tcMar>
            <w:vAlign w:val="center"/>
          </w:tcPr>
          <w:p>
            <w:pPr>
              <w:bidi/>
              <w:jc w:val="right"/>
            </w:pPr>
            <w:r>
              <w:rPr>
                <w:rFonts w:ascii="Tahoma" w:cs="Tahoma" w:hAnsi="Tahoma"/>
                <w:b w:val="false"/>
                <w:bCs w:val="false"/>
                <w:i w:val="false"/>
                <w:iCs w:val="false"/>
                <w:color w:val="1A1A1A"/>
                <w:sz w:val="22"/>
                <w:szCs w:val="22"/>
                <w:rtl/>
              </w:rPr>
              <w:t xml:space="preserve">ست (٦) مرفقات</w:t>
            </w:r>
          </w:p>
        </w:tc>
      </w:tr>
    </w:tbl>
    <w:p>
      <w:pPr>
        <w:spacing w:after="200"/>
      </w:pPr>
      <w:r>
        <w:t xml:space="preserve"/>
      </w:r>
    </w:p>
    <w:p>
      <w:pPr>
        <w:pStyle w:val="Heading1"/>
        <w:bidi/>
        <w:spacing w:after="160" w:before="360"/>
        <w:jc w:val="right"/>
      </w:pPr>
      <w:r>
        <w:rPr>
          <w:rFonts w:ascii="Tahoma" w:cs="Tahoma" w:hAnsi="Tahoma"/>
          <w:b/>
          <w:bCs/>
          <w:i w:val="false"/>
          <w:iCs w:val="false"/>
          <w:color w:val="1F4E79"/>
          <w:sz w:val="40"/>
          <w:szCs w:val="40"/>
          <w:rtl/>
        </w:rPr>
        <w:t xml:space="preserve">خطاب رسمي</w:t>
      </w:r>
    </w:p>
    <w:p>
      <w:pPr>
        <w:bidi/>
        <w:spacing w:after="120" w:before="120" w:line="360"/>
        <w:jc w:val="right"/>
      </w:pPr>
      <w:r>
        <w:rPr>
          <w:rFonts w:ascii="Tahoma" w:cs="Tahoma" w:hAnsi="Tahoma"/>
          <w:b/>
          <w:bCs/>
          <w:i w:val="false"/>
          <w:iCs w:val="false"/>
          <w:color w:val="1F4E79"/>
          <w:sz w:val="26"/>
          <w:szCs w:val="26"/>
          <w:rtl/>
        </w:rPr>
        <w:t xml:space="preserve">السادة المعنيون باعتماد نموذج معين الذكي للغة العربية المحترمين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6"/>
              <w:left w:val="none" w:color="FFFFFF" w:sz="0"/>
              <w:bottom w:val="single" w:color="C9A227" w:sz="6"/>
              <w:right w:val="none" w:color="FFFFFF" w:sz="0"/>
            </w:tcBorders>
            <w:shd w:fill="F2F6FB" w:color="auto" w:val="clear"/>
            <w:tcMar>
              <w:top w:type="dxa" w:w="140"/>
              <w:left w:type="dxa" w:w="160"/>
              <w:bottom w:type="dxa" w:w="140"/>
              <w:right w:type="dxa" w:w="160"/>
            </w:tcMar>
          </w:tcPr>
          <w:p>
            <w:pPr>
              <w:bidi/>
              <w:jc w:val="right"/>
            </w:pPr>
            <w:r>
              <w:rPr>
                <w:rFonts w:ascii="Tahoma" w:cs="Tahoma" w:hAnsi="Tahoma"/>
                <w:b/>
                <w:bCs/>
                <w:i w:val="false"/>
                <w:iCs w:val="false"/>
                <w:color w:val="1F4E79"/>
                <w:sz w:val="26"/>
                <w:szCs w:val="26"/>
                <w:rtl/>
              </w:rPr>
              <w:t xml:space="preserve">الموضوع: </w:t>
            </w:r>
            <w:r>
              <w:rPr>
                <w:rFonts w:ascii="Tahoma" w:cs="Tahoma" w:hAnsi="Tahoma"/>
                <w:b/>
                <w:bCs/>
                <w:i w:val="false"/>
                <w:iCs w:val="false"/>
                <w:color w:val="1A1A1A"/>
                <w:sz w:val="26"/>
                <w:szCs w:val="26"/>
                <w:rtl/>
              </w:rPr>
              <w:t xml:space="preserve">نتائج التقييم المقارن لنموذج معين الذكي على مهام معالجة اللغة العربية الطبيعية</w:t>
            </w:r>
          </w:p>
        </w:tc>
      </w:tr>
    </w:tbl>
    <w:p>
      <w:pPr>
        <w:spacing w:after="200"/>
      </w:pPr>
      <w:r>
        <w:t xml:space="preserve"/>
      </w:r>
    </w:p>
    <w:p>
      <w:pPr>
        <w:bidi/>
        <w:spacing w:after="160" w:before="0" w:line="360"/>
        <w:jc w:val="right"/>
      </w:pPr>
      <w:r>
        <w:rPr>
          <w:rFonts w:ascii="Tahoma" w:cs="Tahoma" w:hAnsi="Tahoma"/>
          <w:b/>
          <w:bCs/>
          <w:i w:val="false"/>
          <w:iCs w:val="false"/>
          <w:color w:val="1A1A1A"/>
          <w:sz w:val="24"/>
          <w:szCs w:val="24"/>
          <w:rtl/>
        </w:rPr>
        <w:t xml:space="preserve">السلام عليكم ورحمة الله وبركاته،،، وبعد:</w:t>
      </w:r>
    </w:p>
    <w:p>
      <w:pPr>
        <w:bidi/>
        <w:spacing w:after="160" w:before="0" w:line="360"/>
        <w:jc w:val="right"/>
      </w:pPr>
      <w:r>
        <w:rPr>
          <w:rFonts w:ascii="Tahoma" w:cs="Tahoma" w:hAnsi="Tahoma"/>
          <w:b w:val="false"/>
          <w:bCs w:val="false"/>
          <w:i w:val="false"/>
          <w:iCs w:val="false"/>
          <w:color w:val="1A1A1A"/>
          <w:sz w:val="24"/>
          <w:szCs w:val="24"/>
          <w:rtl/>
        </w:rPr>
        <w:t xml:space="preserve">إشارةً إلى ما أُسند إلينا من مهمة تقييم نموذج </w:t>
      </w:r>
      <w:r>
        <w:rPr>
          <w:rFonts w:ascii="Tahoma" w:cs="Tahoma" w:hAnsi="Tahoma"/>
          <w:b/>
          <w:bCs/>
          <w:i w:val="false"/>
          <w:iCs w:val="false"/>
          <w:color w:val="1F4E79"/>
          <w:sz w:val="24"/>
          <w:szCs w:val="24"/>
          <w:rtl/>
        </w:rPr>
        <w:t xml:space="preserve">معين الذكي (Mueen AI)</w:t>
      </w:r>
      <w:r>
        <w:rPr>
          <w:rFonts w:ascii="Tahoma" w:cs="Tahoma" w:hAnsi="Tahoma"/>
          <w:b w:val="false"/>
          <w:bCs w:val="false"/>
          <w:i w:val="false"/>
          <w:iCs w:val="false"/>
          <w:color w:val="1A1A1A"/>
          <w:sz w:val="24"/>
          <w:szCs w:val="24"/>
          <w:rtl/>
        </w:rPr>
        <w:t xml:space="preserve"> للغة العربية، تشرفنا بإجراء دراسة تقييمية مستقلة ومنهجية، نرفع إلى سعادتكم نتائجها الكاملة في هذا الخطاب وفي المرفقات المرافقة له.</w:t>
      </w:r>
    </w:p>
    <w:p>
      <w:pPr>
        <w:pStyle w:val="Heading2"/>
        <w:bidi/>
        <w:spacing w:after="160" w:before="240"/>
        <w:jc w:val="right"/>
      </w:pPr>
      <w:r>
        <w:rPr>
          <w:rFonts w:ascii="Tahoma" w:cs="Tahoma" w:hAnsi="Tahoma"/>
          <w:b/>
          <w:bCs/>
          <w:i w:val="false"/>
          <w:iCs w:val="false"/>
          <w:color w:val="1F4E79"/>
          <w:sz w:val="32"/>
          <w:szCs w:val="32"/>
          <w:rtl/>
        </w:rPr>
        <w:t xml:space="preserve">أولاً: نطاق التقييم والمنهجية</w:t>
      </w:r>
    </w:p>
    <w:p>
      <w:pPr>
        <w:bidi/>
        <w:spacing w:after="160" w:before="0" w:line="360"/>
        <w:jc w:val="right"/>
      </w:pPr>
      <w:r>
        <w:rPr>
          <w:rFonts w:ascii="Tahoma" w:cs="Tahoma" w:hAnsi="Tahoma"/>
          <w:b w:val="false"/>
          <w:bCs w:val="false"/>
          <w:i w:val="false"/>
          <w:iCs w:val="false"/>
          <w:color w:val="1A1A1A"/>
          <w:sz w:val="24"/>
          <w:szCs w:val="24"/>
          <w:rtl/>
        </w:rPr>
        <w:t xml:space="preserve">أُجري التقييم على </w:t>
      </w:r>
      <w:r>
        <w:rPr>
          <w:rFonts w:ascii="Tahoma" w:cs="Tahoma" w:hAnsi="Tahoma"/>
          <w:b/>
          <w:bCs/>
          <w:i w:val="false"/>
          <w:iCs w:val="false"/>
          <w:color w:val="1A1A1A"/>
          <w:sz w:val="24"/>
          <w:szCs w:val="24"/>
          <w:rtl/>
        </w:rPr>
        <w:t xml:space="preserve">مئتي (٢٠٠) مقالة عربية</w:t>
      </w:r>
      <w:r>
        <w:rPr>
          <w:rFonts w:ascii="Tahoma" w:cs="Tahoma" w:hAnsi="Tahoma"/>
          <w:b w:val="false"/>
          <w:bCs w:val="false"/>
          <w:i w:val="false"/>
          <w:iCs w:val="false"/>
          <w:color w:val="1A1A1A"/>
          <w:sz w:val="24"/>
          <w:szCs w:val="24"/>
          <w:rtl/>
        </w:rPr>
        <w:t xml:space="preserve"> منتقاة بشكل عشوائي ضمن خمس فئات (الثقافة، الاقتصاد، السياسة، الرياضة، التقنية)، بمعدل أربعين مقالة لكل فئة. تم تقييم نموذج معين على </w:t>
      </w:r>
      <w:r>
        <w:rPr>
          <w:rFonts w:ascii="Tahoma" w:cs="Tahoma" w:hAnsi="Tahoma"/>
          <w:b/>
          <w:bCs/>
          <w:i w:val="false"/>
          <w:iCs w:val="false"/>
          <w:color w:val="1A1A1A"/>
          <w:sz w:val="24"/>
          <w:szCs w:val="24"/>
          <w:rtl/>
        </w:rPr>
        <w:t xml:space="preserve">أربع مهام رئيسية</w:t>
      </w:r>
      <w:r>
        <w:rPr>
          <w:rFonts w:ascii="Tahoma" w:cs="Tahoma" w:hAnsi="Tahoma"/>
          <w:b w:val="false"/>
          <w:bCs w:val="false"/>
          <w:i w:val="false"/>
          <w:iCs w:val="false"/>
          <w:color w:val="1A1A1A"/>
          <w:sz w:val="24"/>
          <w:szCs w:val="24"/>
          <w:rtl/>
        </w:rPr>
        <w:t xml:space="preserve"> هي:</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التعرف على الكيانات المسماة (NER) — استخراج الأشخاص والمواقع والمؤسسات والكيانات الأخرى من النص العربي.</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الاستدلال اللغوي الطبيعي (NLI) — تصنيف الادعاءات بناءً على مضمون المقالة (مدعوم / مُكذَّب / غير كافٍ).</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التلخيص العربي — إنتاج ملخص من جملتين بالعربية الفصحى.</w:t>
      </w:r>
    </w:p>
    <w:p>
      <w:pPr>
        <w:pStyle w:val="ListParagraph"/>
        <w:numPr>
          <w:ilvl w:val="0"/>
          <w:numId w:val="2"/>
        </w:numPr>
        <w:bidi/>
        <w:spacing w:after="80" w:before="0"/>
        <w:jc w:val="right"/>
      </w:pPr>
      <w:r>
        <w:rPr>
          <w:rFonts w:ascii="Tahoma" w:cs="Tahoma" w:hAnsi="Tahoma"/>
          <w:b w:val="false"/>
          <w:bCs w:val="false"/>
          <w:i w:val="false"/>
          <w:iCs w:val="false"/>
          <w:color w:val="1A1A1A"/>
          <w:sz w:val="24"/>
          <w:szCs w:val="24"/>
          <w:rtl/>
        </w:rPr>
        <w:t xml:space="preserve">الترجمة من الإنجليزية إلى العربية — ترجمة نص إنجليزي إلى عربية رسمية.</w:t>
      </w:r>
    </w:p>
    <w:p>
      <w:pPr>
        <w:bidi/>
        <w:spacing w:after="160" w:before="80" w:line="360"/>
        <w:jc w:val="right"/>
      </w:pPr>
      <w:r>
        <w:rPr>
          <w:rFonts w:ascii="Tahoma" w:cs="Tahoma" w:hAnsi="Tahoma"/>
          <w:b w:val="false"/>
          <w:bCs w:val="false"/>
          <w:i w:val="false"/>
          <w:iCs w:val="false"/>
          <w:color w:val="1A1A1A"/>
          <w:sz w:val="24"/>
          <w:szCs w:val="24"/>
          <w:rtl/>
        </w:rPr>
        <w:t xml:space="preserve">ولأغراض المقارنة، أُجريت ذات الاختبارات على </w:t>
      </w:r>
      <w:r>
        <w:rPr>
          <w:rFonts w:ascii="Tahoma" w:cs="Tahoma" w:hAnsi="Tahoma"/>
          <w:b/>
          <w:bCs/>
          <w:i w:val="false"/>
          <w:iCs w:val="false"/>
          <w:color w:val="1A1A1A"/>
          <w:sz w:val="24"/>
          <w:szCs w:val="24"/>
          <w:rtl/>
        </w:rPr>
        <w:t xml:space="preserve">ثلاثة نماذج تجارية متقدمة</w:t>
      </w:r>
      <w:r>
        <w:rPr>
          <w:rFonts w:ascii="Tahoma" w:cs="Tahoma" w:hAnsi="Tahoma"/>
          <w:b w:val="false"/>
          <w:bCs w:val="false"/>
          <w:i w:val="false"/>
          <w:iCs w:val="false"/>
          <w:color w:val="1A1A1A"/>
          <w:sz w:val="24"/>
          <w:szCs w:val="24"/>
          <w:rtl/>
        </w:rPr>
        <w:t xml:space="preserve"> هي: Qwen 3.5 (٣٩٧ مليار معلمة) من علي بابا، وDeepSeek Chat (V3) الصيني، وMistral Large من فرنسا.</w:t>
      </w:r>
    </w:p>
    <w:p>
      <w:pPr>
        <w:bidi/>
        <w:spacing w:after="160" w:before="0" w:line="360"/>
        <w:jc w:val="right"/>
      </w:pPr>
      <w:r>
        <w:rPr>
          <w:rFonts w:ascii="Tahoma" w:cs="Tahoma" w:hAnsi="Tahoma"/>
          <w:b w:val="false"/>
          <w:bCs w:val="false"/>
          <w:i w:val="false"/>
          <w:iCs w:val="false"/>
          <w:color w:val="1A1A1A"/>
          <w:sz w:val="24"/>
          <w:szCs w:val="24"/>
          <w:rtl/>
        </w:rPr>
        <w:t xml:space="preserve">اعتمدت منهجية التقييم على نموذج </w:t>
      </w:r>
      <w:r>
        <w:rPr>
          <w:rFonts w:ascii="Tahoma" w:cs="Tahoma" w:hAnsi="Tahoma"/>
          <w:b/>
          <w:bCs/>
          <w:i w:val="false"/>
          <w:iCs w:val="false"/>
          <w:color w:val="2E75B6"/>
          <w:sz w:val="24"/>
          <w:szCs w:val="24"/>
          <w:rtl/>
        </w:rPr>
        <w:t xml:space="preserve">Claude Opus 4.6</w:t>
      </w:r>
      <w:r>
        <w:rPr>
          <w:rFonts w:ascii="Tahoma" w:cs="Tahoma" w:hAnsi="Tahoma"/>
          <w:b w:val="false"/>
          <w:bCs w:val="false"/>
          <w:i w:val="false"/>
          <w:iCs w:val="false"/>
          <w:color w:val="1A1A1A"/>
          <w:sz w:val="24"/>
          <w:szCs w:val="24"/>
          <w:rtl/>
        </w:rPr>
        <w:t xml:space="preserve"> (شركة Anthropic) لتوليد البيانات المرجعية، وعلى نموذج </w:t>
      </w:r>
      <w:r>
        <w:rPr>
          <w:rFonts w:ascii="Tahoma" w:cs="Tahoma" w:hAnsi="Tahoma"/>
          <w:b/>
          <w:bCs/>
          <w:i w:val="false"/>
          <w:iCs w:val="false"/>
          <w:color w:val="2E75B6"/>
          <w:sz w:val="24"/>
          <w:szCs w:val="24"/>
          <w:rtl/>
        </w:rPr>
        <w:t xml:space="preserve">GPT-5.2</w:t>
      </w:r>
      <w:r>
        <w:rPr>
          <w:rFonts w:ascii="Tahoma" w:cs="Tahoma" w:hAnsi="Tahoma"/>
          <w:b w:val="false"/>
          <w:bCs w:val="false"/>
          <w:i w:val="false"/>
          <w:iCs w:val="false"/>
          <w:color w:val="1A1A1A"/>
          <w:sz w:val="24"/>
          <w:szCs w:val="24"/>
          <w:rtl/>
        </w:rPr>
        <w:t xml:space="preserve"> (شركة OpenAI) كحَكم مستقل لتقييم مهمتي التلخيص والترجمة وفق معايير تقييمية موزونة. أما مهمتا التعرف على الكيانات والاستدلال اللغوي فقد قُيِّمتا حسابياً (Deterministic F1 موزون) دون تدخل بشري.</w:t>
      </w:r>
    </w:p>
    <w:p>
      <w:pPr>
        <w:pStyle w:val="Heading2"/>
        <w:bidi/>
        <w:spacing w:after="160" w:before="240"/>
        <w:jc w:val="right"/>
      </w:pPr>
      <w:r>
        <w:rPr>
          <w:rFonts w:ascii="Tahoma" w:cs="Tahoma" w:hAnsi="Tahoma"/>
          <w:b/>
          <w:bCs/>
          <w:i w:val="false"/>
          <w:iCs w:val="false"/>
          <w:color w:val="1F4E79"/>
          <w:sz w:val="32"/>
          <w:szCs w:val="32"/>
          <w:rtl/>
        </w:rPr>
        <w:t xml:space="preserve">ثانياً: النتائج الإجمالية</w:t>
      </w:r>
    </w:p>
    <w:p>
      <w:pPr>
        <w:bidi/>
        <w:spacing w:after="160" w:before="0" w:line="360"/>
        <w:jc w:val="right"/>
      </w:pPr>
      <w:r>
        <w:rPr>
          <w:rFonts w:ascii="Tahoma" w:cs="Tahoma" w:hAnsi="Tahoma"/>
          <w:b w:val="false"/>
          <w:bCs w:val="false"/>
          <w:i w:val="false"/>
          <w:iCs w:val="false"/>
          <w:color w:val="1A1A1A"/>
          <w:sz w:val="24"/>
          <w:szCs w:val="24"/>
          <w:rtl/>
        </w:rPr>
        <w:t xml:space="preserve">حصل نموذج معين على </w:t>
      </w:r>
      <w:r>
        <w:rPr>
          <w:rFonts w:ascii="Tahoma" w:cs="Tahoma" w:hAnsi="Tahoma"/>
          <w:b/>
          <w:bCs/>
          <w:i w:val="false"/>
          <w:iCs w:val="false"/>
          <w:color w:val="C62828"/>
          <w:sz w:val="24"/>
          <w:szCs w:val="24"/>
          <w:rtl/>
        </w:rPr>
        <w:t xml:space="preserve">معدل عام بلغ 5.91 من ١٠</w:t>
      </w:r>
      <w:r>
        <w:rPr>
          <w:rFonts w:ascii="Tahoma" w:cs="Tahoma" w:hAnsi="Tahoma"/>
          <w:b w:val="false"/>
          <w:bCs w:val="false"/>
          <w:i w:val="false"/>
          <w:iCs w:val="false"/>
          <w:color w:val="1A1A1A"/>
          <w:sz w:val="24"/>
          <w:szCs w:val="24"/>
          <w:rtl/>
        </w:rPr>
        <w:t xml:space="preserve">، محتلاً المرتبة الرابعة من بين النماذج الأربعة المُقَيَّمة. وفيما يلي ترتيب النماذج كاملاً: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92"/>
        <w:gridCol w:w="1092"/>
        <w:gridCol w:w="1092"/>
        <w:gridCol w:w="1092"/>
        <w:gridCol w:w="2092"/>
      </w:tblGrid>
      <w:tr>
        <w:trPr>
          <w:tblHeader/>
        </w:trPr>
        <w:tc>
          <w:tcPr>
            <w:tcW w:type="dxa" w:w="9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الترتيب</w:t>
            </w:r>
          </w:p>
        </w:tc>
        <w:tc>
          <w:tcPr>
            <w:tcW w:type="dxa" w:w="20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النموذج</w:t>
            </w:r>
          </w:p>
        </w:tc>
        <w:tc>
          <w:tcPr>
            <w:tcW w:type="dxa" w:w="109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09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09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09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c>
          <w:tcPr>
            <w:tcW w:type="dxa" w:w="209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 العام</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١</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Qwen 3.5</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7.62</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9.80</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9.12</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9.20</w:t>
            </w:r>
          </w:p>
        </w:tc>
        <w:tc>
          <w:tcPr>
            <w:tcW w:type="dxa" w:w="2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8.76</w:t>
            </w:r>
          </w:p>
        </w:tc>
      </w:tr>
      <w:tr>
        <w:tc>
          <w:tcPr>
            <w:tcW w:type="dxa" w:w="9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٢</w:t>
            </w:r>
          </w:p>
        </w:tc>
        <w:tc>
          <w:tcPr>
            <w:tcW w:type="dxa" w:w="2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DeepSeek Chat</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7.07</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9.88</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8.83</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8.80</w:t>
            </w:r>
          </w:p>
        </w:tc>
        <w:tc>
          <w:tcPr>
            <w:tcW w:type="dxa" w:w="2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8.46</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٣</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Mistral Large</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5.95</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9.39</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8.09</w:t>
            </w:r>
          </w:p>
        </w:tc>
        <w:tc>
          <w:tcPr>
            <w:tcW w:type="dxa" w:w="1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5.02</w:t>
            </w:r>
          </w:p>
        </w:tc>
        <w:tc>
          <w:tcPr>
            <w:tcW w:type="dxa" w:w="209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6.89</w:t>
            </w:r>
          </w:p>
        </w:tc>
      </w:tr>
      <w:tr>
        <w:tc>
          <w:tcPr>
            <w:tcW w:type="dxa" w:w="9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٤</w:t>
            </w:r>
          </w:p>
        </w:tc>
        <w:tc>
          <w:tcPr>
            <w:tcW w:type="dxa" w:w="20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معين الذكي</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4.03</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7.54</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7.30</w:t>
            </w:r>
          </w:p>
        </w:tc>
        <w:tc>
          <w:tcPr>
            <w:tcW w:type="dxa" w:w="1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5.45</w:t>
            </w:r>
          </w:p>
        </w:tc>
        <w:tc>
          <w:tcPr>
            <w:tcW w:type="dxa" w:w="209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5.91</w:t>
            </w:r>
          </w:p>
        </w:tc>
      </w:tr>
    </w:tbl>
    <w:p>
      <w:pPr>
        <w:spacing w:after="100"/>
      </w:pPr>
      <w:r>
        <w:t xml:space="preserve"/>
      </w:r>
    </w:p>
    <w:p>
      <w:pPr>
        <w:bidi/>
        <w:spacing w:after="160" w:before="0" w:line="360"/>
        <w:jc w:val="right"/>
      </w:pPr>
      <w:r>
        <w:rPr>
          <w:rFonts w:ascii="Tahoma" w:cs="Tahoma" w:hAnsi="Tahoma"/>
          <w:b w:val="false"/>
          <w:bCs w:val="false"/>
          <w:i w:val="false"/>
          <w:iCs w:val="false"/>
          <w:color w:val="1A1A1A"/>
          <w:sz w:val="24"/>
          <w:szCs w:val="24"/>
          <w:rtl/>
        </w:rPr>
        <w:t xml:space="preserve">الفجوة بين معين والنموذج الأول (Qwen 3.5) تبلغ </w:t>
      </w:r>
      <w:r>
        <w:rPr>
          <w:rFonts w:ascii="Tahoma" w:cs="Tahoma" w:hAnsi="Tahoma"/>
          <w:b/>
          <w:bCs/>
          <w:i w:val="false"/>
          <w:iCs w:val="false"/>
          <w:color w:val="C62828"/>
          <w:sz w:val="24"/>
          <w:szCs w:val="24"/>
          <w:rtl/>
        </w:rPr>
        <w:t xml:space="preserve">2.85 نقطة</w:t>
      </w:r>
      <w:r>
        <w:rPr>
          <w:rFonts w:ascii="Tahoma" w:cs="Tahoma" w:hAnsi="Tahoma"/>
          <w:b w:val="false"/>
          <w:bCs w:val="false"/>
          <w:i w:val="false"/>
          <w:iCs w:val="false"/>
          <w:color w:val="1A1A1A"/>
          <w:sz w:val="24"/>
          <w:szCs w:val="24"/>
          <w:rtl/>
        </w:rPr>
        <w:t xml:space="preserve"> على المعدل العام.</w:t>
      </w:r>
    </w:p>
    <w:p>
      <w:pPr>
        <w:pStyle w:val="Heading2"/>
        <w:bidi/>
        <w:spacing w:after="160" w:before="240"/>
        <w:jc w:val="right"/>
      </w:pPr>
      <w:r>
        <w:rPr>
          <w:rFonts w:ascii="Tahoma" w:cs="Tahoma" w:hAnsi="Tahoma"/>
          <w:b/>
          <w:bCs/>
          <w:i w:val="false"/>
          <w:iCs w:val="false"/>
          <w:color w:val="1F4E79"/>
          <w:sz w:val="32"/>
          <w:szCs w:val="32"/>
          <w:rtl/>
        </w:rPr>
        <w:t xml:space="preserve">ثالثاً: أداء معين حسب الفئة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72"/>
        <w:gridCol w:w="1072"/>
        <w:gridCol w:w="1072"/>
        <w:gridCol w:w="1072"/>
        <w:gridCol w:w="2072"/>
      </w:tblGrid>
      <w:tr>
        <w:trPr>
          <w:tblHeader/>
        </w:trPr>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الفئة</w:t>
            </w:r>
          </w:p>
        </w:tc>
        <w:tc>
          <w:tcPr>
            <w:tcW w:type="dxa" w:w="14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عدد المقالات</w:t>
            </w:r>
          </w:p>
        </w:tc>
        <w:tc>
          <w:tcPr>
            <w:tcW w:type="dxa" w:w="10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NER</w:t>
            </w:r>
          </w:p>
        </w:tc>
        <w:tc>
          <w:tcPr>
            <w:tcW w:type="dxa" w:w="10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NLI</w:t>
            </w:r>
          </w:p>
        </w:tc>
        <w:tc>
          <w:tcPr>
            <w:tcW w:type="dxa" w:w="10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التلخيص</w:t>
            </w:r>
          </w:p>
        </w:tc>
        <w:tc>
          <w:tcPr>
            <w:tcW w:type="dxa" w:w="10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الترجمة</w:t>
            </w:r>
          </w:p>
        </w:tc>
        <w:tc>
          <w:tcPr>
            <w:tcW w:type="dxa" w:w="2072"/>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المعدل</w:t>
            </w:r>
          </w:p>
        </w:tc>
      </w:tr>
      <w:tr>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الثقافة</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40</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3.92</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7.91</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7.20</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5.76</w:t>
            </w:r>
          </w:p>
        </w:tc>
        <w:tc>
          <w:tcPr>
            <w:tcW w:type="dxa" w:w="2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6.00</w:t>
            </w:r>
          </w:p>
        </w:tc>
      </w:tr>
      <w:tr>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الاقتصاد والمال</w:t>
            </w:r>
          </w:p>
        </w:tc>
        <w:tc>
          <w:tcPr>
            <w:tcW w:type="dxa" w:w="14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40</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4.76</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7.72</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7.10</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6.14</w:t>
            </w:r>
          </w:p>
        </w:tc>
        <w:tc>
          <w:tcPr>
            <w:tcW w:type="dxa" w:w="2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6.28</w:t>
            </w:r>
          </w:p>
        </w:tc>
      </w:tr>
      <w:tr>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السياسة</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42</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3.08</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7.19</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7.15</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5.52</w:t>
            </w:r>
          </w:p>
        </w:tc>
        <w:tc>
          <w:tcPr>
            <w:tcW w:type="dxa" w:w="2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5.53</w:t>
            </w:r>
          </w:p>
        </w:tc>
      </w:tr>
      <w:tr>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الرياضة</w:t>
            </w:r>
          </w:p>
        </w:tc>
        <w:tc>
          <w:tcPr>
            <w:tcW w:type="dxa" w:w="14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33</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3.36</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6.50</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6.91</w:t>
            </w:r>
          </w:p>
        </w:tc>
        <w:tc>
          <w:tcPr>
            <w:tcW w:type="dxa" w:w="1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4.63</w:t>
            </w:r>
          </w:p>
        </w:tc>
        <w:tc>
          <w:tcPr>
            <w:tcW w:type="dxa" w:w="2072"/>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5.19</w:t>
            </w:r>
          </w:p>
        </w:tc>
      </w:tr>
      <w:tr>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التقنية</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41</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4.94</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8.21</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8.08</w:t>
            </w:r>
          </w:p>
        </w:tc>
        <w:tc>
          <w:tcPr>
            <w:tcW w:type="dxa" w:w="1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5.09</w:t>
            </w:r>
          </w:p>
        </w:tc>
        <w:tc>
          <w:tcPr>
            <w:tcW w:type="dxa" w:w="2072"/>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bCs/>
                <w:i w:val="false"/>
                <w:iCs w:val="false"/>
                <w:color w:val="1F4E79"/>
                <w:sz w:val="22"/>
                <w:szCs w:val="22"/>
                <w:rtl/>
              </w:rPr>
              <w:t xml:space="preserve">6.42</w:t>
            </w:r>
          </w:p>
        </w:tc>
      </w:tr>
    </w:tbl>
    <w:p>
      <w:pPr>
        <w:spacing w:after="100"/>
      </w:pPr>
      <w:r>
        <w:t xml:space="preserve"/>
      </w:r>
    </w:p>
    <w:p>
      <w:pPr>
        <w:bidi/>
        <w:spacing w:after="160" w:before="0" w:line="360"/>
        <w:jc w:val="right"/>
      </w:pPr>
      <w:r>
        <w:rPr>
          <w:rFonts w:ascii="Tahoma" w:cs="Tahoma" w:hAnsi="Tahoma"/>
          <w:b w:val="false"/>
          <w:bCs w:val="false"/>
          <w:i w:val="false"/>
          <w:iCs w:val="false"/>
          <w:color w:val="1A1A1A"/>
          <w:sz w:val="24"/>
          <w:szCs w:val="24"/>
          <w:rtl/>
        </w:rPr>
        <w:t xml:space="preserve">وكما يتضح من الجدول أعلاه، فإن أفضل أداء لمعين كان في فئة </w:t>
      </w:r>
      <w:r>
        <w:rPr>
          <w:rFonts w:ascii="Tahoma" w:cs="Tahoma" w:hAnsi="Tahoma"/>
          <w:b/>
          <w:bCs/>
          <w:i w:val="false"/>
          <w:iCs w:val="false"/>
          <w:color w:val="2E7D32"/>
          <w:sz w:val="24"/>
          <w:szCs w:val="24"/>
          <w:rtl/>
        </w:rPr>
        <w:t xml:space="preserve">التقنية</w:t>
      </w:r>
      <w:r>
        <w:rPr>
          <w:rFonts w:ascii="Tahoma" w:cs="Tahoma" w:hAnsi="Tahoma"/>
          <w:b w:val="false"/>
          <w:bCs w:val="false"/>
          <w:i w:val="false"/>
          <w:iCs w:val="false"/>
          <w:color w:val="1A1A1A"/>
          <w:sz w:val="24"/>
          <w:szCs w:val="24"/>
          <w:rtl/>
        </w:rPr>
        <w:t xml:space="preserve"> بمعدل 6.42/١٠، فيما كان أضعف أداء في فئة </w:t>
      </w:r>
      <w:r>
        <w:rPr>
          <w:rFonts w:ascii="Tahoma" w:cs="Tahoma" w:hAnsi="Tahoma"/>
          <w:b/>
          <w:bCs/>
          <w:i w:val="false"/>
          <w:iCs w:val="false"/>
          <w:color w:val="C62828"/>
          <w:sz w:val="24"/>
          <w:szCs w:val="24"/>
          <w:rtl/>
        </w:rPr>
        <w:t xml:space="preserve">الرياضة</w:t>
      </w:r>
      <w:r>
        <w:rPr>
          <w:rFonts w:ascii="Tahoma" w:cs="Tahoma" w:hAnsi="Tahoma"/>
          <w:b w:val="false"/>
          <w:bCs w:val="false"/>
          <w:i w:val="false"/>
          <w:iCs w:val="false"/>
          <w:color w:val="1A1A1A"/>
          <w:sz w:val="24"/>
          <w:szCs w:val="24"/>
          <w:rtl/>
        </w:rPr>
        <w:t xml:space="preserve"> بمعدل 5.19/١٠.</w:t>
      </w:r>
    </w:p>
    <w:p>
      <w:pPr>
        <w:pStyle w:val="Heading2"/>
        <w:bidi/>
        <w:spacing w:after="160" w:before="240"/>
        <w:jc w:val="right"/>
      </w:pPr>
      <w:r>
        <w:rPr>
          <w:rFonts w:ascii="Tahoma" w:cs="Tahoma" w:hAnsi="Tahoma"/>
          <w:b/>
          <w:bCs/>
          <w:i w:val="false"/>
          <w:iCs w:val="false"/>
          <w:color w:val="1F4E79"/>
          <w:sz w:val="32"/>
          <w:szCs w:val="32"/>
          <w:rtl/>
        </w:rPr>
        <w:t xml:space="preserve">رابعاً: ملاحظات تفصيلية</w:t>
      </w:r>
    </w:p>
    <w:p>
      <w:pPr>
        <w:bidi/>
        <w:spacing w:after="140" w:before="0" w:line="360"/>
        <w:jc w:val="right"/>
      </w:pPr>
      <w:r>
        <w:rPr>
          <w:rFonts w:ascii="Tahoma" w:cs="Tahoma" w:hAnsi="Tahoma"/>
          <w:b/>
          <w:bCs/>
          <w:i w:val="false"/>
          <w:iCs w:val="false"/>
          <w:color w:val="2E75B6"/>
          <w:sz w:val="24"/>
          <w:szCs w:val="24"/>
          <w:rtl/>
        </w:rPr>
        <w:t xml:space="preserve">١. التعرف على الكيانات المسماة (NER): </w:t>
      </w:r>
      <w:r>
        <w:rPr>
          <w:rFonts w:ascii="Tahoma" w:cs="Tahoma" w:hAnsi="Tahoma"/>
          <w:b w:val="false"/>
          <w:bCs w:val="false"/>
          <w:i w:val="false"/>
          <w:iCs w:val="false"/>
          <w:color w:val="1A1A1A"/>
          <w:sz w:val="24"/>
          <w:szCs w:val="24"/>
          <w:rtl/>
        </w:rPr>
        <w:t xml:space="preserve">يُعد هذا المكون نقطة الضعف الأبرز لدى نموذج معين، إذ بلغ معدله 4.03/١٠ مقابل 7.62 للنموذج الأفضل أداءً. يُلاحظ أن النموذج يميل إلى استخراج مجموعة أصغر من الكيانات مقارنة بالمرجع، ويُغفل في كثير من الأحيان التنويعات الصرفية وأسماء الأشخاص الكاملة.</w:t>
      </w:r>
    </w:p>
    <w:p>
      <w:pPr>
        <w:bidi/>
        <w:spacing w:after="140" w:before="0" w:line="360"/>
        <w:jc w:val="right"/>
      </w:pPr>
      <w:r>
        <w:rPr>
          <w:rFonts w:ascii="Tahoma" w:cs="Tahoma" w:hAnsi="Tahoma"/>
          <w:b/>
          <w:bCs/>
          <w:i w:val="false"/>
          <w:iCs w:val="false"/>
          <w:color w:val="2E75B6"/>
          <w:sz w:val="24"/>
          <w:szCs w:val="24"/>
          <w:rtl/>
        </w:rPr>
        <w:t xml:space="preserve">٢. الاستدلال اللغوي (NLI): </w:t>
      </w:r>
      <w:r>
        <w:rPr>
          <w:rFonts w:ascii="Tahoma" w:cs="Tahoma" w:hAnsi="Tahoma"/>
          <w:b w:val="false"/>
          <w:bCs w:val="false"/>
          <w:i w:val="false"/>
          <w:iCs w:val="false"/>
          <w:color w:val="1A1A1A"/>
          <w:sz w:val="24"/>
          <w:szCs w:val="24"/>
          <w:rtl/>
        </w:rPr>
        <w:t xml:space="preserve">بلغ معدل معين 7.54/١٠، وهو أقل من النماذج التجارية التي تجمعت كلها في النطاق ٩٫٤–٩٫٩. يُذكر أن هذا الرقم تحسّن بشكل ملحوظ بعد ضبط صيغة الأمر (prompt) لإجبار النموذج على نسخ نص الادعاء حرفياً قبل تصنيفه.</w:t>
      </w:r>
    </w:p>
    <w:p>
      <w:pPr>
        <w:bidi/>
        <w:spacing w:after="140" w:before="0" w:line="360"/>
        <w:jc w:val="right"/>
      </w:pPr>
      <w:r>
        <w:rPr>
          <w:rFonts w:ascii="Tahoma" w:cs="Tahoma" w:hAnsi="Tahoma"/>
          <w:b/>
          <w:bCs/>
          <w:i w:val="false"/>
          <w:iCs w:val="false"/>
          <w:color w:val="2E75B6"/>
          <w:sz w:val="24"/>
          <w:szCs w:val="24"/>
          <w:rtl/>
        </w:rPr>
        <w:t xml:space="preserve">٣. التلخيص العربي: </w:t>
      </w:r>
      <w:r>
        <w:rPr>
          <w:rFonts w:ascii="Tahoma" w:cs="Tahoma" w:hAnsi="Tahoma"/>
          <w:b w:val="false"/>
          <w:bCs w:val="false"/>
          <w:i w:val="false"/>
          <w:iCs w:val="false"/>
          <w:color w:val="1A1A1A"/>
          <w:sz w:val="24"/>
          <w:szCs w:val="24"/>
          <w:rtl/>
        </w:rPr>
        <w:t xml:space="preserve">أداء مقبول (7.30/١٠) لكن أقل من النماذج التجارية. الملخصات تصدر بالعربية الفصحى لكنها تميل إلى الإطالة وتفقد بعض التغطية للأحداث الرئيسية.</w:t>
      </w:r>
    </w:p>
    <w:p>
      <w:pPr>
        <w:bidi/>
        <w:spacing w:after="140" w:before="0" w:line="360"/>
        <w:jc w:val="right"/>
      </w:pPr>
      <w:r>
        <w:rPr>
          <w:rFonts w:ascii="Tahoma" w:cs="Tahoma" w:hAnsi="Tahoma"/>
          <w:b/>
          <w:bCs/>
          <w:i w:val="false"/>
          <w:iCs w:val="false"/>
          <w:color w:val="2E75B6"/>
          <w:sz w:val="24"/>
          <w:szCs w:val="24"/>
          <w:rtl/>
        </w:rPr>
        <w:t xml:space="preserve">٤. الترجمة من الإنجليزية إلى العربية: </w:t>
      </w:r>
      <w:r>
        <w:rPr>
          <w:rFonts w:ascii="Tahoma" w:cs="Tahoma" w:hAnsi="Tahoma"/>
          <w:b w:val="false"/>
          <w:bCs w:val="false"/>
          <w:i w:val="false"/>
          <w:iCs w:val="false"/>
          <w:color w:val="1A1A1A"/>
          <w:sz w:val="24"/>
          <w:szCs w:val="24"/>
          <w:rtl/>
        </w:rPr>
        <w:t xml:space="preserve">حصل معين على 5.45/١٠، وهي النقطة الأقوى نسبياً له، حيث تجاوز نموذج Mistral Large (5.02/١٠) في هذه المهمة.</w:t>
      </w:r>
    </w:p>
    <w:p>
      <w:pPr>
        <w:pStyle w:val="Heading2"/>
        <w:bidi/>
        <w:spacing w:after="160" w:before="240"/>
        <w:jc w:val="right"/>
      </w:pPr>
      <w:r>
        <w:rPr>
          <w:rFonts w:ascii="Tahoma" w:cs="Tahoma" w:hAnsi="Tahoma"/>
          <w:b/>
          <w:bCs/>
          <w:i w:val="false"/>
          <w:iCs w:val="false"/>
          <w:color w:val="1F4E79"/>
          <w:sz w:val="32"/>
          <w:szCs w:val="32"/>
          <w:rtl/>
        </w:rPr>
        <w:t xml:space="preserve">خامساً: التوصيات</w:t>
      </w:r>
    </w:p>
    <w:p>
      <w:pPr>
        <w:bidi/>
        <w:spacing w:after="120" w:before="0" w:line="360"/>
        <w:jc w:val="right"/>
      </w:pPr>
      <w:r>
        <w:rPr>
          <w:rFonts w:ascii="Tahoma" w:cs="Tahoma" w:hAnsi="Tahoma"/>
          <w:b w:val="false"/>
          <w:bCs w:val="false"/>
          <w:i w:val="false"/>
          <w:iCs w:val="false"/>
          <w:color w:val="1A1A1A"/>
          <w:sz w:val="24"/>
          <w:szCs w:val="24"/>
          <w:rtl/>
        </w:rPr>
        <w:t xml:space="preserve">بناءً على نتائج التقييم، نوصي بما يلي مرتباً حسب الأولوية:</w:t>
      </w:r>
    </w:p>
    <w:p>
      <w:pPr>
        <w:pStyle w:val="ListParagraph"/>
        <w:numPr>
          <w:ilvl w:val="0"/>
          <w:numId w:val="2"/>
        </w:numPr>
        <w:bidi/>
        <w:spacing w:after="100"/>
        <w:jc w:val="right"/>
      </w:pPr>
      <w:r>
        <w:rPr>
          <w:rFonts w:ascii="Tahoma" w:cs="Tahoma" w:hAnsi="Tahoma"/>
          <w:b/>
          <w:bCs/>
          <w:i w:val="false"/>
          <w:iCs w:val="false"/>
          <w:color w:val="1F4E79"/>
          <w:sz w:val="24"/>
          <w:szCs w:val="24"/>
          <w:rtl/>
        </w:rPr>
        <w:t xml:space="preserve">أولوية قصوى — تعزيز قدرات التعرف على الكيانات العربية: </w:t>
      </w:r>
      <w:r>
        <w:rPr>
          <w:rFonts w:ascii="Tahoma" w:cs="Tahoma" w:hAnsi="Tahoma"/>
          <w:b w:val="false"/>
          <w:bCs w:val="false"/>
          <w:i w:val="false"/>
          <w:iCs w:val="false"/>
          <w:color w:val="1A1A1A"/>
          <w:sz w:val="24"/>
          <w:szCs w:val="24"/>
          <w:rtl/>
        </w:rPr>
        <w:t xml:space="preserve">زيادة بيانات التدريب المُعنونة بالكيانات (PERSON / LOCATION / ORGANIZATION) مع تغطية التنويعات الصرفية والأسماء الجزئية.</w:t>
      </w:r>
    </w:p>
    <w:p>
      <w:pPr>
        <w:pStyle w:val="ListParagraph"/>
        <w:numPr>
          <w:ilvl w:val="0"/>
          <w:numId w:val="2"/>
        </w:numPr>
        <w:bidi/>
        <w:spacing w:after="100"/>
        <w:jc w:val="right"/>
      </w:pPr>
      <w:r>
        <w:rPr>
          <w:rFonts w:ascii="Tahoma" w:cs="Tahoma" w:hAnsi="Tahoma"/>
          <w:b/>
          <w:bCs/>
          <w:i w:val="false"/>
          <w:iCs w:val="false"/>
          <w:color w:val="1F4E79"/>
          <w:sz w:val="24"/>
          <w:szCs w:val="24"/>
          <w:rtl/>
        </w:rPr>
        <w:t xml:space="preserve">تحسين معالجة مهام التصنيف: </w:t>
      </w:r>
      <w:r>
        <w:rPr>
          <w:rFonts w:ascii="Tahoma" w:cs="Tahoma" w:hAnsi="Tahoma"/>
          <w:b w:val="false"/>
          <w:bCs w:val="false"/>
          <w:i w:val="false"/>
          <w:iCs w:val="false"/>
          <w:color w:val="1A1A1A"/>
          <w:sz w:val="24"/>
          <w:szCs w:val="24"/>
          <w:rtl/>
        </w:rPr>
        <w:t xml:space="preserve">تدريب النموذج على الالتزام الحرفي بنصوص الادعاءات المُقدَّمة دون إعادة صياغتها.</w:t>
      </w:r>
    </w:p>
    <w:p>
      <w:pPr>
        <w:pStyle w:val="ListParagraph"/>
        <w:numPr>
          <w:ilvl w:val="0"/>
          <w:numId w:val="2"/>
        </w:numPr>
        <w:bidi/>
        <w:spacing w:after="100"/>
        <w:jc w:val="right"/>
      </w:pPr>
      <w:r>
        <w:rPr>
          <w:rFonts w:ascii="Tahoma" w:cs="Tahoma" w:hAnsi="Tahoma"/>
          <w:b/>
          <w:bCs/>
          <w:i w:val="false"/>
          <w:iCs w:val="false"/>
          <w:color w:val="1F4E79"/>
          <w:sz w:val="24"/>
          <w:szCs w:val="24"/>
          <w:rtl/>
        </w:rPr>
        <w:t xml:space="preserve">ضبط طول التلخيص: </w:t>
      </w:r>
      <w:r>
        <w:rPr>
          <w:rFonts w:ascii="Tahoma" w:cs="Tahoma" w:hAnsi="Tahoma"/>
          <w:b w:val="false"/>
          <w:bCs w:val="false"/>
          <w:i w:val="false"/>
          <w:iCs w:val="false"/>
          <w:color w:val="1A1A1A"/>
          <w:sz w:val="24"/>
          <w:szCs w:val="24"/>
          <w:rtl/>
        </w:rPr>
        <w:t xml:space="preserve">التزام النموذج بالعدد المحدد من الجمل (جملتان) دون إطالة.</w:t>
      </w:r>
    </w:p>
    <w:p>
      <w:pPr>
        <w:pStyle w:val="ListParagraph"/>
        <w:numPr>
          <w:ilvl w:val="0"/>
          <w:numId w:val="2"/>
        </w:numPr>
        <w:bidi/>
        <w:spacing w:after="100"/>
        <w:jc w:val="right"/>
      </w:pPr>
      <w:r>
        <w:rPr>
          <w:rFonts w:ascii="Tahoma" w:cs="Tahoma" w:hAnsi="Tahoma"/>
          <w:b/>
          <w:bCs/>
          <w:i w:val="false"/>
          <w:iCs w:val="false"/>
          <w:color w:val="1F4E79"/>
          <w:sz w:val="24"/>
          <w:szCs w:val="24"/>
          <w:rtl/>
        </w:rPr>
        <w:t xml:space="preserve">تقليل الإضافات في الترجمة: </w:t>
      </w:r>
      <w:r>
        <w:rPr>
          <w:rFonts w:ascii="Tahoma" w:cs="Tahoma" w:hAnsi="Tahoma"/>
          <w:b w:val="false"/>
          <w:bCs w:val="false"/>
          <w:i w:val="false"/>
          <w:iCs w:val="false"/>
          <w:color w:val="1A1A1A"/>
          <w:sz w:val="24"/>
          <w:szCs w:val="24"/>
          <w:rtl/>
        </w:rPr>
        <w:t xml:space="preserve">إضافة قيود الأمانة (faithfulness) لمنع إدخال معلومات غير موجودة في النص الأصلي.</w:t>
      </w:r>
    </w:p>
    <w:p>
      <w:pPr>
        <w:pStyle w:val="ListParagraph"/>
        <w:numPr>
          <w:ilvl w:val="0"/>
          <w:numId w:val="2"/>
        </w:numPr>
        <w:bidi/>
        <w:spacing w:after="100"/>
        <w:jc w:val="right"/>
      </w:pPr>
      <w:r>
        <w:rPr>
          <w:rFonts w:ascii="Tahoma" w:cs="Tahoma" w:hAnsi="Tahoma"/>
          <w:b/>
          <w:bCs/>
          <w:i w:val="false"/>
          <w:iCs w:val="false"/>
          <w:color w:val="1F4E79"/>
          <w:sz w:val="24"/>
          <w:szCs w:val="24"/>
          <w:rtl/>
        </w:rPr>
        <w:t xml:space="preserve">معالجة فروقات الأداء بين الفئات: </w:t>
      </w:r>
      <w:r>
        <w:rPr>
          <w:rFonts w:ascii="Tahoma" w:cs="Tahoma" w:hAnsi="Tahoma"/>
          <w:b w:val="false"/>
          <w:bCs w:val="false"/>
          <w:i w:val="false"/>
          <w:iCs w:val="false"/>
          <w:color w:val="1A1A1A"/>
          <w:sz w:val="24"/>
          <w:szCs w:val="24"/>
          <w:rtl/>
        </w:rPr>
        <w:t xml:space="preserve">فئة الرياضة تستدعي مراجعة تغطية بيانات التدريب فيها.</w:t>
      </w:r>
    </w:p>
    <w:p>
      <w:pPr>
        <w:pStyle w:val="Heading2"/>
        <w:bidi/>
        <w:spacing w:after="160" w:before="240"/>
        <w:jc w:val="right"/>
      </w:pPr>
      <w:r>
        <w:rPr>
          <w:rFonts w:ascii="Tahoma" w:cs="Tahoma" w:hAnsi="Tahoma"/>
          <w:b/>
          <w:bCs/>
          <w:i w:val="false"/>
          <w:iCs w:val="false"/>
          <w:color w:val="1F4E79"/>
          <w:sz w:val="32"/>
          <w:szCs w:val="32"/>
          <w:rtl/>
        </w:rPr>
        <w:t xml:space="preserve">سادساً: الخلاصة</w:t>
      </w:r>
    </w:p>
    <w:p>
      <w:pPr>
        <w:bidi/>
        <w:spacing w:after="160" w:before="0" w:line="360"/>
        <w:jc w:val="right"/>
      </w:pPr>
      <w:r>
        <w:rPr>
          <w:rFonts w:ascii="Tahoma" w:cs="Tahoma" w:hAnsi="Tahoma"/>
          <w:b w:val="false"/>
          <w:bCs w:val="false"/>
          <w:i w:val="false"/>
          <w:iCs w:val="false"/>
          <w:color w:val="1A1A1A"/>
          <w:sz w:val="24"/>
          <w:szCs w:val="24"/>
          <w:rtl/>
        </w:rPr>
        <w:t xml:space="preserve">نموذج معين الذكي يُظهر قدرة أساسية على معالجة المحتوى العربي عبر المهام الأربع، لكنه يبقى متأخراً بفارق ملحوظ (2.85 نقطة) عن النماذج التجارية الرائدة. الفرص الأكبر لتحسين الأداء تكمن في تعزيز قدرات التعرف على الكيانات والاستدلال اللغوي. أما مهمة الترجمة من الإنجليزية إلى العربية فتُمثّل نقطة قوة نسبية يُمكن البناء عليها.</w:t>
      </w:r>
    </w:p>
    <w:p>
      <w:pPr>
        <w:bidi/>
        <w:spacing w:after="160" w:before="0" w:line="360"/>
        <w:jc w:val="right"/>
      </w:pPr>
      <w:r>
        <w:rPr>
          <w:rFonts w:ascii="Tahoma" w:cs="Tahoma" w:hAnsi="Tahoma"/>
          <w:b w:val="false"/>
          <w:bCs w:val="false"/>
          <w:i w:val="false"/>
          <w:iCs w:val="false"/>
          <w:color w:val="1A1A1A"/>
          <w:sz w:val="24"/>
          <w:szCs w:val="24"/>
          <w:rtl/>
        </w:rPr>
        <w:t xml:space="preserve">نُحيط سعادتكم علماً بأن جميع التفاصيل التقنية والأمثلة المُفصَّلة والبيانات الخام للتقييم متوفرة في المرفقات المُرفقة بهذا الخطاب. ونحن في انتظار توجيهاتكم الكريمة بشأن أي توضيحات أو تحاليل إضافية قد ترونها ضرورية.</w:t>
      </w:r>
    </w:p>
    <w:p>
      <w:pPr>
        <w:spacing w:after="60" w:before="260"/>
      </w:pPr>
      <w:r>
        <w:t xml:space="preserve"/>
      </w:r>
    </w:p>
    <w:p>
      <w:pPr>
        <w:bidi/>
        <w:spacing w:after="200" w:before="0" w:line="360"/>
        <w:jc w:val="right"/>
      </w:pPr>
      <w:r>
        <w:rPr>
          <w:rFonts w:ascii="Tahoma" w:cs="Tahoma" w:hAnsi="Tahoma"/>
          <w:b/>
          <w:bCs/>
          <w:i w:val="false"/>
          <w:iCs w:val="false"/>
          <w:color w:val="1F4E79"/>
          <w:sz w:val="26"/>
          <w:szCs w:val="26"/>
          <w:rtl/>
        </w:rPr>
        <w:t xml:space="preserve">وتفضلوا بقبول فائق الاحترام والتقدير،،،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none" w:color="FFFFFF" w:sz="0"/>
              <w:bottom w:val="none" w:color="FFFFFF" w:sz="0"/>
              <w:right w:val="none" w:color="FFFFFF" w:sz="0"/>
            </w:tcBorders>
            <w:tcMar>
              <w:top w:type="dxa" w:w="140"/>
              <w:left w:type="dxa" w:w="0"/>
              <w:bottom w:type="dxa" w:w="40"/>
              <w:right w:type="dxa" w:w="0"/>
            </w:tcMar>
          </w:tcPr>
          <w:p>
            <w:pPr>
              <w:bidi/>
              <w:spacing w:after="40"/>
              <w:jc w:val="right"/>
            </w:pPr>
            <w:r>
              <w:rPr>
                <w:rFonts w:ascii="Tahoma" w:cs="Tahoma" w:hAnsi="Tahoma"/>
                <w:b/>
                <w:bCs/>
                <w:i w:val="false"/>
                <w:iCs w:val="false"/>
                <w:color w:val="1F4E79"/>
                <w:sz w:val="24"/>
                <w:szCs w:val="24"/>
                <w:rtl/>
              </w:rPr>
              <w:t xml:space="preserve">فريق تقييم منصة نماذج اللغة العربية</w:t>
            </w:r>
          </w:p>
          <w:p>
            <w:pPr>
              <w:bidi/>
              <w:spacing w:after="40"/>
              <w:jc w:val="right"/>
            </w:pPr>
            <w:r>
              <w:rPr>
                <w:rFonts w:ascii="Tahoma" w:cs="Tahoma" w:hAnsi="Tahoma"/>
                <w:b w:val="false"/>
                <w:bCs w:val="false"/>
                <w:i w:val="false"/>
                <w:iCs w:val="false"/>
                <w:color w:val="595959"/>
                <w:sz w:val="20"/>
                <w:szCs w:val="20"/>
                <w:rtl/>
              </w:rPr>
              <w:t xml:space="preserve">Arabic LLM Benchmark Platform — Independent Evaluation Team</w:t>
            </w:r>
          </w:p>
          <w:p>
            <w:pPr>
              <w:bidi/>
              <w:spacing w:after="0"/>
              <w:jc w:val="right"/>
            </w:pPr>
            <w:r>
              <w:rPr>
                <w:rFonts w:ascii="Tahoma" w:cs="Tahoma" w:hAnsi="Tahoma"/>
                <w:b w:val="false"/>
                <w:bCs w:val="false"/>
                <w:i w:val="false"/>
                <w:iCs w:val="false"/>
                <w:color w:val="595959"/>
                <w:sz w:val="20"/>
                <w:szCs w:val="20"/>
                <w:rtl/>
              </w:rPr>
              <w:t xml:space="preserve">أبريل ٢٠٢٦م</w:t>
            </w:r>
          </w:p>
        </w:tc>
      </w:tr>
    </w:tbl>
    <w:p>
      <w:r>
        <w:br w:type="page"/>
      </w:r>
    </w:p>
    <w:p>
      <w:pPr>
        <w:pStyle w:val="Heading1"/>
        <w:bidi/>
        <w:spacing w:after="160" w:before="360"/>
        <w:jc w:val="right"/>
      </w:pPr>
      <w:r>
        <w:rPr>
          <w:rFonts w:ascii="Tahoma" w:cs="Tahoma" w:hAnsi="Tahoma"/>
          <w:b/>
          <w:bCs/>
          <w:i w:val="false"/>
          <w:iCs w:val="false"/>
          <w:color w:val="1F4E79"/>
          <w:sz w:val="40"/>
          <w:szCs w:val="40"/>
          <w:rtl/>
        </w:rPr>
        <w:t xml:space="preserve">المرفقات</w:t>
      </w:r>
    </w:p>
    <w:p>
      <w:pPr>
        <w:bidi/>
        <w:spacing w:after="140" w:before="0" w:line="360"/>
        <w:jc w:val="right"/>
      </w:pPr>
      <w:r>
        <w:rPr>
          <w:rFonts w:ascii="Tahoma" w:cs="Tahoma" w:hAnsi="Tahoma"/>
          <w:b w:val="false"/>
          <w:bCs w:val="false"/>
          <w:i w:val="false"/>
          <w:iCs w:val="false"/>
          <w:color w:val="1A1A1A"/>
          <w:sz w:val="24"/>
          <w:szCs w:val="24"/>
          <w:rtl/>
        </w:rPr>
        <w:t xml:space="preserve">يُرفق بهذا الخطاب الحزمة التقييمية التالية: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660"/>
        <w:gridCol w:w="1600"/>
      </w:tblGrid>
      <w:tr>
        <w:trPr>
          <w:tblHeader/>
        </w:trPr>
        <w:tc>
          <w:tcPr>
            <w:tcW w:type="dxa" w:w="7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w:t>
            </w:r>
          </w:p>
        </w:tc>
        <w:tc>
          <w:tcPr>
            <w:tcW w:type="dxa" w:w="24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اسم المرفق</w:t>
            </w:r>
          </w:p>
        </w:tc>
        <w:tc>
          <w:tcPr>
            <w:tcW w:type="dxa" w:w="466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الوصف</w:t>
            </w:r>
          </w:p>
        </w:tc>
        <w:tc>
          <w:tcPr>
            <w:tcW w:type="dxa" w:w="1600"/>
            <w:tcBorders>
              <w:top w:val="single" w:color="1F4E79" w:sz="1"/>
              <w:left w:val="single" w:color="1F4E79" w:sz="1"/>
              <w:bottom w:val="single" w:color="1F4E79" w:sz="1"/>
              <w:right w:val="single" w:color="1F4E79" w:sz="1"/>
            </w:tcBorders>
            <w:shd w:fill="1F4E79" w:color="auto" w:val="clear"/>
            <w:tcMar>
              <w:top w:type="dxa" w:w="100"/>
              <w:left w:type="dxa" w:w="120"/>
              <w:bottom w:type="dxa" w:w="100"/>
              <w:right w:type="dxa" w:w="120"/>
            </w:tcMar>
            <w:vAlign w:val="center"/>
          </w:tcPr>
          <w:p>
            <w:pPr>
              <w:bidi/>
              <w:spacing w:after="0" w:before="0"/>
              <w:jc w:val="right"/>
            </w:pPr>
            <w:r>
              <w:rPr>
                <w:rFonts w:ascii="Tahoma" w:cs="Tahoma" w:hAnsi="Tahoma"/>
                <w:b/>
                <w:bCs/>
                <w:i w:val="false"/>
                <w:iCs w:val="false"/>
                <w:color w:val="FFFFFF"/>
                <w:sz w:val="22"/>
                <w:szCs w:val="22"/>
                <w:rtl/>
              </w:rPr>
              <w:t xml:space="preserve">الصيغة</w:t>
            </w:r>
          </w:p>
        </w:tc>
      </w:tr>
      <w:tr>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١</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التقرير التقني الكامل</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تقرير إنجليزي شامل يغطي المنهجية والنتائج الكاملة والتوصيات</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Word</w:t>
            </w:r>
          </w:p>
        </w:tc>
      </w:tr>
      <w:tr>
        <w:tc>
          <w:tcPr>
            <w:tcW w:type="dxa" w:w="7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٢</w:t>
            </w:r>
          </w:p>
        </w:tc>
        <w:tc>
          <w:tcPr>
            <w:tcW w:type="dxa" w:w="24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جدول المقارنة الشامل</w:t>
            </w:r>
          </w:p>
        </w:tc>
        <w:tc>
          <w:tcPr>
            <w:tcW w:type="dxa" w:w="46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مقارنة بين النماذج الأربعة على مستوى المهمة والفئة</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Word</w:t>
            </w:r>
          </w:p>
        </w:tc>
      </w:tr>
      <w:tr>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٣</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أمثلة جنباً إلى جنب</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خمسة أمثلة تقييمية مع درجات الحَكم وتعليقاته</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Word</w:t>
            </w:r>
          </w:p>
        </w:tc>
      </w:tr>
      <w:tr>
        <w:tc>
          <w:tcPr>
            <w:tcW w:type="dxa" w:w="7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٤</w:t>
            </w:r>
          </w:p>
        </w:tc>
        <w:tc>
          <w:tcPr>
            <w:tcW w:type="dxa" w:w="24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قائمة المرفقات التفصيلية</w:t>
            </w:r>
          </w:p>
        </w:tc>
        <w:tc>
          <w:tcPr>
            <w:tcW w:type="dxa" w:w="46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فهرس رسمي بالعربية لجميع مرفقات هذه الحزمة</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Word</w:t>
            </w:r>
          </w:p>
        </w:tc>
      </w:tr>
      <w:tr>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٥</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البيانات الكاملة لمعين</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بيانات خام لمخرجات معين والمرجع على ٢٠٠ مقالة</w:t>
            </w:r>
          </w:p>
        </w:tc>
        <w:tc>
          <w:tcPr>
            <w:tcW w:type="dxa" w:w="1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JSON</w:t>
            </w:r>
          </w:p>
        </w:tc>
      </w:tr>
      <w:tr>
        <w:tc>
          <w:tcPr>
            <w:tcW w:type="dxa" w:w="7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٦</w:t>
            </w:r>
          </w:p>
        </w:tc>
        <w:tc>
          <w:tcPr>
            <w:tcW w:type="dxa" w:w="24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بيانات المقارنة الآلية</w:t>
            </w:r>
          </w:p>
        </w:tc>
        <w:tc>
          <w:tcPr>
            <w:tcW w:type="dxa" w:w="466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ملف CSV يحوي درجات النماذج الأربعة × ٢٠٠ مقالة</w:t>
            </w:r>
          </w:p>
        </w:tc>
        <w:tc>
          <w:tcPr>
            <w:tcW w:type="dxa" w:w="1600"/>
            <w:tcBorders>
              <w:top w:val="single" w:color="BFBFBF" w:sz="1"/>
              <w:left w:val="single" w:color="BFBFBF" w:sz="1"/>
              <w:bottom w:val="single" w:color="BFBFBF" w:sz="1"/>
              <w:right w:val="single" w:color="BFBFBF" w:sz="1"/>
            </w:tcBorders>
            <w:shd w:fill="F2F6FB" w:color="auto" w:val="clear"/>
            <w:tcMar>
              <w:top w:type="dxa" w:w="80"/>
              <w:left w:type="dxa" w:w="120"/>
              <w:bottom w:type="dxa" w:w="80"/>
              <w:right w:type="dxa" w:w="120"/>
            </w:tcMar>
            <w:vAlign w:val="center"/>
          </w:tcPr>
          <w:p>
            <w:pPr>
              <w:bidi/>
              <w:spacing w:after="0" w:before="0"/>
              <w:jc w:val="right"/>
            </w:pPr>
            <w:r>
              <w:rPr>
                <w:rFonts w:ascii="Tahoma" w:cs="Tahoma" w:hAnsi="Tahoma"/>
                <w:b w:val="false"/>
                <w:bCs w:val="false"/>
                <w:i w:val="false"/>
                <w:iCs w:val="false"/>
                <w:color w:val="1A1A1A"/>
                <w:sz w:val="22"/>
                <w:szCs w:val="22"/>
                <w:rtl/>
              </w:rPr>
              <w:t xml:space="preserve">CSV</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bidi/>
      <w:spacing w:before="60"/>
    </w:pPr>
    <w:r>
      <w:rPr>
        <w:rFonts w:ascii="Tahoma" w:cs="Tahoma" w:hAnsi="Tahoma"/>
        <w:b w:val="false"/>
        <w:bCs w:val="false"/>
        <w:i w:val="false"/>
        <w:iCs w:val="false"/>
        <w:color w:val="595959"/>
        <w:sz w:val="18"/>
        <w:szCs w:val="18"/>
        <w:rtl/>
      </w:rPr>
      <w:t xml:space="preserve">خطاب تقييم معين الذكي</w:t>
    </w:r>
    <w:r>
      <w:rPr>
        <w:rFonts w:ascii="Calibri" w:hAnsi="Calibri"/>
      </w:rPr>
      <w:t xml:space="preserve">	</w:t>
    </w:r>
    <w:r>
      <w:rPr>
        <w:rFonts w:ascii="Calibri" w:cs="Tahoma" w:hAnsi="Calibri"/>
        <w:b w:val="false"/>
        <w:bCs w:val="false"/>
        <w:i w:val="false"/>
        <w:iCs w:val="false"/>
        <w:color w:val="595959"/>
        <w:sz w:val="18"/>
        <w:szCs w:val="18"/>
      </w:rPr>
      <w:t xml:space="preserve">صفحة </w:t>
    </w:r>
    <w:r>
      <w:rPr>
        <w:rFonts w:ascii="Calibri" w:hAnsi="Calibri"/>
        <w:color w:val="595959"/>
        <w:sz w:val="18"/>
        <w:szCs w:val="18"/>
      </w:rPr>
      <w:fldChar w:fldCharType="begin"/>
      <w:instrText xml:space="preserve">PAGE</w:instrText>
      <w:fldChar w:fldCharType="separate"/>
      <w:fldChar w:fldCharType="end"/>
    </w:r>
    <w:r>
      <w:rPr>
        <w:rFonts w:ascii="Calibri" w:cs="Tahoma" w:hAnsi="Calibri"/>
        <w:b w:val="false"/>
        <w:bCs w:val="false"/>
        <w:i w:val="false"/>
        <w:iCs w:val="false"/>
        <w:color w:val="595959"/>
        <w:sz w:val="18"/>
        <w:szCs w:val="18"/>
      </w:rPr>
      <w:t xml:space="preserve"> / </w:t>
    </w:r>
    <w:r>
      <w:rPr>
        <w:rFonts w:ascii="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40"/>
      <w:jc w:val="right"/>
    </w:pPr>
    <w:r>
      <w:rPr>
        <w:rFonts w:ascii="Tahoma" w:cs="Tahoma" w:hAnsi="Tahoma"/>
        <w:b/>
        <w:bCs/>
        <w:i w:val="false"/>
        <w:iCs w:val="false"/>
        <w:color w:val="1F4E79"/>
        <w:sz w:val="26"/>
        <w:szCs w:val="26"/>
        <w:rtl/>
      </w:rPr>
      <w:t xml:space="preserve">منصة تقييم نماذج اللغة العربية</w:t>
    </w:r>
  </w:p>
  <w:p>
    <w:pPr>
      <w:bidi/>
      <w:spacing w:after="0"/>
      <w:jc w:val="right"/>
    </w:pPr>
    <w:r>
      <w:rPr>
        <w:rFonts w:ascii="Tahoma" w:cs="Tahoma" w:hAnsi="Tahoma"/>
        <w:b w:val="false"/>
        <w:bCs w:val="false"/>
        <w:i w:val="false"/>
        <w:iCs w:val="false"/>
        <w:color w:val="595959"/>
        <w:sz w:val="20"/>
        <w:szCs w:val="20"/>
        <w:rtl/>
      </w:rPr>
      <w:t xml:space="preserve">تقييم مستقل لنموذج معين الذكي — أبريل ٢٠٢٦</w:t>
    </w:r>
  </w:p>
  <w:p>
    <w:pPr>
      <w:pBdr>
        <w:bottom w:val="single" w:color="C9A227" w:sz="12" w:space="2"/>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40" w:before="280"/>
      <w:outlineLvl w:val="1"/>
    </w:pPr>
    <w:rPr>
      <w:rFonts w:ascii="Calibri" w:cs="Calibri" w:eastAsia="Calibri" w:hAnsi="Calibri"/>
      <w:b/>
      <w:bCs/>
      <w:color w:val="1F4E79"/>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8"/>
      <w:szCs w:val="28"/>
    </w:rPr>
  </w:style>
  <w:style w:type="paragraph" w:styleId="Heading4">
    <w:name w:val="Heading 4"/>
    <w:basedOn w:val="Normal"/>
    <w:next w:val="Normal"/>
    <w:qFormat/>
    <w:pPr>
      <w:spacing w:after="100" w:before="200"/>
      <w:outlineLvl w:val="3"/>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2026-04-17T12:26:24.886Z</dcterms:created>
  <dcterms:modified xsi:type="dcterms:W3CDTF">2026-04-17T12:26:24.887Z</dcterms:modified>
</cp:coreProperties>
</file>

<file path=docProps/custom.xml><?xml version="1.0" encoding="utf-8"?>
<Properties xmlns="http://schemas.openxmlformats.org/officeDocument/2006/custom-properties" xmlns:vt="http://schemas.openxmlformats.org/officeDocument/2006/docPropsVTypes"/>
</file>