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Tahoma" w:hAnsi="Calibri"/>
          <w:b/>
          <w:bCs/>
          <w:i w:val="false"/>
          <w:iCs w:val="false"/>
          <w:caps/>
          <w:color w:val="C9A227"/>
          <w:sz w:val="22"/>
          <w:szCs w:val="22"/>
        </w:rPr>
        <w:t xml:space="preserve">Attachment 01</w:t>
      </w:r>
    </w:p>
    <w:p>
      <w:pPr>
        <w:pBdr>
          <w:top w:val="single" w:color="1F4E79" w:sz="18" w:space="4"/>
        </w:pBdr>
        <w:spacing w:after="60" w:before="12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1F4E79"/>
          <w:sz w:val="52"/>
          <w:szCs w:val="52"/>
        </w:rPr>
        <w:t xml:space="preserve">Mueen AI</w:t>
      </w:r>
    </w:p>
    <w:p>
      <w:pPr>
        <w:pBdr>
          <w:bottom w:val="single" w:color="1F4E79" w:sz="18" w:space="4"/>
        </w:pBdr>
        <w:spacing w:after="120"/>
        <w:jc w:val="center"/>
      </w:pPr>
      <w:r>
        <w:t xml:space="preserve"/>
      </w:r>
    </w:p>
    <w:p>
      <w:pPr>
        <w:spacing w:after="600"/>
        <w:jc w:val="center"/>
      </w:pPr>
      <w:r>
        <w:rPr>
          <w:rFonts w:ascii="Calibri" w:cs="Tahoma" w:hAnsi="Calibri"/>
          <w:b w:val="false"/>
          <w:bCs w:val="false"/>
          <w:i/>
          <w:iCs/>
          <w:color w:val="595959"/>
          <w:sz w:val="26"/>
          <w:szCs w:val="26"/>
        </w:rPr>
        <w:t xml:space="preserve">Comprehensive Evaluation Report</w:t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Date: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April 2026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Framework: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Arabic LLM Benchmark Platform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Articles evaluated: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 Arabic articles across 5 domains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Models compared: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vs Qwen 3.5 397B, DeepSeek Chat (V3), Mistral Large</w:t>
      </w:r>
    </w:p>
    <w:p>
      <w:pPr>
        <w:spacing w:after="60"/>
        <w:jc w:val="center"/>
      </w:pPr>
      <w:r>
        <w:rPr>
          <w:rFonts w:ascii="Calibri" w:cs="Tahoma" w:hAnsi="Calibri"/>
          <w:b/>
          <w:bCs/>
          <w:i w:val="false"/>
          <w:iCs w:val="false"/>
          <w:color w:val="2E75B6"/>
          <w:sz w:val="22"/>
          <w:szCs w:val="22"/>
        </w:rPr>
        <w:t xml:space="preserve">Reference number:  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ME/2026/001</w:t>
      </w:r>
    </w:p>
    <w:p>
      <w:r>
        <w:br w:type="pag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1. Executive Summary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was evaluated on 200 Arabic news articles across 5 categories (culture, finance, politics, sports, tech) on 4 NLP tasks: Named Entity Recognition (NER), Natural Language Inference (NLI), Arabic Summarization, and English-to-Arabic Translation. Three commercial frontier models were evaluated on the same dataset for comparison.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Headline Result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 achieved an </w:t>
      </w:r>
      <w:r>
        <w:rPr>
          <w:rFonts w:ascii="Calibri" w:cs="Tahoma" w:hAnsi="Calibri"/>
          <w:b/>
          <w:bCs/>
          <w:i w:val="false"/>
          <w:iCs w:val="false"/>
          <w:color w:val="C62828"/>
          <w:sz w:val="22"/>
          <w:szCs w:val="22"/>
        </w:rPr>
        <w:t xml:space="preserve">overall score of 5.91 / 10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placing it in </w:t>
      </w:r>
      <w:r>
        <w:rPr>
          <w:rFonts w:ascii="Calibri" w:cs="Tahoma" w:hAnsi="Calibri"/>
          <w:b/>
          <w:bCs/>
          <w:i w:val="false"/>
          <w:iCs w:val="false"/>
          <w:color w:val="1A1A1A"/>
          <w:sz w:val="22"/>
          <w:szCs w:val="22"/>
        </w:rPr>
        <w:t xml:space="preserve">4th position</w:t>
      </w: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among the 4 evaluated models. The leading frontier model (Qwen 3.5 397B) scored 8.76/10, a gap of 2.85 points.</w:t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Final Leaderboard (200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092"/>
        <w:gridCol w:w="1092"/>
        <w:gridCol w:w="1092"/>
        <w:gridCol w:w="1092"/>
        <w:gridCol w:w="1692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0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0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0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0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69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Qwen 3.5 397B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7.62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9.80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9.12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9.20</w:t>
            </w:r>
          </w:p>
        </w:tc>
        <w:tc>
          <w:tcPr>
            <w:tcW w:type="dxa" w:w="16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8.76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DeepSeek Chat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7.07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9.88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8.83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8.80</w:t>
            </w:r>
          </w:p>
        </w:tc>
        <w:tc>
          <w:tcPr>
            <w:tcW w:type="dxa" w:w="16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8.46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Mistral Large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5.95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9.39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8.09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5.02</w:t>
            </w:r>
          </w:p>
        </w:tc>
        <w:tc>
          <w:tcPr>
            <w:tcW w:type="dxa" w:w="16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6.89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Mueen AI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4.03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7.54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7.30</w:t>
            </w:r>
          </w:p>
        </w:tc>
        <w:tc>
          <w:tcPr>
            <w:tcW w:type="dxa" w:w="10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5.45</w:t>
            </w:r>
          </w:p>
        </w:tc>
        <w:tc>
          <w:tcPr>
            <w:tcW w:type="dxa" w:w="16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5.91</w:t>
            </w:r>
          </w:p>
        </w:tc>
      </w:tr>
    </w:tbl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8"/>
          <w:szCs w:val="28"/>
        </w:rPr>
        <w:t xml:space="preserve">Key Insight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 AI's relative weakness is concentrated in Named Entity Recognition (4.03/10, vs 7.62 for the leader). NLI also shows a meaningful gap (7.54 vs 9.80). Generative tasks (Summary 7.30, Translation 5.45) are closer to the field — actually outperforming Mistral Large on Translation (5.45 vs 5.02).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2. Methodology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The 4 Tasks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 (Named Entity Recognition) — Extract entities into 4 categories (PERSON, LOCATION, ORGANIZATION, MISC) from each Arabic article. Scored deterministically using weighted F1 with Arabic normalization (diacritics, alef variants, definite article ال) and a hallucination penalty for entities not found in the source.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NLI (Natural Language Inference / Fact Verification) — Given an article and 4 claims, label each as SUPPORTED, REFUTED, or NOT_ENOUGH_INFO. Scored by positional weighted accuracy (NOT_ENOUGH_INFO×1.5, REFUTED×1.2, SUPPORTED×1.0).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Arabic Summarization — Produce a 2-sentence summary in formal Modern Standard Arabic (فصحى). Scored by GPT-5.2 with a 5-criterion rubric: factual accuracy (0–3), coverage (0–3), no added inference (0–2), register fluency (0–2), and verbatim copying penalty (0–1).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English→Arabic Translation — Translate a 3-sentence English summary of the article into formal Arabic. Scored by GPT-5.2 with a 4-criterion rubric: faithfulness (0–3), fluency (0–3), terminology handling (0–2), register/formality (0–2).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Overall Score Formula</w:t>
      </w:r>
    </w:p>
    <w:p>
      <w:pPr>
        <w:shd w:fill="F2F6FB" w:color="auto" w:val="clear"/>
        <w:spacing w:after="160" w:before="80"/>
        <w:jc w:val="center"/>
      </w:pPr>
      <w:r>
        <w:rPr>
          <w:rFonts w:ascii="Consolas" w:hAnsi="Consolas"/>
          <w:b/>
          <w:bCs/>
          <w:color w:val="1F4E79"/>
          <w:sz w:val="22"/>
          <w:szCs w:val="22"/>
        </w:rPr>
        <w:t xml:space="preserve">Overall = NER × 0.30 + NLI × 0.20 + Summary × 0.25 + Translation × 0.25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Dataset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500 Arabic articles collected across 5 categories (100 each).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 articles sampled for evaluation: round 1 (seed=42), round 2 (seed=99).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~40 articles per category in the final 200-article evaluation set.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Judges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Teacher model (reference generation): Claude Opus 4.6 (Anthropic).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Judge model (summary + translation): GPT-5.2 (OpenAI).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 + NLI scored deterministically — no human or LLM judgment.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3. Detailed Results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Per-task Scores (all 4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32"/>
        <w:gridCol w:w="1432"/>
        <w:gridCol w:w="1432"/>
        <w:gridCol w:w="1432"/>
        <w:gridCol w:w="193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4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Qwen 3.5</w:t>
            </w:r>
          </w:p>
        </w:tc>
        <w:tc>
          <w:tcPr>
            <w:tcW w:type="dxa" w:w="14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DeepSeek</w:t>
            </w:r>
          </w:p>
        </w:tc>
        <w:tc>
          <w:tcPr>
            <w:tcW w:type="dxa" w:w="14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Mistral</w:t>
            </w:r>
          </w:p>
        </w:tc>
        <w:tc>
          <w:tcPr>
            <w:tcW w:type="dxa" w:w="14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Mueen AI</w:t>
            </w:r>
          </w:p>
        </w:tc>
        <w:tc>
          <w:tcPr>
            <w:tcW w:type="dxa" w:w="193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Mueen Rank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NER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7.62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7.07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5.95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4.03</w:t>
            </w:r>
          </w:p>
        </w:tc>
        <w:tc>
          <w:tcPr>
            <w:tcW w:type="dxa" w:w="1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NLI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9.80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9.88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9.39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7.54</w:t>
            </w:r>
          </w:p>
        </w:tc>
        <w:tc>
          <w:tcPr>
            <w:tcW w:type="dxa" w:w="1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Summary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9.12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8.83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8.09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7.30</w:t>
            </w:r>
          </w:p>
        </w:tc>
        <w:tc>
          <w:tcPr>
            <w:tcW w:type="dxa" w:w="1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9.20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8.80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5.02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5.45</w:t>
            </w:r>
          </w:p>
        </w:tc>
        <w:tc>
          <w:tcPr>
            <w:tcW w:type="dxa" w:w="1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Overall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8.76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8.46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6.89</w:t>
            </w:r>
          </w:p>
        </w:tc>
        <w:tc>
          <w:tcPr>
            <w:tcW w:type="dxa" w:w="14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5.91</w:t>
            </w:r>
          </w:p>
        </w:tc>
        <w:tc>
          <w:tcPr>
            <w:tcW w:type="dxa" w:w="19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</w:t>
            </w:r>
          </w:p>
        </w:tc>
      </w:tr>
    </w:tbl>
    <w:p>
      <w:pPr>
        <w:spacing w:after="120" w:before="120" w:line="312"/>
        <w:jc w:val="left"/>
      </w:pPr>
      <w:r>
        <w:rPr>
          <w:rFonts w:ascii="Calibri" w:cs="Tahoma" w:hAnsi="Calibri"/>
          <w:b w:val="false"/>
          <w:bCs w:val="false"/>
          <w:i/>
          <w:iCs/>
          <w:color w:val="595959"/>
          <w:sz w:val="22"/>
          <w:szCs w:val="22"/>
        </w:rPr>
        <w:t xml:space="preserve">Note: On Translation, Mueen AI outperforms Mistral Large.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Mueen AI — Per-Category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52"/>
        <w:gridCol w:w="1152"/>
        <w:gridCol w:w="1152"/>
        <w:gridCol w:w="1452"/>
        <w:gridCol w:w="1852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NER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NLI</w:t>
            </w:r>
          </w:p>
        </w:tc>
        <w:tc>
          <w:tcPr>
            <w:tcW w:type="dxa" w:w="11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</w:tc>
        <w:tc>
          <w:tcPr>
            <w:tcW w:type="dxa" w:w="14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Translation</w:t>
            </w:r>
          </w:p>
        </w:tc>
        <w:tc>
          <w:tcPr>
            <w:tcW w:type="dxa" w:w="185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Culture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3.92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7.91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7.20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5.76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6.00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4.76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7.72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7.10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6.14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6.28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Politics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42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3.08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7.19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7.15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5.52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5.53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Sports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33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3.36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6.50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6.91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4.63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5.19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Tech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4.94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8.21</w:t>
            </w:r>
          </w:p>
        </w:tc>
        <w:tc>
          <w:tcPr>
            <w:tcW w:type="dxa" w:w="1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8.08</w:t>
            </w:r>
          </w:p>
        </w:tc>
        <w:tc>
          <w:tcPr>
            <w:tcW w:type="dxa" w:w="14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5.09</w:t>
            </w:r>
          </w:p>
        </w:tc>
        <w:tc>
          <w:tcPr>
            <w:tcW w:type="dxa" w:w="18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Calibri" w:cs="Tahoma" w:hAnsi="Calibri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6.42</w:t>
            </w:r>
          </w:p>
        </w:tc>
      </w:tr>
    </w:tbl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4. Mueen AI Deep-Dive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Strengths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Best category: Tech with overall score 6.42/10. Mueen handles tech content with the most consistency.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Second-best category: Finance (6.28/10).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Translation is Mueen's relatively strongest task ranked against the field — 3rd of 4 models, beating Mistral Large.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NLI labels are usable when claims are presented in the expected format (7.54/10) — meaningful signal, even if behind the leaders.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Weaknesses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Worst category: Sports with overall score 5.19/10. The sports domain produces the most misses.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 (4.03/10) is the weakest task overall — the gap to the leader (Qwen 3.5: 7.62) is 3.59 points. Mueen frequently misses entities that the reference includes, particularly people's full names and organization variants.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NLI accuracy (7.54/10) trails the field — all three commercial models cluster at 9.4–9.9 on this task.</w:t>
      </w:r>
    </w:p>
    <w:p>
      <w:pPr>
        <w:pStyle w:val="Heading2"/>
        <w:bidi w:val="false"/>
        <w:spacing w:after="160" w:before="24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32"/>
          <w:szCs w:val="32"/>
        </w:rPr>
        <w:t xml:space="preserve">Worked Examples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Five articles (one per category, picked at the per-category median Mueen score) are reproduced in the companion file 03_Worked_Examples.docx. Each example shows Mueen's actual outputs side-by-side with the Claude Opus reference and the GPT-5.2 judge feedback.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5. Failure Pattern Analysis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Patterns observed across the 196 scored Mueen articles: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NER under-extraction — Mueen tends to extract a smaller entity set than the reference. The reference includes morphological variants and secondary mentions; Mueen tends to capture only the most prominent.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NLI claim-text drift — In the first manual round, Mueen rewrote several claims rather than copying them verbatim. Once the prompt was tightened to enforce verbatim claim copying, NLI scores rose substantially (2.90 → 7.36 on the same articles). This is a prompt-engineering finding, not a model capability finding.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Summary register — Summaries are in MSA but tend to be more verbose than the reference 2-sentence target. The judge rubric penalizes coverage and conciseness.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Translation occasionally adds material — A subset of translations include details not in the English source, hurting the faithfulness component of the judge rubric.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6. Recommendations for the Mueen Team</w:t>
      </w:r>
    </w:p>
    <w:p>
      <w:pPr>
        <w:spacing w:after="120" w:before="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A1A1A"/>
          <w:sz w:val="22"/>
          <w:szCs w:val="22"/>
        </w:rPr>
        <w:t xml:space="preserve">Priority order (highest impact first):</w:t>
      </w:r>
    </w:p>
    <w:p>
      <w:pPr>
        <w:spacing w:after="120" w:before="12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4"/>
          <w:szCs w:val="24"/>
        </w:rPr>
        <w:t xml:space="preserve">P1 — Improve Arabic NER coverage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Collect more annotated Arabic news data with PERSON/LOCATION/ORGANIZATION tags including morphological variants and partial mentions.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Consider an explicit entity-extraction prompt scaffold during training/inference.</w:t>
      </w:r>
    </w:p>
    <w:p>
      <w:pPr>
        <w:spacing w:after="120" w:before="12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4"/>
          <w:szCs w:val="24"/>
        </w:rPr>
        <w:t xml:space="preserve">P2 — Improve NLI claim handling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Ensure the model strictly preserves provided claim text in classification tasks.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Investigate why NOT_ENOUGH_INFO (the hardest, weight 1.5) is missed most often.</w:t>
      </w:r>
    </w:p>
    <w:p>
      <w:pPr>
        <w:spacing w:after="120" w:before="12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4"/>
          <w:szCs w:val="24"/>
        </w:rPr>
        <w:t xml:space="preserve">P3 — Tighten summary length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Train/instruct the model to honor the 2-sentence target.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Penalize verbatim sentence copying explicitly.</w:t>
      </w:r>
    </w:p>
    <w:p>
      <w:pPr>
        <w:spacing w:after="120" w:before="12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4"/>
          <w:szCs w:val="24"/>
        </w:rPr>
        <w:t xml:space="preserve">P4 — Reduce translation hallucinations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faithfulness constraints to the translation prompt.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Consider a translation-specific fine-tuning pass on faithful Eng→Ar pairs.</w:t>
      </w:r>
    </w:p>
    <w:p>
      <w:pPr>
        <w:spacing w:after="120" w:before="120" w:line="312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24"/>
          <w:szCs w:val="24"/>
        </w:rPr>
        <w:t xml:space="preserve">P5 — Reduce category variance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Sports category (5.19) underperforms; investigate domain coverage in training data.</w:t>
      </w:r>
    </w:p>
    <w:p>
      <w:pPr>
        <w:pBdr>
          <w:bottom w:val="single" w:color="2E75B6" w:sz="6" w:space="2"/>
        </w:pBdr>
        <w:spacing w:after="120" w:before="60"/>
      </w:pPr>
      <w:r>
        <w:t xml:space="preserve"/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Tahoma" w:hAnsi="Calibri"/>
          <w:b/>
          <w:bCs/>
          <w:i w:val="false"/>
          <w:iCs w:val="false"/>
          <w:color w:val="1F4E79"/>
          <w:sz w:val="40"/>
          <w:szCs w:val="40"/>
        </w:rPr>
        <w:t xml:space="preserve">7. Reproducibility</w:t>
      </w:r>
    </w:p>
    <w:p>
      <w:pPr>
        <w:spacing w:after="120" w:before="0" w:line="312"/>
        <w:jc w:val="left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evaluation artifacts are captured in this repository: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arabic_500_dataset.json — full corpus (500 articles).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selected_100.json + selected_next_100.json — the 200-article evaluation set.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mueen_results_full.json — Mueen's outputs alongside reference data and scores.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comparison_data.csv — machine-readable scores for all 4 models × 200 articles.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200-ARTICLE-EVALUATION.md — high-level cross-model comparison.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mueen_evaluation_samples.md — 5 worked side-by-side examples.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scripts/sample_100.py — deterministic article sampler.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Tahoma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scripts/run_benchmark.py — end-to-end orchestration.</w:t>
      </w:r>
    </w:p>
    <w:p>
      <w:pPr>
        <w:spacing w:after="120" w:before="240" w:line="312"/>
        <w:jc w:val="left"/>
      </w:pPr>
      <w:r>
        <w:rPr>
          <w:rFonts w:ascii="Calibri" w:cs="Tahoma" w:hAnsi="Calibri"/>
          <w:b w:val="false"/>
          <w:bCs w:val="false"/>
          <w:i/>
          <w:iCs/>
          <w:color w:val="595959"/>
          <w:sz w:val="22"/>
          <w:szCs w:val="22"/>
        </w:rPr>
        <w:t xml:space="preserve">This report was generated from the live evaluation database by scripts/build_mueen_report.py. All numbers are cross-verifiable against the underlying SQLite database and the JSON artifacts in this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bidi w:val="false"/>
      <w:spacing w:before="60"/>
    </w:pP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Mueen AI — Comprehensive Evaluation Report</w:t>
    </w:r>
    <w:r>
      <w:rPr>
        <w:rFonts w:ascii="Calibri" w:hAnsi="Calibri"/>
      </w:rPr>
      <w:t xml:space="preserve">	</w:t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Page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 of </w:t>
    </w:r>
    <w:r>
      <w:rPr>
        <w:rFonts w:ascii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Calibri" w:cs="Tahoma" w:hAnsi="Calibri"/>
        <w:b/>
        <w:bCs/>
        <w:i w:val="false"/>
        <w:iCs w:val="false"/>
        <w:color w:val="1F4E79"/>
        <w:sz w:val="24"/>
        <w:szCs w:val="24"/>
      </w:rPr>
      <w:t xml:space="preserve">Arabic LLM Benchmark Platform</w:t>
    </w:r>
  </w:p>
  <w:p>
    <w:pPr>
      <w:spacing w:after="0"/>
      <w:jc w:val="left"/>
    </w:pPr>
    <w:r>
      <w:rPr>
        <w:rFonts w:ascii="Calibri" w:cs="Tahoma" w:hAnsi="Calibri"/>
        <w:b w:val="false"/>
        <w:bCs w:val="false"/>
        <w:i w:val="false"/>
        <w:iCs w:val="false"/>
        <w:color w:val="595959"/>
        <w:sz w:val="18"/>
        <w:szCs w:val="18"/>
      </w:rPr>
      <w:t xml:space="preserve">Independent Evaluation of Mueen AI — April 2026</w:t>
    </w:r>
  </w:p>
  <w:p>
    <w:pPr>
      <w:pBdr>
        <w:bottom w:val="single" w:color="C9A227" w:sz="12" w:space="2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2026-04-17T12:26:25.001Z</dcterms:created>
  <dcterms:modified xsi:type="dcterms:W3CDTF">2026-04-17T12:26:25.001Z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