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r>
        <w:t xml:space="preserve"/>
      </w:r>
    </w:p>
    <w:p>
      <w:pPr>
        <w:bidi/>
        <w:spacing w:after="100"/>
        <w:jc w:val="center"/>
      </w:pPr>
      <w:r>
        <w:rPr>
          <w:rFonts w:ascii="Tahoma" w:cs="Tahoma" w:hAnsi="Tahoma"/>
          <w:b/>
          <w:bCs/>
          <w:i w:val="false"/>
          <w:iCs w:val="false"/>
          <w:color w:val="C9A227"/>
          <w:sz w:val="24"/>
          <w:szCs w:val="24"/>
          <w:rtl/>
        </w:rPr>
        <w:t xml:space="preserve">المرفق رقم ٠٣</w:t>
      </w:r>
    </w:p>
    <w:p>
      <w:pPr>
        <w:pBdr>
          <w:top w:val="single" w:color="1F4E79" w:sz="18" w:space="4"/>
        </w:pBdr>
        <w:spacing w:after="60" w:before="120"/>
        <w:jc w:val="center"/>
      </w:pPr>
      <w:r>
        <w:t xml:space="preserve"/>
      </w:r>
    </w:p>
    <w:p>
      <w:pPr>
        <w:bidi/>
        <w:spacing w:after="60"/>
        <w:jc w:val="center"/>
      </w:pPr>
      <w:r>
        <w:rPr>
          <w:rFonts w:ascii="Tahoma" w:cs="Tahoma" w:hAnsi="Tahoma"/>
          <w:b/>
          <w:bCs/>
          <w:i w:val="false"/>
          <w:iCs w:val="false"/>
          <w:color w:val="1F4E79"/>
          <w:sz w:val="56"/>
          <w:szCs w:val="56"/>
          <w:rtl/>
        </w:rPr>
        <w:t xml:space="preserve">أمثلة تقييمية جنباً إلى جنب</w:t>
      </w:r>
    </w:p>
    <w:p>
      <w:pPr>
        <w:pBdr>
          <w:bottom w:val="single" w:color="1F4E79" w:sz="18" w:space="4"/>
        </w:pBdr>
        <w:spacing w:after="120"/>
        <w:jc w:val="center"/>
      </w:pPr>
      <w:r>
        <w:t xml:space="preserve"/>
      </w:r>
    </w:p>
    <w:p>
      <w:pPr>
        <w:bidi/>
        <w:spacing w:after="600"/>
        <w:jc w:val="center"/>
      </w:pPr>
      <w:r>
        <w:rPr>
          <w:rFonts w:ascii="Tahoma" w:cs="Tahoma" w:hAnsi="Tahoma"/>
          <w:b w:val="false"/>
          <w:bCs w:val="false"/>
          <w:i w:val="false"/>
          <w:iCs w:val="false"/>
          <w:color w:val="595959"/>
          <w:sz w:val="28"/>
          <w:szCs w:val="28"/>
          <w:rtl/>
        </w:rPr>
        <w:t xml:space="preserve">مقارنة مخرجات معين الذكي بالمرجع — مثال واحد لكل فئة</w:t>
      </w:r>
    </w:p>
    <w:p>
      <w:r>
        <w:t xml:space="preserve"/>
      </w:r>
    </w:p>
    <w:p>
      <w:r>
        <w:t xml:space="preserve"/>
      </w:r>
    </w:p>
    <w:p>
      <w:pPr>
        <w:bidi/>
        <w:spacing w:after="60"/>
        <w:jc w:val="center"/>
      </w:pPr>
      <w:r>
        <w:rPr>
          <w:rFonts w:ascii="Tahoma" w:cs="Tahoma" w:hAnsi="Tahoma"/>
          <w:b/>
          <w:bCs/>
          <w:i w:val="false"/>
          <w:iCs w:val="false"/>
          <w:color w:val="2E75B6"/>
          <w:sz w:val="24"/>
          <w:szCs w:val="24"/>
          <w:rtl/>
        </w:rPr>
        <w:t xml:space="preserve">التاريخ:  </w:t>
      </w:r>
      <w:r>
        <w:rPr>
          <w:rFonts w:ascii="Tahoma" w:cs="Tahoma" w:hAnsi="Tahoma"/>
          <w:b w:val="false"/>
          <w:bCs w:val="false"/>
          <w:i w:val="false"/>
          <w:iCs w:val="false"/>
          <w:color w:val="1A1A1A"/>
          <w:sz w:val="24"/>
          <w:szCs w:val="24"/>
          <w:rtl/>
        </w:rPr>
        <w:t xml:space="preserve">أبريل ٢٠٢٦م</w:t>
      </w:r>
    </w:p>
    <w:p>
      <w:pPr>
        <w:bidi/>
        <w:spacing w:after="60"/>
        <w:jc w:val="center"/>
      </w:pPr>
      <w:r>
        <w:rPr>
          <w:rFonts w:ascii="Tahoma" w:cs="Tahoma" w:hAnsi="Tahoma"/>
          <w:b/>
          <w:bCs/>
          <w:i w:val="false"/>
          <w:iCs w:val="false"/>
          <w:color w:val="2E75B6"/>
          <w:sz w:val="24"/>
          <w:szCs w:val="24"/>
          <w:rtl/>
        </w:rPr>
        <w:t xml:space="preserve">المرجع:  </w:t>
      </w:r>
      <w:r>
        <w:rPr>
          <w:rFonts w:ascii="Tahoma" w:cs="Tahoma" w:hAnsi="Tahoma"/>
          <w:b w:val="false"/>
          <w:bCs w:val="false"/>
          <w:i w:val="false"/>
          <w:iCs w:val="false"/>
          <w:color w:val="1A1A1A"/>
          <w:sz w:val="24"/>
          <w:szCs w:val="24"/>
          <w:rtl/>
        </w:rPr>
        <w:t xml:space="preserve">Claude Opus 4.6</w:t>
      </w:r>
    </w:p>
    <w:p>
      <w:pPr>
        <w:bidi/>
        <w:spacing w:after="60"/>
        <w:jc w:val="center"/>
      </w:pPr>
      <w:r>
        <w:rPr>
          <w:rFonts w:ascii="Tahoma" w:cs="Tahoma" w:hAnsi="Tahoma"/>
          <w:b/>
          <w:bCs/>
          <w:i w:val="false"/>
          <w:iCs w:val="false"/>
          <w:color w:val="2E75B6"/>
          <w:sz w:val="24"/>
          <w:szCs w:val="24"/>
          <w:rtl/>
        </w:rPr>
        <w:t xml:space="preserve">الحَكم:  </w:t>
      </w:r>
      <w:r>
        <w:rPr>
          <w:rFonts w:ascii="Tahoma" w:cs="Tahoma" w:hAnsi="Tahoma"/>
          <w:b w:val="false"/>
          <w:bCs w:val="false"/>
          <w:i w:val="false"/>
          <w:iCs w:val="false"/>
          <w:color w:val="1A1A1A"/>
          <w:sz w:val="24"/>
          <w:szCs w:val="24"/>
          <w:rtl/>
        </w:rPr>
        <w:t xml:space="preserve">GPT-5.2</w:t>
      </w:r>
    </w:p>
    <w:p>
      <w:pPr>
        <w:bidi/>
        <w:spacing w:after="60"/>
        <w:jc w:val="center"/>
      </w:pPr>
      <w:r>
        <w:rPr>
          <w:rFonts w:ascii="Tahoma" w:cs="Tahoma" w:hAnsi="Tahoma"/>
          <w:b/>
          <w:bCs/>
          <w:i w:val="false"/>
          <w:iCs w:val="false"/>
          <w:color w:val="2E75B6"/>
          <w:sz w:val="24"/>
          <w:szCs w:val="24"/>
          <w:rtl/>
        </w:rPr>
        <w:t xml:space="preserve">منهجية الانتقاء:  </w:t>
      </w:r>
      <w:r>
        <w:rPr>
          <w:rFonts w:ascii="Tahoma" w:cs="Tahoma" w:hAnsi="Tahoma"/>
          <w:b w:val="false"/>
          <w:bCs w:val="false"/>
          <w:i w:val="false"/>
          <w:iCs w:val="false"/>
          <w:color w:val="1A1A1A"/>
          <w:sz w:val="24"/>
          <w:szCs w:val="24"/>
          <w:rtl/>
        </w:rPr>
        <w:t xml:space="preserve">مقالات عند متوسط أداء معين في كل فئة</w:t>
      </w:r>
    </w:p>
    <w:p>
      <w:pPr>
        <w:bidi/>
        <w:spacing w:after="60"/>
        <w:jc w:val="center"/>
      </w:pPr>
      <w:r>
        <w:rPr>
          <w:rFonts w:ascii="Tahoma" w:cs="Tahoma" w:hAnsi="Tahoma"/>
          <w:b/>
          <w:bCs/>
          <w:i w:val="false"/>
          <w:iCs w:val="false"/>
          <w:color w:val="2E75B6"/>
          <w:sz w:val="24"/>
          <w:szCs w:val="24"/>
          <w:rtl/>
        </w:rPr>
        <w:t xml:space="preserve">الرقم المرجعي:  </w:t>
      </w:r>
      <w:r>
        <w:rPr>
          <w:rFonts w:ascii="Tahoma" w:cs="Tahoma" w:hAnsi="Tahoma"/>
          <w:b w:val="false"/>
          <w:bCs w:val="false"/>
          <w:i w:val="false"/>
          <w:iCs w:val="false"/>
          <w:color w:val="1A1A1A"/>
          <w:sz w:val="24"/>
          <w:szCs w:val="24"/>
          <w:rtl/>
        </w:rPr>
        <w:t xml:space="preserve">ME/2026/001</w:t>
      </w:r>
    </w:p>
    <w:p>
      <w:r>
        <w:br w:type="page"/>
      </w:r>
    </w:p>
    <w:p>
      <w:pPr>
        <w:pStyle w:val="Heading1"/>
        <w:bidi/>
        <w:spacing w:after="160" w:before="360"/>
        <w:jc w:val="right"/>
      </w:pPr>
      <w:r>
        <w:rPr>
          <w:rFonts w:ascii="Tahoma" w:cs="Tahoma" w:hAnsi="Tahoma"/>
          <w:b/>
          <w:bCs/>
          <w:i w:val="false"/>
          <w:iCs w:val="false"/>
          <w:color w:val="1F4E79"/>
          <w:sz w:val="40"/>
          <w:szCs w:val="40"/>
          <w:rtl/>
        </w:rPr>
        <w:t xml:space="preserve">مقدمة</w:t>
      </w:r>
    </w:p>
    <w:p>
      <w:pPr>
        <w:bidi/>
        <w:spacing w:after="160" w:before="0" w:line="360"/>
        <w:jc w:val="right"/>
      </w:pPr>
      <w:r>
        <w:rPr>
          <w:rFonts w:ascii="Tahoma" w:cs="Tahoma" w:hAnsi="Tahoma"/>
          <w:b w:val="false"/>
          <w:bCs w:val="false"/>
          <w:i w:val="false"/>
          <w:iCs w:val="false"/>
          <w:color w:val="1A1A1A"/>
          <w:sz w:val="24"/>
          <w:szCs w:val="24"/>
          <w:rtl/>
        </w:rPr>
        <w:t xml:space="preserve">يُعيد هذا المرفق عرض خمس حالات تقييمية تمثيلية — بمعدل حالة واحدة لكل فئة — تُبيّن مخرجات نموذج معين الذكي الفعلية جنباً إلى جنب مع المرجع المستخرَج من Claude Opus، وتعليقات ومعايير الحَكم GPT-5.2. وقد انتُقيت المقالات عند متوسط درجات معين في كل فئة، بحيث تعكس كل حالة السلوك المعتاد للنموذج لا أفضل أداء له ولا أسوأه.</w:t>
      </w:r>
    </w:p>
    <w:p>
      <w:pPr>
        <w:bidi/>
        <w:spacing w:after="160" w:before="0" w:line="360"/>
        <w:jc w:val="right"/>
      </w:pPr>
      <w:r>
        <w:rPr>
          <w:rFonts w:ascii="Tahoma" w:cs="Tahoma" w:hAnsi="Tahoma"/>
          <w:b w:val="false"/>
          <w:bCs w:val="false"/>
          <w:i w:val="false"/>
          <w:iCs w:val="false"/>
          <w:color w:val="1A1A1A"/>
          <w:sz w:val="24"/>
          <w:szCs w:val="24"/>
          <w:rtl/>
        </w:rPr>
        <w:t xml:space="preserve">يتضمن كل مثال العناصر التالية: (١) مقتطف من المقالة بالعربية، (٢) مقارنة جنباً إلى جنب لمخرجات التعرف على الكيانات (NER)، (٣) مقارنة جنباً إلى جنب للتلخيص مع معايير الحَكم وتعليقاته، (٤) مقارنة تفصيلية للاستدلال اللغوي (NLI) على مستوى كل ادعاء، (٥) مقارنة جنباً إلى جنب للترجمة مع معايير الحَكم وتعليقاته.</w:t>
      </w:r>
    </w:p>
    <w:p>
      <w:r>
        <w:br w:type="page"/>
      </w:r>
    </w:p>
    <w:p>
      <w:pPr>
        <w:pStyle w:val="Heading1"/>
        <w:bidi/>
        <w:spacing w:after="160" w:before="360"/>
        <w:jc w:val="right"/>
      </w:pPr>
      <w:r>
        <w:rPr>
          <w:rFonts w:ascii="Tahoma" w:cs="Tahoma" w:hAnsi="Tahoma"/>
          <w:b/>
          <w:bCs/>
          <w:i w:val="false"/>
          <w:iCs w:val="false"/>
          <w:color w:val="1F4E79"/>
          <w:sz w:val="40"/>
          <w:szCs w:val="40"/>
          <w:rtl/>
        </w:rPr>
        <w:t xml:space="preserve">المثال الأول — الثقافة (CULTURE_039)</w:t>
      </w:r>
    </w:p>
    <w:p>
      <w:pPr>
        <w:bidi/>
        <w:spacing w:after="160" w:before="0" w:line="360"/>
        <w:jc w:val="right"/>
      </w:pPr>
      <w:r>
        <w:rPr>
          <w:rFonts w:ascii="Tahoma" w:cs="Tahoma" w:hAnsi="Tahoma"/>
          <w:b/>
          <w:bCs/>
          <w:i w:val="false"/>
          <w:iCs w:val="false"/>
          <w:color w:val="2E75B6"/>
          <w:sz w:val="24"/>
          <w:szCs w:val="24"/>
          <w:rtl/>
        </w:rPr>
        <w:t xml:space="preserve">العنوان: </w:t>
      </w:r>
      <w:r>
        <w:rPr>
          <w:rFonts w:ascii="Tahoma" w:cs="Tahoma" w:hAnsi="Tahoma"/>
          <w:b w:val="false"/>
          <w:bCs w:val="false"/>
          <w:i w:val="false"/>
          <w:iCs w:val="false"/>
          <w:color w:val="1A1A1A"/>
          <w:sz w:val="24"/>
          <w:szCs w:val="24"/>
          <w:rtl/>
        </w:rPr>
        <w:t xml:space="preserve">انطلقت فعاليات الدورة العاشرة لأيام الشارقة المسرحية مساء 27 من مارس/آذار برعاية صاحب السمو الشيخ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1F4E79" w:sz="1"/>
              <w:left w:val="single" w:color="1F4E79" w:sz="1"/>
              <w:bottom w:val="single" w:color="1F4E79" w:sz="1"/>
              <w:right w:val="single" w:color="1F4E79" w:sz="1"/>
            </w:tcBorders>
            <w:shd w:fill="1F4E79" w:color="auto" w:val="clear"/>
            <w:tcMar>
              <w:top w:type="dxa" w:w="100"/>
              <w:left w:type="dxa" w:w="120"/>
              <w:bottom w:type="dxa" w:w="100"/>
              <w:right w:type="dxa" w:w="120"/>
            </w:tcMar>
            <w:vAlign w:val="center"/>
          </w:tcPr>
          <w:p>
            <w:pPr>
              <w:bidi/>
              <w:spacing w:after="0" w:before="0"/>
              <w:jc w:val="right"/>
            </w:pPr>
            <w:r>
              <w:rPr>
                <w:rFonts w:ascii="Tahoma" w:cs="Tahoma" w:hAnsi="Tahoma"/>
                <w:b/>
                <w:bCs/>
                <w:i w:val="false"/>
                <w:iCs w:val="false"/>
                <w:color w:val="FFFFFF"/>
                <w:sz w:val="22"/>
                <w:szCs w:val="22"/>
                <w:rtl/>
              </w:rPr>
              <w:t xml:space="preserve">المعدل العام</w:t>
            </w:r>
          </w:p>
        </w:tc>
        <w:tc>
          <w:tcPr>
            <w:tcW w:type="dxa" w:w="1872"/>
            <w:tcBorders>
              <w:top w:val="single" w:color="1F4E79" w:sz="1"/>
              <w:left w:val="single" w:color="1F4E79" w:sz="1"/>
              <w:bottom w:val="single" w:color="1F4E79" w:sz="1"/>
              <w:right w:val="single" w:color="1F4E79" w:sz="1"/>
            </w:tcBorders>
            <w:shd w:fill="1F4E79" w:color="auto" w:val="clear"/>
            <w:tcMar>
              <w:top w:type="dxa" w:w="100"/>
              <w:left w:type="dxa" w:w="120"/>
              <w:bottom w:type="dxa" w:w="100"/>
              <w:right w:type="dxa" w:w="120"/>
            </w:tcMar>
            <w:vAlign w:val="center"/>
          </w:tcPr>
          <w:p>
            <w:pPr>
              <w:bidi/>
              <w:spacing w:after="0" w:before="0"/>
              <w:jc w:val="right"/>
            </w:pPr>
            <w:r>
              <w:rPr>
                <w:rFonts w:ascii="Tahoma" w:cs="Tahoma" w:hAnsi="Tahoma"/>
                <w:b/>
                <w:bCs/>
                <w:i w:val="false"/>
                <w:iCs w:val="false"/>
                <w:color w:val="FFFFFF"/>
                <w:sz w:val="22"/>
                <w:szCs w:val="22"/>
                <w:rtl/>
              </w:rPr>
              <w:t xml:space="preserve">NER</w:t>
            </w:r>
          </w:p>
        </w:tc>
        <w:tc>
          <w:tcPr>
            <w:tcW w:type="dxa" w:w="1872"/>
            <w:tcBorders>
              <w:top w:val="single" w:color="1F4E79" w:sz="1"/>
              <w:left w:val="single" w:color="1F4E79" w:sz="1"/>
              <w:bottom w:val="single" w:color="1F4E79" w:sz="1"/>
              <w:right w:val="single" w:color="1F4E79" w:sz="1"/>
            </w:tcBorders>
            <w:shd w:fill="1F4E79" w:color="auto" w:val="clear"/>
            <w:tcMar>
              <w:top w:type="dxa" w:w="100"/>
              <w:left w:type="dxa" w:w="120"/>
              <w:bottom w:type="dxa" w:w="100"/>
              <w:right w:type="dxa" w:w="120"/>
            </w:tcMar>
            <w:vAlign w:val="center"/>
          </w:tcPr>
          <w:p>
            <w:pPr>
              <w:bidi/>
              <w:spacing w:after="0" w:before="0"/>
              <w:jc w:val="right"/>
            </w:pPr>
            <w:r>
              <w:rPr>
                <w:rFonts w:ascii="Tahoma" w:cs="Tahoma" w:hAnsi="Tahoma"/>
                <w:b/>
                <w:bCs/>
                <w:i w:val="false"/>
                <w:iCs w:val="false"/>
                <w:color w:val="FFFFFF"/>
                <w:sz w:val="22"/>
                <w:szCs w:val="22"/>
                <w:rtl/>
              </w:rPr>
              <w:t xml:space="preserve">NLI</w:t>
            </w:r>
          </w:p>
        </w:tc>
        <w:tc>
          <w:tcPr>
            <w:tcW w:type="dxa" w:w="1872"/>
            <w:tcBorders>
              <w:top w:val="single" w:color="1F4E79" w:sz="1"/>
              <w:left w:val="single" w:color="1F4E79" w:sz="1"/>
              <w:bottom w:val="single" w:color="1F4E79" w:sz="1"/>
              <w:right w:val="single" w:color="1F4E79" w:sz="1"/>
            </w:tcBorders>
            <w:shd w:fill="1F4E79" w:color="auto" w:val="clear"/>
            <w:tcMar>
              <w:top w:type="dxa" w:w="100"/>
              <w:left w:type="dxa" w:w="120"/>
              <w:bottom w:type="dxa" w:w="100"/>
              <w:right w:type="dxa" w:w="120"/>
            </w:tcMar>
            <w:vAlign w:val="center"/>
          </w:tcPr>
          <w:p>
            <w:pPr>
              <w:bidi/>
              <w:spacing w:after="0" w:before="0"/>
              <w:jc w:val="right"/>
            </w:pPr>
            <w:r>
              <w:rPr>
                <w:rFonts w:ascii="Tahoma" w:cs="Tahoma" w:hAnsi="Tahoma"/>
                <w:b/>
                <w:bCs/>
                <w:i w:val="false"/>
                <w:iCs w:val="false"/>
                <w:color w:val="FFFFFF"/>
                <w:sz w:val="22"/>
                <w:szCs w:val="22"/>
                <w:rtl/>
              </w:rPr>
              <w:t xml:space="preserve">التلخيص</w:t>
            </w:r>
          </w:p>
        </w:tc>
        <w:tc>
          <w:tcPr>
            <w:tcW w:type="dxa" w:w="1872"/>
            <w:tcBorders>
              <w:top w:val="single" w:color="1F4E79" w:sz="1"/>
              <w:left w:val="single" w:color="1F4E79" w:sz="1"/>
              <w:bottom w:val="single" w:color="1F4E79" w:sz="1"/>
              <w:right w:val="single" w:color="1F4E79" w:sz="1"/>
            </w:tcBorders>
            <w:shd w:fill="1F4E79" w:color="auto" w:val="clear"/>
            <w:tcMar>
              <w:top w:type="dxa" w:w="100"/>
              <w:left w:type="dxa" w:w="120"/>
              <w:bottom w:type="dxa" w:w="100"/>
              <w:right w:type="dxa" w:w="120"/>
            </w:tcMar>
            <w:vAlign w:val="center"/>
          </w:tcPr>
          <w:p>
            <w:pPr>
              <w:bidi/>
              <w:spacing w:after="0" w:before="0"/>
              <w:jc w:val="right"/>
            </w:pPr>
            <w:r>
              <w:rPr>
                <w:rFonts w:ascii="Tahoma" w:cs="Tahoma" w:hAnsi="Tahoma"/>
                <w:b/>
                <w:bCs/>
                <w:i w:val="false"/>
                <w:iCs w:val="false"/>
                <w:color w:val="FFFFFF"/>
                <w:sz w:val="22"/>
                <w:szCs w:val="22"/>
                <w:rtl/>
              </w:rPr>
              <w:t xml:space="preserve">الترجمة</w:t>
            </w:r>
          </w:p>
        </w:tc>
      </w:tr>
      <w:tr>
        <w:tc>
          <w:tcPr>
            <w:tcW w:type="dxa" w:w="1872"/>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6.27 / 10</w:t>
            </w:r>
          </w:p>
        </w:tc>
        <w:tc>
          <w:tcPr>
            <w:tcW w:type="dxa" w:w="1872"/>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4.80</w:t>
            </w:r>
          </w:p>
        </w:tc>
        <w:tc>
          <w:tcPr>
            <w:tcW w:type="dxa" w:w="1872"/>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10.00</w:t>
            </w:r>
          </w:p>
        </w:tc>
        <w:tc>
          <w:tcPr>
            <w:tcW w:type="dxa" w:w="1872"/>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5.83</w:t>
            </w:r>
          </w:p>
        </w:tc>
        <w:tc>
          <w:tcPr>
            <w:tcW w:type="dxa" w:w="1872"/>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5.50</w:t>
            </w:r>
          </w:p>
        </w:tc>
      </w:tr>
    </w:tbl>
    <w:p>
      <w:pPr>
        <w:pStyle w:val="Heading3"/>
        <w:bidi/>
        <w:spacing w:after="160" w:before="240"/>
        <w:jc w:val="right"/>
      </w:pPr>
      <w:r>
        <w:rPr>
          <w:rFonts w:ascii="Tahoma" w:cs="Tahoma" w:hAnsi="Tahoma"/>
          <w:b/>
          <w:bCs/>
          <w:i w:val="false"/>
          <w:iCs w:val="false"/>
          <w:color w:val="1F4E79"/>
          <w:sz w:val="28"/>
          <w:szCs w:val="28"/>
          <w:rtl/>
        </w:rPr>
        <w:t xml:space="preserve">مقتطف من المقالة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C9A227" w:sz="24"/>
              <w:bottom w:val="single" w:color="BFBFBF" w:sz="2"/>
              <w:right w:val="single" w:color="BFBFBF" w:sz="2"/>
            </w:tcBorders>
            <w:shd w:fill="F2F6FB" w:color="auto" w:val="clear"/>
            <w:tcMar>
              <w:top w:type="dxa" w:w="160"/>
              <w:left w:type="dxa" w:w="200"/>
              <w:bottom w:type="dxa" w:w="160"/>
              <w:right w:type="dxa" w:w="200"/>
            </w:tcMar>
          </w:tcPr>
          <w:p>
            <w:pPr>
              <w:bidi/>
              <w:spacing w:after="0" w:before="0" w:line="340"/>
              <w:jc w:val="right"/>
            </w:pPr>
            <w:r>
              <w:rPr>
                <w:rFonts w:ascii="Tahoma" w:cs="Tahoma" w:hAnsi="Tahoma"/>
                <w:b w:val="false"/>
                <w:bCs w:val="false"/>
                <w:i/>
                <w:iCs/>
                <w:color w:val="595959"/>
                <w:sz w:val="22"/>
                <w:szCs w:val="22"/>
                <w:rtl/>
              </w:rPr>
              <w:t xml:space="preserve">انطلقت فعاليات الدورة العاشرة لأيام الشارقة المسرحية مساء 27 من مارس/آذار برعاية صاحب السمو الشيخ الدكتور سلطان بن محمد القاسمي عضو المجلس الأعلى حاكم الشارقة وبعرض القضية، إحدى أعماله المسرحية، واختتمت مساء 5 من أبريل/نيسان، حيث شاركت إحدى عشرة فرقة مسرحية قدمت اثني عشر عملاً مسرحياً في إطار التنافس على جوائز مسابقة المهرجان التي ارتفع عددها إلى ثلاث عشرة جائزة...</w:t>
            </w:r>
          </w:p>
        </w:tc>
      </w:tr>
    </w:tbl>
    <w:p>
      <w:pPr>
        <w:pStyle w:val="Heading3"/>
        <w:bidi/>
        <w:spacing w:after="160" w:before="240"/>
        <w:jc w:val="right"/>
      </w:pPr>
      <w:r>
        <w:rPr>
          <w:rFonts w:ascii="Tahoma" w:cs="Tahoma" w:hAnsi="Tahoma"/>
          <w:b/>
          <w:bCs/>
          <w:i w:val="false"/>
          <w:iCs w:val="false"/>
          <w:color w:val="1F4E79"/>
          <w:sz w:val="28"/>
          <w:szCs w:val="28"/>
          <w:rtl/>
        </w:rPr>
        <w:t xml:space="preserve">المهمة الأولى — التعرف على الكيانات (NER —4.80 /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0"/>
        <w:gridCol w:w="3800"/>
        <w:gridCol w:w="3800"/>
      </w:tblGrid>
      <w:tr>
        <w:trPr>
          <w:tblHeader/>
        </w:trPr>
        <w:tc>
          <w:tcPr>
            <w:tcW w:type="dxa" w:w="1760"/>
            <w:tcBorders>
              <w:top w:val="single" w:color="1F4E79" w:sz="1"/>
              <w:left w:val="single" w:color="1F4E79" w:sz="1"/>
              <w:bottom w:val="single" w:color="1F4E79" w:sz="1"/>
              <w:right w:val="single" w:color="1F4E79" w:sz="1"/>
            </w:tcBorders>
            <w:shd w:fill="1F4E79" w:color="auto" w:val="clear"/>
            <w:tcMar>
              <w:top w:type="dxa" w:w="100"/>
              <w:left w:type="dxa" w:w="120"/>
              <w:bottom w:type="dxa" w:w="100"/>
              <w:right w:type="dxa" w:w="120"/>
            </w:tcMar>
            <w:vAlign w:val="center"/>
          </w:tcPr>
          <w:p>
            <w:pPr>
              <w:bidi/>
              <w:spacing w:after="0" w:before="0"/>
              <w:jc w:val="right"/>
            </w:pPr>
            <w:r>
              <w:rPr>
                <w:rFonts w:ascii="Tahoma" w:cs="Tahoma" w:hAnsi="Tahoma"/>
                <w:b/>
                <w:bCs/>
                <w:i w:val="false"/>
                <w:iCs w:val="false"/>
                <w:color w:val="FFFFFF"/>
                <w:sz w:val="22"/>
                <w:szCs w:val="22"/>
                <w:rtl/>
              </w:rPr>
              <w:t xml:space="preserve">الفئة</w:t>
            </w:r>
          </w:p>
        </w:tc>
        <w:tc>
          <w:tcPr>
            <w:tcW w:type="dxa" w:w="3800"/>
            <w:tcBorders>
              <w:top w:val="single" w:color="1F4E79" w:sz="1"/>
              <w:left w:val="single" w:color="1F4E79" w:sz="1"/>
              <w:bottom w:val="single" w:color="1F4E79" w:sz="1"/>
              <w:right w:val="single" w:color="1F4E79" w:sz="1"/>
            </w:tcBorders>
            <w:shd w:fill="1F4E79" w:color="auto" w:val="clear"/>
            <w:tcMar>
              <w:top w:type="dxa" w:w="100"/>
              <w:left w:type="dxa" w:w="120"/>
              <w:bottom w:type="dxa" w:w="100"/>
              <w:right w:type="dxa" w:w="120"/>
            </w:tcMar>
            <w:vAlign w:val="center"/>
          </w:tcPr>
          <w:p>
            <w:pPr>
              <w:bidi/>
              <w:spacing w:after="0" w:before="0"/>
              <w:jc w:val="right"/>
            </w:pPr>
            <w:r>
              <w:rPr>
                <w:rFonts w:ascii="Tahoma" w:cs="Tahoma" w:hAnsi="Tahoma"/>
                <w:b/>
                <w:bCs/>
                <w:i w:val="false"/>
                <w:iCs w:val="false"/>
                <w:color w:val="FFFFFF"/>
                <w:sz w:val="22"/>
                <w:szCs w:val="22"/>
                <w:rtl/>
              </w:rPr>
              <w:t xml:space="preserve">المرجع (Claude Opus)</w:t>
            </w:r>
          </w:p>
        </w:tc>
        <w:tc>
          <w:tcPr>
            <w:tcW w:type="dxa" w:w="3800"/>
            <w:tcBorders>
              <w:top w:val="single" w:color="1F4E79" w:sz="1"/>
              <w:left w:val="single" w:color="1F4E79" w:sz="1"/>
              <w:bottom w:val="single" w:color="1F4E79" w:sz="1"/>
              <w:right w:val="single" w:color="1F4E79" w:sz="1"/>
            </w:tcBorders>
            <w:shd w:fill="1F4E79" w:color="auto" w:val="clear"/>
            <w:tcMar>
              <w:top w:type="dxa" w:w="100"/>
              <w:left w:type="dxa" w:w="120"/>
              <w:bottom w:type="dxa" w:w="100"/>
              <w:right w:type="dxa" w:w="120"/>
            </w:tcMar>
            <w:vAlign w:val="center"/>
          </w:tcPr>
          <w:p>
            <w:pPr>
              <w:bidi/>
              <w:spacing w:after="0" w:before="0"/>
              <w:jc w:val="right"/>
            </w:pPr>
            <w:r>
              <w:rPr>
                <w:rFonts w:ascii="Tahoma" w:cs="Tahoma" w:hAnsi="Tahoma"/>
                <w:b/>
                <w:bCs/>
                <w:i w:val="false"/>
                <w:iCs w:val="false"/>
                <w:color w:val="FFFFFF"/>
                <w:sz w:val="22"/>
                <w:szCs w:val="22"/>
                <w:rtl/>
              </w:rPr>
              <w:t xml:space="preserve">معين الذكي</w:t>
            </w:r>
          </w:p>
        </w:tc>
      </w:tr>
      <w:tr>
        <w:tc>
          <w:tcPr>
            <w:tcW w:type="dxa" w:w="17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أشخاص</w:t>
            </w:r>
          </w:p>
        </w:tc>
        <w:tc>
          <w:tcPr>
            <w:tcW w:type="dxa" w:w="38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سلطان بن محمد القاسمي, نضال الأشقر, جواد الأسدي, جمال مطر, ابراهيم الأميري, أحمد الأنصاري, محمد الطريفي, حكيم جاسم, عبد الله الراشد, محمود أبو العباس, مريم سلطان, ناجي الحاي, عائشة عبد الرحمن, أحمد الجسمي, قاسم محمد, هدى الخطيب, بدرية أحمد</w:t>
            </w:r>
          </w:p>
        </w:tc>
        <w:tc>
          <w:tcPr>
            <w:tcW w:type="dxa" w:w="38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صاحب السمو الشيخ الدكتور سلطان بن محمد القاسمي, نضال الأشقر, جواد الأسدي, جمال مطر, ابراهيم الأميري, محمد الطريفي, عبد الله الراشد, مريم سلطان, عائشة عبد الرحمن, أحمد الجسمي, هدى الخطيب, بدرية أحمد, ناجي الحاي, قاسم محمد, أحمد الأنصاري</w:t>
            </w:r>
          </w:p>
        </w:tc>
      </w:tr>
      <w:tr>
        <w:tc>
          <w:tcPr>
            <w:tcW w:type="dxa" w:w="1760"/>
            <w:tcBorders>
              <w:top w:val="single" w:color="BFBFBF" w:sz="1"/>
              <w:left w:val="single" w:color="BFBFBF" w:sz="1"/>
              <w:bottom w:val="single" w:color="BFBFBF" w:sz="1"/>
              <w:right w:val="single" w:color="BFBFBF" w:sz="1"/>
            </w:tcBorders>
            <w:shd w:fill="F2F6FB"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مواقع</w:t>
            </w:r>
          </w:p>
        </w:tc>
        <w:tc>
          <w:tcPr>
            <w:tcW w:type="dxa" w:w="3800"/>
            <w:tcBorders>
              <w:top w:val="single" w:color="BFBFBF" w:sz="1"/>
              <w:left w:val="single" w:color="BFBFBF" w:sz="1"/>
              <w:bottom w:val="single" w:color="BFBFBF" w:sz="1"/>
              <w:right w:val="single" w:color="BFBFBF" w:sz="1"/>
            </w:tcBorders>
            <w:shd w:fill="F2F6FB"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الشارقة, أبوظبي, دبا الفجيرة, دبي, الفجيرة, رأس الخيمة, أم القيوين, دبا الحصن</w:t>
            </w:r>
          </w:p>
        </w:tc>
        <w:tc>
          <w:tcPr>
            <w:tcW w:type="dxa" w:w="3800"/>
            <w:tcBorders>
              <w:top w:val="single" w:color="BFBFBF" w:sz="1"/>
              <w:left w:val="single" w:color="BFBFBF" w:sz="1"/>
              <w:bottom w:val="single" w:color="BFBFBF" w:sz="1"/>
              <w:right w:val="single" w:color="BFBFBF" w:sz="1"/>
            </w:tcBorders>
            <w:shd w:fill="F2F6FB"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الشارقة, أبوظبي, دبا الفجيرة, دبي, رأس الخيمة, أم القيوين, الفجيرة, دبا الحصن, الدوحة</w:t>
            </w:r>
          </w:p>
        </w:tc>
      </w:tr>
      <w:tr>
        <w:tc>
          <w:tcPr>
            <w:tcW w:type="dxa" w:w="17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مؤسسات</w:t>
            </w:r>
          </w:p>
        </w:tc>
        <w:tc>
          <w:tcPr>
            <w:tcW w:type="dxa" w:w="38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المجلس الأعلى, فرقة مسرح الاتحاد, فرقة مسرح دبا الفجيرة, فرقة مسرح دبي الأهلي, فرقة مسرح الشارقة الوطني, فرقة مسرح الفجيرة القومي, فرقة مسرح رأس الخيمة الوطني, فرقة مسرح أم القيوين الوطني, فرقة المسرح الحديث في الشارقة, فرقة مسرح دبا الحصن, فرقة المسرح القومي للشباب في دبي</w:t>
            </w:r>
          </w:p>
        </w:tc>
        <w:tc>
          <w:tcPr>
            <w:tcW w:type="dxa" w:w="38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فرقة مسرح الاتحاد, فرقة مسرح دبا الفجيرة, فرقة مسرح دبي الأهلي, فرقة مسرح الشارقة الوطني, فرقة مسرح الفجيرة القومي, فرقة مسرح رأس الخيمة الوطني, فرقة مسرح أم القيوين الوطني, فرقة المسرح الحديث في الشارقة, فرقة مسرح رأس الخيمة الوطني, فرقة مسرح الشارقة الوطني, فرقة مسرح دبا الحصن, فرقة المسرح القومي للشباب في دبي</w:t>
            </w:r>
          </w:p>
        </w:tc>
      </w:tr>
      <w:tr>
        <w:tc>
          <w:tcPr>
            <w:tcW w:type="dxa" w:w="1760"/>
            <w:tcBorders>
              <w:top w:val="single" w:color="BFBFBF" w:sz="1"/>
              <w:left w:val="single" w:color="BFBFBF" w:sz="1"/>
              <w:bottom w:val="single" w:color="BFBFBF" w:sz="1"/>
              <w:right w:val="single" w:color="BFBFBF" w:sz="1"/>
            </w:tcBorders>
            <w:shd w:fill="F2F6FB"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متنوع</w:t>
            </w:r>
          </w:p>
        </w:tc>
        <w:tc>
          <w:tcPr>
            <w:tcW w:type="dxa" w:w="3800"/>
            <w:tcBorders>
              <w:top w:val="single" w:color="BFBFBF" w:sz="1"/>
              <w:left w:val="single" w:color="BFBFBF" w:sz="1"/>
              <w:bottom w:val="single" w:color="BFBFBF" w:sz="1"/>
              <w:right w:val="single" w:color="BFBFBF" w:sz="1"/>
            </w:tcBorders>
            <w:shd w:fill="F2F6FB"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w:t>
            </w:r>
          </w:p>
        </w:tc>
        <w:tc>
          <w:tcPr>
            <w:tcW w:type="dxa" w:w="3800"/>
            <w:tcBorders>
              <w:top w:val="single" w:color="BFBFBF" w:sz="1"/>
              <w:left w:val="single" w:color="BFBFBF" w:sz="1"/>
              <w:bottom w:val="single" w:color="BFBFBF" w:sz="1"/>
              <w:right w:val="single" w:color="BFBFBF" w:sz="1"/>
            </w:tcBorders>
            <w:shd w:fill="F2F6FB"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الدراماتورغ, العرض المسرحي, النص المسرحي, المفاهيم المسرحية</w:t>
            </w:r>
          </w:p>
        </w:tc>
      </w:tr>
    </w:tbl>
    <w:p>
      <w:pPr>
        <w:pStyle w:val="Heading3"/>
        <w:bidi/>
        <w:spacing w:after="160" w:before="240"/>
        <w:jc w:val="right"/>
      </w:pPr>
      <w:r>
        <w:rPr>
          <w:rFonts w:ascii="Tahoma" w:cs="Tahoma" w:hAnsi="Tahoma"/>
          <w:b/>
          <w:bCs/>
          <w:i w:val="false"/>
          <w:iCs w:val="false"/>
          <w:color w:val="1F4E79"/>
          <w:sz w:val="28"/>
          <w:szCs w:val="28"/>
          <w:rtl/>
        </w:rPr>
        <w:t xml:space="preserve">المهمة الثانية — التلخيص (5.83 /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FBFBF" w:sz="1"/>
              <w:left w:val="single" w:color="BFBFBF" w:sz="1"/>
              <w:bottom w:val="single" w:color="BFBFBF" w:sz="1"/>
              <w:right w:val="single" w:color="BFBFBF" w:sz="1"/>
            </w:tcBorders>
            <w:shd w:fill="F2F6FB" w:color="auto" w:val="clear"/>
            <w:tcMar>
              <w:top w:type="dxa" w:w="120"/>
              <w:left w:type="dxa" w:w="160"/>
              <w:bottom w:type="dxa" w:w="120"/>
              <w:right w:type="dxa" w:w="160"/>
            </w:tcMar>
          </w:tcPr>
          <w:p>
            <w:pPr>
              <w:bidi/>
              <w:spacing w:after="80"/>
              <w:jc w:val="right"/>
            </w:pPr>
            <w:r>
              <w:rPr>
                <w:rFonts w:ascii="Tahoma" w:cs="Tahoma" w:hAnsi="Tahoma"/>
                <w:b/>
                <w:bCs/>
                <w:i w:val="false"/>
                <w:iCs w:val="false"/>
                <w:color w:val="1F4E79"/>
                <w:sz w:val="22"/>
                <w:szCs w:val="22"/>
                <w:rtl/>
              </w:rPr>
              <w:t xml:space="preserve">المرجع (Claude Opus)</w:t>
            </w:r>
          </w:p>
          <w:p>
            <w:pPr>
              <w:bidi/>
              <w:spacing w:after="0" w:line="340"/>
              <w:jc w:val="right"/>
            </w:pPr>
            <w:r>
              <w:rPr>
                <w:rFonts w:ascii="Tahoma" w:cs="Tahoma" w:hAnsi="Tahoma"/>
                <w:b w:val="false"/>
                <w:bCs w:val="false"/>
                <w:i w:val="false"/>
                <w:iCs w:val="false"/>
                <w:color w:val="1A1A1A"/>
                <w:sz w:val="22"/>
                <w:szCs w:val="22"/>
                <w:rtl/>
              </w:rPr>
              <w:t xml:space="preserve">افتُتِحَت الدورة العاشرة لأيام الشارقة المسرحية في السابع والعشرين من مارس برعاية صاحب السمو الشيخ الدكتور سلطان بن محمد القاسمي حاكم الشارقة، وشهدت مشاركة إحدى عشرة فرقة مسرحية قدّمت اثني عشر عملاً تنافست على ثلاث عشرة جائزة، فيما تضمّن الملتقى الفكري المصاحب نقاشات حول إدارة المهرجانات المسرحية العربية والدوريات المتخصصة فضلاً عن التمييز بين دور الدراماتورغ والمخرج. أسفرت نتائج لجنة التحكيم برئاسة الفنانة نضال الأشقر عن فوز مسرحية «ما كان لأحمد بنت سليمان» لفرقة المسرح القومي للشباب في دبي بجائزة أفضل عرض متكامل، ونيل أحمد الأنصاري جائزة أفضل إخراج عن مسرحية «الياثوم»، وحصول أحمد الجسمي على جائزة أفضل ممثل لدور أول، ومنح الفنان العراقي قاسم محمد جائزة أفضل فنان عربي متميز.</w:t>
            </w:r>
          </w:p>
        </w:tc>
        <w:tc>
          <w:tcPr>
            <w:tcW w:type="dxa" w:w="4680"/>
            <w:tcBorders>
              <w:top w:val="single" w:color="BFBFBF" w:sz="1"/>
              <w:left w:val="single" w:color="BFBFBF" w:sz="1"/>
              <w:bottom w:val="single" w:color="BFBFBF" w:sz="1"/>
              <w:right w:val="single" w:color="BFBFBF" w:sz="1"/>
            </w:tcBorders>
            <w:shd w:fill="FFFFFF" w:color="auto" w:val="clear"/>
            <w:tcMar>
              <w:top w:type="dxa" w:w="120"/>
              <w:left w:type="dxa" w:w="160"/>
              <w:bottom w:type="dxa" w:w="120"/>
              <w:right w:type="dxa" w:w="160"/>
            </w:tcMar>
          </w:tcPr>
          <w:p>
            <w:pPr>
              <w:bidi/>
              <w:spacing w:after="80"/>
              <w:jc w:val="right"/>
            </w:pPr>
            <w:r>
              <w:rPr>
                <w:rFonts w:ascii="Tahoma" w:cs="Tahoma" w:hAnsi="Tahoma"/>
                <w:b/>
                <w:bCs/>
                <w:i w:val="false"/>
                <w:iCs w:val="false"/>
                <w:color w:val="1F4E79"/>
                <w:sz w:val="22"/>
                <w:szCs w:val="22"/>
                <w:rtl/>
              </w:rPr>
              <w:t xml:space="preserve">معين الذكي</w:t>
            </w:r>
          </w:p>
          <w:p>
            <w:pPr>
              <w:bidi/>
              <w:spacing w:after="0" w:line="340"/>
              <w:jc w:val="right"/>
            </w:pPr>
            <w:r>
              <w:rPr>
                <w:rFonts w:ascii="Tahoma" w:cs="Tahoma" w:hAnsi="Tahoma"/>
                <w:b w:val="false"/>
                <w:bCs w:val="false"/>
                <w:i w:val="false"/>
                <w:iCs w:val="false"/>
                <w:color w:val="1A1A1A"/>
                <w:sz w:val="22"/>
                <w:szCs w:val="22"/>
                <w:rtl/>
              </w:rPr>
              <w:t xml:space="preserve">انطلقت فعاليات الدورة العاشرة لأيام الشارقة المسرحية برعاية صاحب السمو الشيخ الدكتور سلطان بن محمد القاسمي، وشهدت مشاركة العديد من الفرق المسرحية من مختلف الدول. شهدت الدورة منافسة على جوائز متعددة، وشملت فعاليات مصاحبة تتناول موضوعات مسرحية وفنية مهمة.</w:t>
            </w:r>
          </w:p>
        </w:tc>
      </w:tr>
    </w:tbl>
    <w:p>
      <w:pPr>
        <w:shd w:fill="1F4E79" w:color="auto" w:val="clear"/>
        <w:bidi/>
        <w:spacing w:after="80" w:before="140"/>
        <w:jc w:val="right"/>
      </w:pPr>
      <w:r>
        <w:rPr>
          <w:rFonts w:ascii="Tahoma" w:cs="Tahoma" w:hAnsi="Tahoma"/>
          <w:b/>
          <w:bCs/>
          <w:i w:val="false"/>
          <w:iCs w:val="false"/>
          <w:color w:val="FFFFFF"/>
          <w:sz w:val="22"/>
          <w:szCs w:val="22"/>
          <w:rtl/>
        </w:rPr>
        <w:t xml:space="preserve">  معايير الحَكم:  </w:t>
      </w:r>
      <w:r>
        <w:rPr>
          <w:rFonts w:ascii="Consolas" w:hAnsi="Consolas"/>
          <w:color w:val="FFFFFF"/>
          <w:sz w:val="22"/>
          <w:szCs w:val="22"/>
        </w:rPr>
        <w:t xml:space="preserve">factual=2/3    coverage=1/3    no_inference=1/2    register=2/2</w:t>
      </w:r>
    </w:p>
    <w:p>
      <w:pPr>
        <w:shd w:fill="F2F6FB" w:color="auto" w:val="clear"/>
        <w:bidi/>
        <w:spacing w:after="120" w:before="0" w:line="340"/>
        <w:jc w:val="right"/>
      </w:pPr>
      <w:r>
        <w:rPr>
          <w:rFonts w:ascii="Tahoma" w:cs="Tahoma" w:hAnsi="Tahoma"/>
          <w:b/>
          <w:bCs/>
          <w:i w:val="false"/>
          <w:iCs w:val="false"/>
          <w:color w:val="1F4E79"/>
          <w:sz w:val="22"/>
          <w:szCs w:val="22"/>
          <w:rtl/>
        </w:rPr>
        <w:t xml:space="preserve">تعليق الحَكم: </w:t>
      </w:r>
      <w:r>
        <w:rPr>
          <w:rFonts w:ascii="Tahoma" w:cs="Tahoma" w:hAnsi="Tahoma"/>
          <w:b w:val="false"/>
          <w:bCs w:val="false"/>
          <w:i w:val="false"/>
          <w:iCs w:val="false"/>
          <w:color w:val="1A1A1A"/>
          <w:sz w:val="22"/>
          <w:szCs w:val="22"/>
          <w:rtl/>
        </w:rPr>
        <w:t xml:space="preserve">الملخص صحيح في العموم بشأن انطلاق الدورة العاشرة برعاية حاكم الشارقة ووجود فرق وجوائز وفعاليات مصاحبة، لكنه يفتقد الدقة والتحديد (لا يذكر التواريخ، عدد الفرق/الأعمال/الجوائز، محوري الملتقى الفكري، أو نتائج التحكيم وأبرز الفائزين). كما أضاف تعميماً غير مدعوم بدقة وهو أن الفرق من «مختلف الدول»، بينما المصدر يتحدث عن فرق مسرحية (إماراتية) دون تأكيد مشاركة دول متعددة. اللغة سليمة ومترابطة ولا يوجد نسخ حرفي.</w:t>
      </w:r>
    </w:p>
    <w:p>
      <w:pPr>
        <w:pStyle w:val="Heading3"/>
        <w:bidi/>
        <w:spacing w:after="160" w:before="240"/>
        <w:jc w:val="right"/>
      </w:pPr>
      <w:r>
        <w:rPr>
          <w:rFonts w:ascii="Tahoma" w:cs="Tahoma" w:hAnsi="Tahoma"/>
          <w:b/>
          <w:bCs/>
          <w:i w:val="false"/>
          <w:iCs w:val="false"/>
          <w:color w:val="1F4E79"/>
          <w:sz w:val="28"/>
          <w:szCs w:val="28"/>
          <w:rtl/>
        </w:rPr>
        <w:t xml:space="preserve">المهمة الثالثة — الاستدلال اللغوي (NLI —10.00 /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000"/>
        <w:gridCol w:w="1600"/>
        <w:gridCol w:w="1600"/>
        <w:gridCol w:w="560"/>
      </w:tblGrid>
      <w:tr>
        <w:trPr>
          <w:tblHeader/>
        </w:trPr>
        <w:tc>
          <w:tcPr>
            <w:tcW w:type="dxa" w:w="600"/>
            <w:tcBorders>
              <w:top w:val="single" w:color="1F4E79" w:sz="1"/>
              <w:left w:val="single" w:color="1F4E79" w:sz="1"/>
              <w:bottom w:val="single" w:color="1F4E79" w:sz="1"/>
              <w:right w:val="single" w:color="1F4E79" w:sz="1"/>
            </w:tcBorders>
            <w:shd w:fill="1F4E79" w:color="auto" w:val="clear"/>
            <w:tcMar>
              <w:top w:type="dxa" w:w="100"/>
              <w:left w:type="dxa" w:w="120"/>
              <w:bottom w:type="dxa" w:w="100"/>
              <w:right w:type="dxa" w:w="120"/>
            </w:tcMar>
            <w:vAlign w:val="center"/>
          </w:tcPr>
          <w:p>
            <w:pPr>
              <w:bidi/>
              <w:spacing w:after="0" w:before="0"/>
              <w:jc w:val="right"/>
            </w:pPr>
            <w:r>
              <w:rPr>
                <w:rFonts w:ascii="Tahoma" w:cs="Tahoma" w:hAnsi="Tahoma"/>
                <w:b/>
                <w:bCs/>
                <w:i w:val="false"/>
                <w:iCs w:val="false"/>
                <w:color w:val="FFFFFF"/>
                <w:sz w:val="22"/>
                <w:szCs w:val="22"/>
                <w:rtl/>
              </w:rPr>
              <w:t xml:space="preserve">#</w:t>
            </w:r>
          </w:p>
        </w:tc>
        <w:tc>
          <w:tcPr>
            <w:tcW w:type="dxa" w:w="5000"/>
            <w:tcBorders>
              <w:top w:val="single" w:color="1F4E79" w:sz="1"/>
              <w:left w:val="single" w:color="1F4E79" w:sz="1"/>
              <w:bottom w:val="single" w:color="1F4E79" w:sz="1"/>
              <w:right w:val="single" w:color="1F4E79" w:sz="1"/>
            </w:tcBorders>
            <w:shd w:fill="1F4E79" w:color="auto" w:val="clear"/>
            <w:tcMar>
              <w:top w:type="dxa" w:w="100"/>
              <w:left w:type="dxa" w:w="120"/>
              <w:bottom w:type="dxa" w:w="100"/>
              <w:right w:type="dxa" w:w="120"/>
            </w:tcMar>
            <w:vAlign w:val="center"/>
          </w:tcPr>
          <w:p>
            <w:pPr>
              <w:bidi/>
              <w:spacing w:after="0" w:before="0"/>
              <w:jc w:val="right"/>
            </w:pPr>
            <w:r>
              <w:rPr>
                <w:rFonts w:ascii="Tahoma" w:cs="Tahoma" w:hAnsi="Tahoma"/>
                <w:b/>
                <w:bCs/>
                <w:i w:val="false"/>
                <w:iCs w:val="false"/>
                <w:color w:val="FFFFFF"/>
                <w:sz w:val="22"/>
                <w:szCs w:val="22"/>
                <w:rtl/>
              </w:rPr>
              <w:t xml:space="preserve">نص الادعاء</w:t>
            </w:r>
          </w:p>
        </w:tc>
        <w:tc>
          <w:tcPr>
            <w:tcW w:type="dxa" w:w="1600"/>
            <w:tcBorders>
              <w:top w:val="single" w:color="1F4E79" w:sz="1"/>
              <w:left w:val="single" w:color="1F4E79" w:sz="1"/>
              <w:bottom w:val="single" w:color="1F4E79" w:sz="1"/>
              <w:right w:val="single" w:color="1F4E79" w:sz="1"/>
            </w:tcBorders>
            <w:shd w:fill="1F4E79" w:color="auto" w:val="clear"/>
            <w:tcMar>
              <w:top w:type="dxa" w:w="100"/>
              <w:left w:type="dxa" w:w="120"/>
              <w:bottom w:type="dxa" w:w="100"/>
              <w:right w:type="dxa" w:w="120"/>
            </w:tcMar>
            <w:vAlign w:val="center"/>
          </w:tcPr>
          <w:p>
            <w:pPr>
              <w:bidi/>
              <w:spacing w:after="0" w:before="0"/>
              <w:jc w:val="right"/>
            </w:pPr>
            <w:r>
              <w:rPr>
                <w:rFonts w:ascii="Tahoma" w:cs="Tahoma" w:hAnsi="Tahoma"/>
                <w:b/>
                <w:bCs/>
                <w:i w:val="false"/>
                <w:iCs w:val="false"/>
                <w:color w:val="FFFFFF"/>
                <w:sz w:val="22"/>
                <w:szCs w:val="22"/>
                <w:rtl/>
              </w:rPr>
              <w:t xml:space="preserve">المرجع</w:t>
            </w:r>
          </w:p>
        </w:tc>
        <w:tc>
          <w:tcPr>
            <w:tcW w:type="dxa" w:w="1600"/>
            <w:tcBorders>
              <w:top w:val="single" w:color="1F4E79" w:sz="1"/>
              <w:left w:val="single" w:color="1F4E79" w:sz="1"/>
              <w:bottom w:val="single" w:color="1F4E79" w:sz="1"/>
              <w:right w:val="single" w:color="1F4E79" w:sz="1"/>
            </w:tcBorders>
            <w:shd w:fill="1F4E79" w:color="auto" w:val="clear"/>
            <w:tcMar>
              <w:top w:type="dxa" w:w="100"/>
              <w:left w:type="dxa" w:w="120"/>
              <w:bottom w:type="dxa" w:w="100"/>
              <w:right w:type="dxa" w:w="120"/>
            </w:tcMar>
            <w:vAlign w:val="center"/>
          </w:tcPr>
          <w:p>
            <w:pPr>
              <w:bidi/>
              <w:spacing w:after="0" w:before="0"/>
              <w:jc w:val="right"/>
            </w:pPr>
            <w:r>
              <w:rPr>
                <w:rFonts w:ascii="Tahoma" w:cs="Tahoma" w:hAnsi="Tahoma"/>
                <w:b/>
                <w:bCs/>
                <w:i w:val="false"/>
                <w:iCs w:val="false"/>
                <w:color w:val="FFFFFF"/>
                <w:sz w:val="22"/>
                <w:szCs w:val="22"/>
                <w:rtl/>
              </w:rPr>
              <w:t xml:space="preserve">معين</w:t>
            </w:r>
          </w:p>
        </w:tc>
        <w:tc>
          <w:tcPr>
            <w:tcW w:type="dxa" w:w="560"/>
            <w:tcBorders>
              <w:top w:val="single" w:color="1F4E79" w:sz="1"/>
              <w:left w:val="single" w:color="1F4E79" w:sz="1"/>
              <w:bottom w:val="single" w:color="1F4E79" w:sz="1"/>
              <w:right w:val="single" w:color="1F4E79" w:sz="1"/>
            </w:tcBorders>
            <w:shd w:fill="1F4E79" w:color="auto" w:val="clear"/>
            <w:tcMar>
              <w:top w:type="dxa" w:w="100"/>
              <w:left w:type="dxa" w:w="120"/>
              <w:bottom w:type="dxa" w:w="100"/>
              <w:right w:type="dxa" w:w="120"/>
            </w:tcMar>
            <w:vAlign w:val="center"/>
          </w:tcPr>
          <w:p>
            <w:pPr>
              <w:bidi/>
              <w:spacing w:after="0" w:before="0"/>
              <w:jc w:val="right"/>
            </w:pPr>
            <w:r>
              <w:rPr>
                <w:rFonts w:ascii="Tahoma" w:cs="Tahoma" w:hAnsi="Tahoma"/>
                <w:b/>
                <w:bCs/>
                <w:i w:val="false"/>
                <w:iCs w:val="false"/>
                <w:color w:val="FFFFFF"/>
                <w:sz w:val="22"/>
                <w:szCs w:val="22"/>
                <w:rtl/>
              </w:rPr>
              <w:t xml:space="preserve">المطابقة</w:t>
            </w:r>
          </w:p>
        </w:tc>
      </w:tr>
      <w:tr>
        <w:tc>
          <w:tcPr>
            <w:tcW w:type="dxa" w:w="6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1</w:t>
            </w:r>
          </w:p>
        </w:tc>
        <w:tc>
          <w:tcPr>
            <w:tcW w:type="dxa" w:w="50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بدأت فعاليات الدورة العاشرة لأيام الشارقة المسرحية في السابع والعشرين من مارس...</w:t>
            </w:r>
          </w:p>
        </w:tc>
        <w:tc>
          <w:tcPr>
            <w:tcW w:type="dxa" w:w="16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SUPPORTED</w:t>
            </w:r>
          </w:p>
        </w:tc>
        <w:tc>
          <w:tcPr>
            <w:tcW w:type="dxa" w:w="16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SUPPORTED</w:t>
            </w:r>
          </w:p>
        </w:tc>
        <w:tc>
          <w:tcPr>
            <w:tcW w:type="dxa" w:w="5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w:t>
            </w:r>
          </w:p>
        </w:tc>
      </w:tr>
      <w:tr>
        <w:tc>
          <w:tcPr>
            <w:tcW w:type="dxa" w:w="600"/>
            <w:tcBorders>
              <w:top w:val="single" w:color="BFBFBF" w:sz="1"/>
              <w:left w:val="single" w:color="BFBFBF" w:sz="1"/>
              <w:bottom w:val="single" w:color="BFBFBF" w:sz="1"/>
              <w:right w:val="single" w:color="BFBFBF" w:sz="1"/>
            </w:tcBorders>
            <w:shd w:fill="F2F6FB"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2</w:t>
            </w:r>
          </w:p>
        </w:tc>
        <w:tc>
          <w:tcPr>
            <w:tcW w:type="dxa" w:w="5000"/>
            <w:tcBorders>
              <w:top w:val="single" w:color="BFBFBF" w:sz="1"/>
              <w:left w:val="single" w:color="BFBFBF" w:sz="1"/>
              <w:bottom w:val="single" w:color="BFBFBF" w:sz="1"/>
              <w:right w:val="single" w:color="BFBFBF" w:sz="1"/>
            </w:tcBorders>
            <w:shd w:fill="F2F6FB"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فاز الفنان أحمد الأنصاري بجائزة أفضل إخراج عن عمله في مسرحية الياثوم</w:t>
            </w:r>
          </w:p>
        </w:tc>
        <w:tc>
          <w:tcPr>
            <w:tcW w:type="dxa" w:w="1600"/>
            <w:tcBorders>
              <w:top w:val="single" w:color="BFBFBF" w:sz="1"/>
              <w:left w:val="single" w:color="BFBFBF" w:sz="1"/>
              <w:bottom w:val="single" w:color="BFBFBF" w:sz="1"/>
              <w:right w:val="single" w:color="BFBFBF" w:sz="1"/>
            </w:tcBorders>
            <w:shd w:fill="F2F6FB"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SUPPORTED</w:t>
            </w:r>
          </w:p>
        </w:tc>
        <w:tc>
          <w:tcPr>
            <w:tcW w:type="dxa" w:w="1600"/>
            <w:tcBorders>
              <w:top w:val="single" w:color="BFBFBF" w:sz="1"/>
              <w:left w:val="single" w:color="BFBFBF" w:sz="1"/>
              <w:bottom w:val="single" w:color="BFBFBF" w:sz="1"/>
              <w:right w:val="single" w:color="BFBFBF" w:sz="1"/>
            </w:tcBorders>
            <w:shd w:fill="F2F6FB"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SUPPORTED</w:t>
            </w:r>
          </w:p>
        </w:tc>
        <w:tc>
          <w:tcPr>
            <w:tcW w:type="dxa" w:w="560"/>
            <w:tcBorders>
              <w:top w:val="single" w:color="BFBFBF" w:sz="1"/>
              <w:left w:val="single" w:color="BFBFBF" w:sz="1"/>
              <w:bottom w:val="single" w:color="BFBFBF" w:sz="1"/>
              <w:right w:val="single" w:color="BFBFBF" w:sz="1"/>
            </w:tcBorders>
            <w:shd w:fill="F2F6FB"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w:t>
            </w:r>
          </w:p>
        </w:tc>
      </w:tr>
      <w:tr>
        <w:tc>
          <w:tcPr>
            <w:tcW w:type="dxa" w:w="6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3</w:t>
            </w:r>
          </w:p>
        </w:tc>
        <w:tc>
          <w:tcPr>
            <w:tcW w:type="dxa" w:w="50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حصل الممثل أحمد الجسمي على جائزة أفضل ممثل لدور أول عن أدائه في مسرحية الياثوم</w:t>
            </w:r>
          </w:p>
        </w:tc>
        <w:tc>
          <w:tcPr>
            <w:tcW w:type="dxa" w:w="16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REFUTED</w:t>
            </w:r>
          </w:p>
        </w:tc>
        <w:tc>
          <w:tcPr>
            <w:tcW w:type="dxa" w:w="16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REFUTED</w:t>
            </w:r>
          </w:p>
        </w:tc>
        <w:tc>
          <w:tcPr>
            <w:tcW w:type="dxa" w:w="5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w:t>
            </w:r>
          </w:p>
        </w:tc>
      </w:tr>
      <w:tr>
        <w:tc>
          <w:tcPr>
            <w:tcW w:type="dxa" w:w="600"/>
            <w:tcBorders>
              <w:top w:val="single" w:color="BFBFBF" w:sz="1"/>
              <w:left w:val="single" w:color="BFBFBF" w:sz="1"/>
              <w:bottom w:val="single" w:color="BFBFBF" w:sz="1"/>
              <w:right w:val="single" w:color="BFBFBF" w:sz="1"/>
            </w:tcBorders>
            <w:shd w:fill="F2F6FB"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4</w:t>
            </w:r>
          </w:p>
        </w:tc>
        <w:tc>
          <w:tcPr>
            <w:tcW w:type="dxa" w:w="5000"/>
            <w:tcBorders>
              <w:top w:val="single" w:color="BFBFBF" w:sz="1"/>
              <w:left w:val="single" w:color="BFBFBF" w:sz="1"/>
              <w:bottom w:val="single" w:color="BFBFBF" w:sz="1"/>
              <w:right w:val="single" w:color="BFBFBF" w:sz="1"/>
            </w:tcBorders>
            <w:shd w:fill="F2F6FB"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شهدت الدورة العاشرة حضور وفود مسرحية من دول خليجية مجاورة خارج الإمارات</w:t>
            </w:r>
          </w:p>
        </w:tc>
        <w:tc>
          <w:tcPr>
            <w:tcW w:type="dxa" w:w="1600"/>
            <w:tcBorders>
              <w:top w:val="single" w:color="BFBFBF" w:sz="1"/>
              <w:left w:val="single" w:color="BFBFBF" w:sz="1"/>
              <w:bottom w:val="single" w:color="BFBFBF" w:sz="1"/>
              <w:right w:val="single" w:color="BFBFBF" w:sz="1"/>
            </w:tcBorders>
            <w:shd w:fill="F2F6FB"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NOT_ENOUGH_INFO</w:t>
            </w:r>
          </w:p>
        </w:tc>
        <w:tc>
          <w:tcPr>
            <w:tcW w:type="dxa" w:w="1600"/>
            <w:tcBorders>
              <w:top w:val="single" w:color="BFBFBF" w:sz="1"/>
              <w:left w:val="single" w:color="BFBFBF" w:sz="1"/>
              <w:bottom w:val="single" w:color="BFBFBF" w:sz="1"/>
              <w:right w:val="single" w:color="BFBFBF" w:sz="1"/>
            </w:tcBorders>
            <w:shd w:fill="F2F6FB"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NOT_ENOUGH_INFO</w:t>
            </w:r>
          </w:p>
        </w:tc>
        <w:tc>
          <w:tcPr>
            <w:tcW w:type="dxa" w:w="560"/>
            <w:tcBorders>
              <w:top w:val="single" w:color="BFBFBF" w:sz="1"/>
              <w:left w:val="single" w:color="BFBFBF" w:sz="1"/>
              <w:bottom w:val="single" w:color="BFBFBF" w:sz="1"/>
              <w:right w:val="single" w:color="BFBFBF" w:sz="1"/>
            </w:tcBorders>
            <w:shd w:fill="F2F6FB"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w:t>
            </w:r>
          </w:p>
        </w:tc>
      </w:tr>
    </w:tbl>
    <w:p>
      <w:pPr>
        <w:pStyle w:val="Heading3"/>
        <w:bidi/>
        <w:spacing w:after="160" w:before="240"/>
        <w:jc w:val="right"/>
      </w:pPr>
      <w:r>
        <w:rPr>
          <w:rFonts w:ascii="Tahoma" w:cs="Tahoma" w:hAnsi="Tahoma"/>
          <w:b/>
          <w:bCs/>
          <w:i w:val="false"/>
          <w:iCs w:val="false"/>
          <w:color w:val="1F4E79"/>
          <w:sz w:val="28"/>
          <w:szCs w:val="28"/>
          <w:rtl/>
        </w:rPr>
        <w:t xml:space="preserve">المهمة الرابعة — الترجمة (5.50 / 10)</w:t>
      </w:r>
    </w:p>
    <w:p>
      <w:pPr>
        <w:bidi/>
        <w:spacing w:after="60" w:before="100"/>
        <w:jc w:val="right"/>
      </w:pPr>
      <w:r>
        <w:rPr>
          <w:rFonts w:ascii="Tahoma" w:cs="Tahoma" w:hAnsi="Tahoma"/>
          <w:b/>
          <w:bCs/>
          <w:i w:val="false"/>
          <w:iCs w:val="false"/>
          <w:color w:val="2E75B6"/>
          <w:sz w:val="22"/>
          <w:szCs w:val="22"/>
          <w:rtl/>
        </w:rPr>
        <w:t xml:space="preserve">المصدر الإنجليزي (نص اختبار الترجمة):</w:t>
      </w:r>
    </w:p>
    <w:p>
      <w:pPr>
        <w:shd w:fill="F2F6FB" w:color="auto" w:val="clear"/>
        <w:spacing w:after="160" w:before="0" w:line="320"/>
        <w:jc w:val="left"/>
      </w:pPr>
      <w:r>
        <w:rPr>
          <w:rFonts w:ascii="Calibri" w:cs="Tahoma" w:hAnsi="Calibri"/>
          <w:b w:val="false"/>
          <w:bCs w:val="false"/>
          <w:i/>
          <w:iCs/>
          <w:color w:val="595959"/>
          <w:sz w:val="22"/>
          <w:szCs w:val="22"/>
        </w:rPr>
        <w:t xml:space="preserve">The 10th Sharjah Theatre Days, held under the patronage of His Highness Sheikh Dr. Sultan bin Muhammad Al Qasimi, Ruler of Sharjah, took place from March 27 to April 5, featuring twelve theatrical works performed by eleven troupes competing for thirteen awards. The accompanying intellectual forum addressed...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FBFBF" w:sz="1"/>
              <w:left w:val="single" w:color="BFBFBF" w:sz="1"/>
              <w:bottom w:val="single" w:color="BFBFBF" w:sz="1"/>
              <w:right w:val="single" w:color="BFBFBF" w:sz="1"/>
            </w:tcBorders>
            <w:shd w:fill="F2F6FB" w:color="auto" w:val="clear"/>
            <w:tcMar>
              <w:top w:type="dxa" w:w="120"/>
              <w:left w:type="dxa" w:w="160"/>
              <w:bottom w:type="dxa" w:w="120"/>
              <w:right w:type="dxa" w:w="160"/>
            </w:tcMar>
          </w:tcPr>
          <w:p>
            <w:pPr>
              <w:bidi/>
              <w:spacing w:after="80"/>
              <w:jc w:val="right"/>
            </w:pPr>
            <w:r>
              <w:rPr>
                <w:rFonts w:ascii="Tahoma" w:cs="Tahoma" w:hAnsi="Tahoma"/>
                <w:b/>
                <w:bCs/>
                <w:i w:val="false"/>
                <w:iCs w:val="false"/>
                <w:color w:val="1F4E79"/>
                <w:sz w:val="22"/>
                <w:szCs w:val="22"/>
                <w:rtl/>
              </w:rPr>
              <w:t xml:space="preserve">المرجع (Claude Opus)</w:t>
            </w:r>
          </w:p>
          <w:p>
            <w:pPr>
              <w:bidi/>
              <w:spacing w:after="0" w:line="340"/>
              <w:jc w:val="right"/>
            </w:pPr>
            <w:r>
              <w:rPr>
                <w:rFonts w:ascii="Tahoma" w:cs="Tahoma" w:hAnsi="Tahoma"/>
                <w:b w:val="false"/>
                <w:bCs w:val="false"/>
                <w:i w:val="false"/>
                <w:iCs w:val="false"/>
                <w:color w:val="1A1A1A"/>
                <w:sz w:val="22"/>
                <w:szCs w:val="22"/>
                <w:rtl/>
              </w:rPr>
              <w:t xml:space="preserve">أُقيمت الدورة العاشرة لأيام الشارقة المسرحية برعاية صاحب السمو الشيخ الدكتور سلطان بن محمد القاسمي حاكم الشارقة، في الفترة من السابع والعشرين من مارس حتى الخامس من أبريل، وشارك فيها إحدى عشرة فرقة مسرحية قدّمت اثني عشر عملاً مسرحياً تنافست على ثلاث عشرة جائزة. وتناول الملتقى الفكري المصاحب محورين رئيسيين: لقاءات تداولية بين مديري المهرجانات المسرحية العربية ورؤساء تحرير الدوريات المعنية بالشأن المسرحي، ونقاش حول الفوارق بين عمل الدراماتورغ والمخرج في الفن المسرحي. وأعلنت لجنة التحكيم برئاسة الفنانة نضال الأشقر النتائج النهائية، حيث فازت مسرحية «ما كان لأحمد بنت سليمان» بجائزة أفضل عرض مسرحي متكامل، ونال أحمد الأنصاري جائزة أفضل إخراج عن مسرحية «الياثوم»، وحصل الفنان العراقي قاسم محمد على جائزة أفضل فنان عربي متميز.</w:t>
            </w:r>
          </w:p>
        </w:tc>
        <w:tc>
          <w:tcPr>
            <w:tcW w:type="dxa" w:w="4680"/>
            <w:tcBorders>
              <w:top w:val="single" w:color="BFBFBF" w:sz="1"/>
              <w:left w:val="single" w:color="BFBFBF" w:sz="1"/>
              <w:bottom w:val="single" w:color="BFBFBF" w:sz="1"/>
              <w:right w:val="single" w:color="BFBFBF" w:sz="1"/>
            </w:tcBorders>
            <w:shd w:fill="FFFFFF" w:color="auto" w:val="clear"/>
            <w:tcMar>
              <w:top w:type="dxa" w:w="120"/>
              <w:left w:type="dxa" w:w="160"/>
              <w:bottom w:type="dxa" w:w="120"/>
              <w:right w:type="dxa" w:w="160"/>
            </w:tcMar>
          </w:tcPr>
          <w:p>
            <w:pPr>
              <w:bidi/>
              <w:spacing w:after="80"/>
              <w:jc w:val="right"/>
            </w:pPr>
            <w:r>
              <w:rPr>
                <w:rFonts w:ascii="Tahoma" w:cs="Tahoma" w:hAnsi="Tahoma"/>
                <w:b/>
                <w:bCs/>
                <w:i w:val="false"/>
                <w:iCs w:val="false"/>
                <w:color w:val="1F4E79"/>
                <w:sz w:val="22"/>
                <w:szCs w:val="22"/>
                <w:rtl/>
              </w:rPr>
              <w:t xml:space="preserve">معين الذكي</w:t>
            </w:r>
          </w:p>
          <w:p>
            <w:pPr>
              <w:bidi/>
              <w:spacing w:after="0" w:line="340"/>
              <w:jc w:val="right"/>
            </w:pPr>
            <w:r>
              <w:rPr>
                <w:rFonts w:ascii="Tahoma" w:cs="Tahoma" w:hAnsi="Tahoma"/>
                <w:b w:val="false"/>
                <w:bCs w:val="false"/>
                <w:i w:val="false"/>
                <w:iCs w:val="false"/>
                <w:color w:val="1A1A1A"/>
                <w:sz w:val="22"/>
                <w:szCs w:val="22"/>
                <w:rtl/>
              </w:rPr>
              <w:t xml:space="preserve">انطلقت فعاليات الدورة العاشرة لأيام الشارقة المسرحية مساء 27 مارس برعاية صاحب السمو الشيخ الدكتور سلطان بن محمد القاسمي، عضو المجلس الأعلى حاكم الشارقة، وبعرض مسرحية 'القضية'، إحدى أعماله المسرحية، واختتمت مساء 5 أبريل، حيث شاركت إحدى عشرة فرق مسرحية قدمت اثني عشر عملاً مسرحياً... [النص مطوّل ويضيف تفاصيل أبعد بكثير من المصدر الأصلي، مع سرد كامل لعناوين العروض والفرق وقائمة طويلة بالجوائز الفرعية وأسماء الفائزين].</w:t>
            </w:r>
          </w:p>
        </w:tc>
      </w:tr>
    </w:tbl>
    <w:p>
      <w:pPr>
        <w:shd w:fill="1F4E79" w:color="auto" w:val="clear"/>
        <w:bidi/>
        <w:spacing w:after="80" w:before="140"/>
        <w:jc w:val="right"/>
      </w:pPr>
      <w:r>
        <w:rPr>
          <w:rFonts w:ascii="Tahoma" w:cs="Tahoma" w:hAnsi="Tahoma"/>
          <w:b/>
          <w:bCs/>
          <w:i w:val="false"/>
          <w:iCs w:val="false"/>
          <w:color w:val="FFFFFF"/>
          <w:sz w:val="22"/>
          <w:szCs w:val="22"/>
          <w:rtl/>
        </w:rPr>
        <w:t xml:space="preserve">  معايير الحَكم:  </w:t>
      </w:r>
      <w:r>
        <w:rPr>
          <w:rFonts w:ascii="Consolas" w:hAnsi="Consolas"/>
          <w:color w:val="FFFFFF"/>
          <w:sz w:val="22"/>
          <w:szCs w:val="22"/>
        </w:rPr>
        <w:t xml:space="preserve">faithfulness=0/3    fluency=2/3    terminology=2/2    register=2/2</w:t>
      </w:r>
    </w:p>
    <w:p>
      <w:pPr>
        <w:shd w:fill="F2F6FB" w:color="auto" w:val="clear"/>
        <w:bidi/>
        <w:spacing w:after="120" w:before="0" w:line="340"/>
        <w:jc w:val="right"/>
      </w:pPr>
      <w:r>
        <w:rPr>
          <w:rFonts w:ascii="Tahoma" w:cs="Tahoma" w:hAnsi="Tahoma"/>
          <w:b/>
          <w:bCs/>
          <w:i w:val="false"/>
          <w:iCs w:val="false"/>
          <w:color w:val="1F4E79"/>
          <w:sz w:val="22"/>
          <w:szCs w:val="22"/>
          <w:rtl/>
        </w:rPr>
        <w:t xml:space="preserve">تعليق الحَكم: </w:t>
      </w:r>
      <w:r>
        <w:rPr>
          <w:rFonts w:ascii="Tahoma" w:cs="Tahoma" w:hAnsi="Tahoma"/>
          <w:b w:val="false"/>
          <w:bCs w:val="false"/>
          <w:i w:val="false"/>
          <w:iCs w:val="false"/>
          <w:color w:val="1A1A1A"/>
          <w:sz w:val="22"/>
          <w:szCs w:val="22"/>
          <w:rtl/>
        </w:rPr>
        <w:t xml:space="preserve">الترجمة العربية سليمة لغويًا وبأسلوب صحفي فصيح، وتستخدم مصطلحات مسرحية دقيقة. لكنها غير أمينة للمصدر والمرجع: أضافت كمًا كبيرًا من المعلومات غير الموجودة (افتتاح بعرض «القضية»، سرد كامل لعناوين العروض والفرق، وتفاصيل موسعة جدًا، وقائمة طويلة بنتائج جوائز فرعية وأسماء فائزين) بينما النص الإنجليزي/المرجع يذكر فقط الإطار العام و3 نتائج رئيسية. هذا يُعد إضافة جوهرية.</w:t>
      </w:r>
    </w:p>
    <w:p>
      <w:r>
        <w:br w:type="page"/>
      </w:r>
    </w:p>
    <w:p>
      <w:pPr>
        <w:pStyle w:val="Heading1"/>
        <w:bidi/>
        <w:spacing w:after="160" w:before="360"/>
        <w:jc w:val="right"/>
      </w:pPr>
      <w:r>
        <w:rPr>
          <w:rFonts w:ascii="Tahoma" w:cs="Tahoma" w:hAnsi="Tahoma"/>
          <w:b/>
          <w:bCs/>
          <w:i w:val="false"/>
          <w:iCs w:val="false"/>
          <w:color w:val="1F4E79"/>
          <w:sz w:val="40"/>
          <w:szCs w:val="40"/>
          <w:rtl/>
        </w:rPr>
        <w:t xml:space="preserve">المثال الثاني — الاقتصاد والمال (FINANCE_029)</w:t>
      </w:r>
    </w:p>
    <w:p>
      <w:pPr>
        <w:bidi/>
        <w:spacing w:after="160" w:before="0" w:line="360"/>
        <w:jc w:val="right"/>
      </w:pPr>
      <w:r>
        <w:rPr>
          <w:rFonts w:ascii="Tahoma" w:cs="Tahoma" w:hAnsi="Tahoma"/>
          <w:b/>
          <w:bCs/>
          <w:i w:val="false"/>
          <w:iCs w:val="false"/>
          <w:color w:val="2E75B6"/>
          <w:sz w:val="24"/>
          <w:szCs w:val="24"/>
          <w:rtl/>
        </w:rPr>
        <w:t xml:space="preserve">العنوان: </w:t>
      </w:r>
      <w:r>
        <w:rPr>
          <w:rFonts w:ascii="Tahoma" w:cs="Tahoma" w:hAnsi="Tahoma"/>
          <w:b w:val="false"/>
          <w:bCs w:val="false"/>
          <w:i w:val="false"/>
          <w:iCs w:val="false"/>
          <w:color w:val="1A1A1A"/>
          <w:sz w:val="24"/>
          <w:szCs w:val="24"/>
          <w:rtl/>
        </w:rPr>
        <w:t xml:space="preserve">استمرت التحركات السعرية البطيئة في أسواق الأسهم المحلية برغم التقلبات الحادة في الأسواق العالمية ليغ...</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1F4E79" w:sz="1"/>
              <w:left w:val="single" w:color="1F4E79" w:sz="1"/>
              <w:bottom w:val="single" w:color="1F4E79" w:sz="1"/>
              <w:right w:val="single" w:color="1F4E79" w:sz="1"/>
            </w:tcBorders>
            <w:shd w:fill="1F4E79" w:color="auto" w:val="clear"/>
            <w:tcMar>
              <w:top w:type="dxa" w:w="100"/>
              <w:left w:type="dxa" w:w="120"/>
              <w:bottom w:type="dxa" w:w="100"/>
              <w:right w:type="dxa" w:w="120"/>
            </w:tcMar>
            <w:vAlign w:val="center"/>
          </w:tcPr>
          <w:p>
            <w:pPr>
              <w:bidi/>
              <w:spacing w:after="0" w:before="0"/>
              <w:jc w:val="right"/>
            </w:pPr>
            <w:r>
              <w:rPr>
                <w:rFonts w:ascii="Tahoma" w:cs="Tahoma" w:hAnsi="Tahoma"/>
                <w:b/>
                <w:bCs/>
                <w:i w:val="false"/>
                <w:iCs w:val="false"/>
                <w:color w:val="FFFFFF"/>
                <w:sz w:val="22"/>
                <w:szCs w:val="22"/>
                <w:rtl/>
              </w:rPr>
              <w:t xml:space="preserve">المعدل العام</w:t>
            </w:r>
          </w:p>
        </w:tc>
        <w:tc>
          <w:tcPr>
            <w:tcW w:type="dxa" w:w="1872"/>
            <w:tcBorders>
              <w:top w:val="single" w:color="1F4E79" w:sz="1"/>
              <w:left w:val="single" w:color="1F4E79" w:sz="1"/>
              <w:bottom w:val="single" w:color="1F4E79" w:sz="1"/>
              <w:right w:val="single" w:color="1F4E79" w:sz="1"/>
            </w:tcBorders>
            <w:shd w:fill="1F4E79" w:color="auto" w:val="clear"/>
            <w:tcMar>
              <w:top w:type="dxa" w:w="100"/>
              <w:left w:type="dxa" w:w="120"/>
              <w:bottom w:type="dxa" w:w="100"/>
              <w:right w:type="dxa" w:w="120"/>
            </w:tcMar>
            <w:vAlign w:val="center"/>
          </w:tcPr>
          <w:p>
            <w:pPr>
              <w:bidi/>
              <w:spacing w:after="0" w:before="0"/>
              <w:jc w:val="right"/>
            </w:pPr>
            <w:r>
              <w:rPr>
                <w:rFonts w:ascii="Tahoma" w:cs="Tahoma" w:hAnsi="Tahoma"/>
                <w:b/>
                <w:bCs/>
                <w:i w:val="false"/>
                <w:iCs w:val="false"/>
                <w:color w:val="FFFFFF"/>
                <w:sz w:val="22"/>
                <w:szCs w:val="22"/>
                <w:rtl/>
              </w:rPr>
              <w:t xml:space="preserve">NER</w:t>
            </w:r>
          </w:p>
        </w:tc>
        <w:tc>
          <w:tcPr>
            <w:tcW w:type="dxa" w:w="1872"/>
            <w:tcBorders>
              <w:top w:val="single" w:color="1F4E79" w:sz="1"/>
              <w:left w:val="single" w:color="1F4E79" w:sz="1"/>
              <w:bottom w:val="single" w:color="1F4E79" w:sz="1"/>
              <w:right w:val="single" w:color="1F4E79" w:sz="1"/>
            </w:tcBorders>
            <w:shd w:fill="1F4E79" w:color="auto" w:val="clear"/>
            <w:tcMar>
              <w:top w:type="dxa" w:w="100"/>
              <w:left w:type="dxa" w:w="120"/>
              <w:bottom w:type="dxa" w:w="100"/>
              <w:right w:type="dxa" w:w="120"/>
            </w:tcMar>
            <w:vAlign w:val="center"/>
          </w:tcPr>
          <w:p>
            <w:pPr>
              <w:bidi/>
              <w:spacing w:after="0" w:before="0"/>
              <w:jc w:val="right"/>
            </w:pPr>
            <w:r>
              <w:rPr>
                <w:rFonts w:ascii="Tahoma" w:cs="Tahoma" w:hAnsi="Tahoma"/>
                <w:b/>
                <w:bCs/>
                <w:i w:val="false"/>
                <w:iCs w:val="false"/>
                <w:color w:val="FFFFFF"/>
                <w:sz w:val="22"/>
                <w:szCs w:val="22"/>
                <w:rtl/>
              </w:rPr>
              <w:t xml:space="preserve">NLI</w:t>
            </w:r>
          </w:p>
        </w:tc>
        <w:tc>
          <w:tcPr>
            <w:tcW w:type="dxa" w:w="1872"/>
            <w:tcBorders>
              <w:top w:val="single" w:color="1F4E79" w:sz="1"/>
              <w:left w:val="single" w:color="1F4E79" w:sz="1"/>
              <w:bottom w:val="single" w:color="1F4E79" w:sz="1"/>
              <w:right w:val="single" w:color="1F4E79" w:sz="1"/>
            </w:tcBorders>
            <w:shd w:fill="1F4E79" w:color="auto" w:val="clear"/>
            <w:tcMar>
              <w:top w:type="dxa" w:w="100"/>
              <w:left w:type="dxa" w:w="120"/>
              <w:bottom w:type="dxa" w:w="100"/>
              <w:right w:type="dxa" w:w="120"/>
            </w:tcMar>
            <w:vAlign w:val="center"/>
          </w:tcPr>
          <w:p>
            <w:pPr>
              <w:bidi/>
              <w:spacing w:after="0" w:before="0"/>
              <w:jc w:val="right"/>
            </w:pPr>
            <w:r>
              <w:rPr>
                <w:rFonts w:ascii="Tahoma" w:cs="Tahoma" w:hAnsi="Tahoma"/>
                <w:b/>
                <w:bCs/>
                <w:i w:val="false"/>
                <w:iCs w:val="false"/>
                <w:color w:val="FFFFFF"/>
                <w:sz w:val="22"/>
                <w:szCs w:val="22"/>
                <w:rtl/>
              </w:rPr>
              <w:t xml:space="preserve">التلخيص</w:t>
            </w:r>
          </w:p>
        </w:tc>
        <w:tc>
          <w:tcPr>
            <w:tcW w:type="dxa" w:w="1872"/>
            <w:tcBorders>
              <w:top w:val="single" w:color="1F4E79" w:sz="1"/>
              <w:left w:val="single" w:color="1F4E79" w:sz="1"/>
              <w:bottom w:val="single" w:color="1F4E79" w:sz="1"/>
              <w:right w:val="single" w:color="1F4E79" w:sz="1"/>
            </w:tcBorders>
            <w:shd w:fill="1F4E79" w:color="auto" w:val="clear"/>
            <w:tcMar>
              <w:top w:type="dxa" w:w="100"/>
              <w:left w:type="dxa" w:w="120"/>
              <w:bottom w:type="dxa" w:w="100"/>
              <w:right w:type="dxa" w:w="120"/>
            </w:tcMar>
            <w:vAlign w:val="center"/>
          </w:tcPr>
          <w:p>
            <w:pPr>
              <w:bidi/>
              <w:spacing w:after="0" w:before="0"/>
              <w:jc w:val="right"/>
            </w:pPr>
            <w:r>
              <w:rPr>
                <w:rFonts w:ascii="Tahoma" w:cs="Tahoma" w:hAnsi="Tahoma"/>
                <w:b/>
                <w:bCs/>
                <w:i w:val="false"/>
                <w:iCs w:val="false"/>
                <w:color w:val="FFFFFF"/>
                <w:sz w:val="22"/>
                <w:szCs w:val="22"/>
                <w:rtl/>
              </w:rPr>
              <w:t xml:space="preserve">الترجمة</w:t>
            </w:r>
          </w:p>
        </w:tc>
      </w:tr>
      <w:tr>
        <w:tc>
          <w:tcPr>
            <w:tcW w:type="dxa" w:w="1872"/>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6.44 / 10</w:t>
            </w:r>
          </w:p>
        </w:tc>
        <w:tc>
          <w:tcPr>
            <w:tcW w:type="dxa" w:w="1872"/>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7.88</w:t>
            </w:r>
          </w:p>
        </w:tc>
        <w:tc>
          <w:tcPr>
            <w:tcW w:type="dxa" w:w="1872"/>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7.45</w:t>
            </w:r>
          </w:p>
        </w:tc>
        <w:tc>
          <w:tcPr>
            <w:tcW w:type="dxa" w:w="1872"/>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5.83</w:t>
            </w:r>
          </w:p>
        </w:tc>
        <w:tc>
          <w:tcPr>
            <w:tcW w:type="dxa" w:w="1872"/>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4.50</w:t>
            </w:r>
          </w:p>
        </w:tc>
      </w:tr>
    </w:tbl>
    <w:p>
      <w:pPr>
        <w:pStyle w:val="Heading3"/>
        <w:bidi/>
        <w:spacing w:after="160" w:before="240"/>
        <w:jc w:val="right"/>
      </w:pPr>
      <w:r>
        <w:rPr>
          <w:rFonts w:ascii="Tahoma" w:cs="Tahoma" w:hAnsi="Tahoma"/>
          <w:b/>
          <w:bCs/>
          <w:i w:val="false"/>
          <w:iCs w:val="false"/>
          <w:color w:val="1F4E79"/>
          <w:sz w:val="28"/>
          <w:szCs w:val="28"/>
          <w:rtl/>
        </w:rPr>
        <w:t xml:space="preserve">مقتطف من المقالة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C9A227" w:sz="24"/>
              <w:bottom w:val="single" w:color="BFBFBF" w:sz="2"/>
              <w:right w:val="single" w:color="BFBFBF" w:sz="2"/>
            </w:tcBorders>
            <w:shd w:fill="F2F6FB" w:color="auto" w:val="clear"/>
            <w:tcMar>
              <w:top w:type="dxa" w:w="160"/>
              <w:left w:type="dxa" w:w="200"/>
              <w:bottom w:type="dxa" w:w="160"/>
              <w:right w:type="dxa" w:w="200"/>
            </w:tcMar>
          </w:tcPr>
          <w:p>
            <w:pPr>
              <w:bidi/>
              <w:spacing w:after="0" w:before="0" w:line="340"/>
              <w:jc w:val="right"/>
            </w:pPr>
            <w:r>
              <w:rPr>
                <w:rFonts w:ascii="Tahoma" w:cs="Tahoma" w:hAnsi="Tahoma"/>
                <w:b w:val="false"/>
                <w:bCs w:val="false"/>
                <w:i/>
                <w:iCs/>
                <w:color w:val="595959"/>
                <w:sz w:val="22"/>
                <w:szCs w:val="22"/>
                <w:rtl/>
              </w:rPr>
              <w:t xml:space="preserve">استمرت التحركات السعرية البطيئة في أسواق الأسهم المحلية برغم التقلبات الحادة في الأسواق العالمية ليغلق مؤشر سوق الإمارات منخفضاً 0.06% إلى 2547.36 نقطة بخسائر 207.78 مليون درهم أوصلت القيمة السوقية إلى 374.82 مليار درهم بتداولات 125.42 مليون درهم، وذلك نتيجة لانخفاض مؤشر سوق أبوظبي 0.15% إلى 2601.02 نقطة بتداولات 59.33 مليون درهم، وارتفاع مؤشر سوق دبي 0.2% إلى 1487.98 نقطة...</w:t>
            </w:r>
          </w:p>
        </w:tc>
      </w:tr>
    </w:tbl>
    <w:p>
      <w:pPr>
        <w:pStyle w:val="Heading3"/>
        <w:bidi/>
        <w:spacing w:after="160" w:before="240"/>
        <w:jc w:val="right"/>
      </w:pPr>
      <w:r>
        <w:rPr>
          <w:rFonts w:ascii="Tahoma" w:cs="Tahoma" w:hAnsi="Tahoma"/>
          <w:b/>
          <w:bCs/>
          <w:i w:val="false"/>
          <w:iCs w:val="false"/>
          <w:color w:val="1F4E79"/>
          <w:sz w:val="28"/>
          <w:szCs w:val="28"/>
          <w:rtl/>
        </w:rPr>
        <w:t xml:space="preserve">المهمة الأولى — التعرف على الكيانات (NER —7.88 /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0"/>
        <w:gridCol w:w="3800"/>
        <w:gridCol w:w="3800"/>
      </w:tblGrid>
      <w:tr>
        <w:trPr>
          <w:tblHeader/>
        </w:trPr>
        <w:tc>
          <w:tcPr>
            <w:tcW w:type="dxa" w:w="1760"/>
            <w:tcBorders>
              <w:top w:val="single" w:color="1F4E79" w:sz="1"/>
              <w:left w:val="single" w:color="1F4E79" w:sz="1"/>
              <w:bottom w:val="single" w:color="1F4E79" w:sz="1"/>
              <w:right w:val="single" w:color="1F4E79" w:sz="1"/>
            </w:tcBorders>
            <w:shd w:fill="1F4E79" w:color="auto" w:val="clear"/>
            <w:tcMar>
              <w:top w:type="dxa" w:w="100"/>
              <w:left w:type="dxa" w:w="120"/>
              <w:bottom w:type="dxa" w:w="100"/>
              <w:right w:type="dxa" w:w="120"/>
            </w:tcMar>
            <w:vAlign w:val="center"/>
          </w:tcPr>
          <w:p>
            <w:pPr>
              <w:bidi/>
              <w:spacing w:after="0" w:before="0"/>
              <w:jc w:val="right"/>
            </w:pPr>
            <w:r>
              <w:rPr>
                <w:rFonts w:ascii="Tahoma" w:cs="Tahoma" w:hAnsi="Tahoma"/>
                <w:b/>
                <w:bCs/>
                <w:i w:val="false"/>
                <w:iCs w:val="false"/>
                <w:color w:val="FFFFFF"/>
                <w:sz w:val="22"/>
                <w:szCs w:val="22"/>
                <w:rtl/>
              </w:rPr>
              <w:t xml:space="preserve">الفئة</w:t>
            </w:r>
          </w:p>
        </w:tc>
        <w:tc>
          <w:tcPr>
            <w:tcW w:type="dxa" w:w="3800"/>
            <w:tcBorders>
              <w:top w:val="single" w:color="1F4E79" w:sz="1"/>
              <w:left w:val="single" w:color="1F4E79" w:sz="1"/>
              <w:bottom w:val="single" w:color="1F4E79" w:sz="1"/>
              <w:right w:val="single" w:color="1F4E79" w:sz="1"/>
            </w:tcBorders>
            <w:shd w:fill="1F4E79" w:color="auto" w:val="clear"/>
            <w:tcMar>
              <w:top w:type="dxa" w:w="100"/>
              <w:left w:type="dxa" w:w="120"/>
              <w:bottom w:type="dxa" w:w="100"/>
              <w:right w:type="dxa" w:w="120"/>
            </w:tcMar>
            <w:vAlign w:val="center"/>
          </w:tcPr>
          <w:p>
            <w:pPr>
              <w:bidi/>
              <w:spacing w:after="0" w:before="0"/>
              <w:jc w:val="right"/>
            </w:pPr>
            <w:r>
              <w:rPr>
                <w:rFonts w:ascii="Tahoma" w:cs="Tahoma" w:hAnsi="Tahoma"/>
                <w:b/>
                <w:bCs/>
                <w:i w:val="false"/>
                <w:iCs w:val="false"/>
                <w:color w:val="FFFFFF"/>
                <w:sz w:val="22"/>
                <w:szCs w:val="22"/>
                <w:rtl/>
              </w:rPr>
              <w:t xml:space="preserve">المرجع (Claude Opus)</w:t>
            </w:r>
          </w:p>
        </w:tc>
        <w:tc>
          <w:tcPr>
            <w:tcW w:type="dxa" w:w="3800"/>
            <w:tcBorders>
              <w:top w:val="single" w:color="1F4E79" w:sz="1"/>
              <w:left w:val="single" w:color="1F4E79" w:sz="1"/>
              <w:bottom w:val="single" w:color="1F4E79" w:sz="1"/>
              <w:right w:val="single" w:color="1F4E79" w:sz="1"/>
            </w:tcBorders>
            <w:shd w:fill="1F4E79" w:color="auto" w:val="clear"/>
            <w:tcMar>
              <w:top w:type="dxa" w:w="100"/>
              <w:left w:type="dxa" w:w="120"/>
              <w:bottom w:type="dxa" w:w="100"/>
              <w:right w:type="dxa" w:w="120"/>
            </w:tcMar>
            <w:vAlign w:val="center"/>
          </w:tcPr>
          <w:p>
            <w:pPr>
              <w:bidi/>
              <w:spacing w:after="0" w:before="0"/>
              <w:jc w:val="right"/>
            </w:pPr>
            <w:r>
              <w:rPr>
                <w:rFonts w:ascii="Tahoma" w:cs="Tahoma" w:hAnsi="Tahoma"/>
                <w:b/>
                <w:bCs/>
                <w:i w:val="false"/>
                <w:iCs w:val="false"/>
                <w:color w:val="FFFFFF"/>
                <w:sz w:val="22"/>
                <w:szCs w:val="22"/>
                <w:rtl/>
              </w:rPr>
              <w:t xml:space="preserve">معين الذكي</w:t>
            </w:r>
          </w:p>
        </w:tc>
      </w:tr>
      <w:tr>
        <w:tc>
          <w:tcPr>
            <w:tcW w:type="dxa" w:w="17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أشخاص</w:t>
            </w:r>
          </w:p>
        </w:tc>
        <w:tc>
          <w:tcPr>
            <w:tcW w:type="dxa" w:w="38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w:t>
            </w:r>
          </w:p>
        </w:tc>
        <w:tc>
          <w:tcPr>
            <w:tcW w:type="dxa" w:w="38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w:t>
            </w:r>
          </w:p>
        </w:tc>
      </w:tr>
      <w:tr>
        <w:tc>
          <w:tcPr>
            <w:tcW w:type="dxa" w:w="1760"/>
            <w:tcBorders>
              <w:top w:val="single" w:color="BFBFBF" w:sz="1"/>
              <w:left w:val="single" w:color="BFBFBF" w:sz="1"/>
              <w:bottom w:val="single" w:color="BFBFBF" w:sz="1"/>
              <w:right w:val="single" w:color="BFBFBF" w:sz="1"/>
            </w:tcBorders>
            <w:shd w:fill="F2F6FB"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مواقع</w:t>
            </w:r>
          </w:p>
        </w:tc>
        <w:tc>
          <w:tcPr>
            <w:tcW w:type="dxa" w:w="3800"/>
            <w:tcBorders>
              <w:top w:val="single" w:color="BFBFBF" w:sz="1"/>
              <w:left w:val="single" w:color="BFBFBF" w:sz="1"/>
              <w:bottom w:val="single" w:color="BFBFBF" w:sz="1"/>
              <w:right w:val="single" w:color="BFBFBF" w:sz="1"/>
            </w:tcBorders>
            <w:shd w:fill="F2F6FB"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الإمارات, أبوظبي, دبي</w:t>
            </w:r>
          </w:p>
        </w:tc>
        <w:tc>
          <w:tcPr>
            <w:tcW w:type="dxa" w:w="3800"/>
            <w:tcBorders>
              <w:top w:val="single" w:color="BFBFBF" w:sz="1"/>
              <w:left w:val="single" w:color="BFBFBF" w:sz="1"/>
              <w:bottom w:val="single" w:color="BFBFBF" w:sz="1"/>
              <w:right w:val="single" w:color="BFBFBF" w:sz="1"/>
            </w:tcBorders>
            <w:shd w:fill="F2F6FB"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الإمارات, أبوظبي, دبي</w:t>
            </w:r>
          </w:p>
        </w:tc>
      </w:tr>
      <w:tr>
        <w:tc>
          <w:tcPr>
            <w:tcW w:type="dxa" w:w="17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مؤسسات</w:t>
            </w:r>
          </w:p>
        </w:tc>
        <w:tc>
          <w:tcPr>
            <w:tcW w:type="dxa" w:w="38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سوق الإمارات, سوق أبوظبي, سوق دبي, تمويل, الدار, صروح, أرابتك, إعمار, أبوظبي الوطني</w:t>
            </w:r>
          </w:p>
        </w:tc>
        <w:tc>
          <w:tcPr>
            <w:tcW w:type="dxa" w:w="38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هيئة الأوراق المالية, تمويل, الدار, صروح, أرابتك, إعمار, أبوظبي الوطني</w:t>
            </w:r>
          </w:p>
        </w:tc>
      </w:tr>
      <w:tr>
        <w:tc>
          <w:tcPr>
            <w:tcW w:type="dxa" w:w="1760"/>
            <w:tcBorders>
              <w:top w:val="single" w:color="BFBFBF" w:sz="1"/>
              <w:left w:val="single" w:color="BFBFBF" w:sz="1"/>
              <w:bottom w:val="single" w:color="BFBFBF" w:sz="1"/>
              <w:right w:val="single" w:color="BFBFBF" w:sz="1"/>
            </w:tcBorders>
            <w:shd w:fill="F2F6FB"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متنوع</w:t>
            </w:r>
          </w:p>
        </w:tc>
        <w:tc>
          <w:tcPr>
            <w:tcW w:type="dxa" w:w="3800"/>
            <w:tcBorders>
              <w:top w:val="single" w:color="BFBFBF" w:sz="1"/>
              <w:left w:val="single" w:color="BFBFBF" w:sz="1"/>
              <w:bottom w:val="single" w:color="BFBFBF" w:sz="1"/>
              <w:right w:val="single" w:color="BFBFBF" w:sz="1"/>
            </w:tcBorders>
            <w:shd w:fill="F2F6FB"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w:t>
            </w:r>
          </w:p>
        </w:tc>
        <w:tc>
          <w:tcPr>
            <w:tcW w:type="dxa" w:w="3800"/>
            <w:tcBorders>
              <w:top w:val="single" w:color="BFBFBF" w:sz="1"/>
              <w:left w:val="single" w:color="BFBFBF" w:sz="1"/>
              <w:bottom w:val="single" w:color="BFBFBF" w:sz="1"/>
              <w:right w:val="single" w:color="BFBFBF" w:sz="1"/>
            </w:tcBorders>
            <w:shd w:fill="F2F6FB"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w:t>
            </w:r>
          </w:p>
        </w:tc>
      </w:tr>
    </w:tbl>
    <w:p>
      <w:pPr>
        <w:pStyle w:val="Heading3"/>
        <w:bidi/>
        <w:spacing w:after="160" w:before="240"/>
        <w:jc w:val="right"/>
      </w:pPr>
      <w:r>
        <w:rPr>
          <w:rFonts w:ascii="Tahoma" w:cs="Tahoma" w:hAnsi="Tahoma"/>
          <w:b/>
          <w:bCs/>
          <w:i w:val="false"/>
          <w:iCs w:val="false"/>
          <w:color w:val="1F4E79"/>
          <w:sz w:val="28"/>
          <w:szCs w:val="28"/>
          <w:rtl/>
        </w:rPr>
        <w:t xml:space="preserve">المهمة الثانية — التلخيص (5.83 /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FBFBF" w:sz="1"/>
              <w:left w:val="single" w:color="BFBFBF" w:sz="1"/>
              <w:bottom w:val="single" w:color="BFBFBF" w:sz="1"/>
              <w:right w:val="single" w:color="BFBFBF" w:sz="1"/>
            </w:tcBorders>
            <w:shd w:fill="F2F6FB" w:color="auto" w:val="clear"/>
            <w:tcMar>
              <w:top w:type="dxa" w:w="120"/>
              <w:left w:type="dxa" w:w="160"/>
              <w:bottom w:type="dxa" w:w="120"/>
              <w:right w:type="dxa" w:w="160"/>
            </w:tcMar>
          </w:tcPr>
          <w:p>
            <w:pPr>
              <w:bidi/>
              <w:spacing w:after="80"/>
              <w:jc w:val="right"/>
            </w:pPr>
            <w:r>
              <w:rPr>
                <w:rFonts w:ascii="Tahoma" w:cs="Tahoma" w:hAnsi="Tahoma"/>
                <w:b/>
                <w:bCs/>
                <w:i w:val="false"/>
                <w:iCs w:val="false"/>
                <w:color w:val="1F4E79"/>
                <w:sz w:val="22"/>
                <w:szCs w:val="22"/>
                <w:rtl/>
              </w:rPr>
              <w:t xml:space="preserve">المرجع (Claude Opus)</w:t>
            </w:r>
          </w:p>
          <w:p>
            <w:pPr>
              <w:bidi/>
              <w:spacing w:after="0" w:line="340"/>
              <w:jc w:val="right"/>
            </w:pPr>
            <w:r>
              <w:rPr>
                <w:rFonts w:ascii="Tahoma" w:cs="Tahoma" w:hAnsi="Tahoma"/>
                <w:b w:val="false"/>
                <w:bCs w:val="false"/>
                <w:i w:val="false"/>
                <w:iCs w:val="false"/>
                <w:color w:val="1A1A1A"/>
                <w:sz w:val="22"/>
                <w:szCs w:val="22"/>
                <w:rtl/>
              </w:rPr>
              <w:t xml:space="preserve">أغلق مؤشر سوق الإمارات على انخفاض طفيف بنسبة ستة من مئة بالمئة عند مستوى ألفين وخمسمئة وسبع وأربعين نقطة، متأثراً بتراجع سوق أبوظبي رغم ارتفاع سوق دبي، في حين سجلت أسهم بعينها كتمويل والدار وصروح وأرابتك وإعمار مكاسب متفاوتة بينما تراجع سهم بنك أبوظبي الوطني. وسادت حالة من الترقب والحذر بين المستثمرين الذين تباينت توقعاتهم حول اتجاه الأسواق في المرحلة المقبلة، مما أبقى التحركات السعرية لمعظم الأسهم ضمن نطاق ضيق في ظل تفضيلهم صعوداً تدريجياً يستند إلى أسس متينة بعيداً عن الفجوات السعرية.</w:t>
            </w:r>
          </w:p>
        </w:tc>
        <w:tc>
          <w:tcPr>
            <w:tcW w:type="dxa" w:w="4680"/>
            <w:tcBorders>
              <w:top w:val="single" w:color="BFBFBF" w:sz="1"/>
              <w:left w:val="single" w:color="BFBFBF" w:sz="1"/>
              <w:bottom w:val="single" w:color="BFBFBF" w:sz="1"/>
              <w:right w:val="single" w:color="BFBFBF" w:sz="1"/>
            </w:tcBorders>
            <w:shd w:fill="FFFFFF" w:color="auto" w:val="clear"/>
            <w:tcMar>
              <w:top w:type="dxa" w:w="120"/>
              <w:left w:type="dxa" w:w="160"/>
              <w:bottom w:type="dxa" w:w="120"/>
              <w:right w:type="dxa" w:w="160"/>
            </w:tcMar>
          </w:tcPr>
          <w:p>
            <w:pPr>
              <w:bidi/>
              <w:spacing w:after="80"/>
              <w:jc w:val="right"/>
            </w:pPr>
            <w:r>
              <w:rPr>
                <w:rFonts w:ascii="Tahoma" w:cs="Tahoma" w:hAnsi="Tahoma"/>
                <w:b/>
                <w:bCs/>
                <w:i w:val="false"/>
                <w:iCs w:val="false"/>
                <w:color w:val="1F4E79"/>
                <w:sz w:val="22"/>
                <w:szCs w:val="22"/>
                <w:rtl/>
              </w:rPr>
              <w:t xml:space="preserve">معين الذكي</w:t>
            </w:r>
          </w:p>
          <w:p>
            <w:pPr>
              <w:bidi/>
              <w:spacing w:after="0" w:line="340"/>
              <w:jc w:val="right"/>
            </w:pPr>
            <w:r>
              <w:rPr>
                <w:rFonts w:ascii="Tahoma" w:cs="Tahoma" w:hAnsi="Tahoma"/>
                <w:b w:val="false"/>
                <w:bCs w:val="false"/>
                <w:i w:val="false"/>
                <w:iCs w:val="false"/>
                <w:color w:val="1A1A1A"/>
                <w:sz w:val="22"/>
                <w:szCs w:val="22"/>
                <w:rtl/>
              </w:rPr>
              <w:t xml:space="preserve">شهدت أسواق الأسهم المحلية تقلبات بطيئة رغم التقلبات الحادة في الأسواق العالمية، مع تراجع مؤشر سوق الإمارات بنسبة 0.06% وارتفاع مؤشر سوق دبي بنسبة 0.2%. كما سجلت بعض الأسهم ارتفاعات ملحوظة، بينما تراجعت أخرى، مع توقعات بتحسن في الأداء الاقتصادي.</w:t>
            </w:r>
          </w:p>
        </w:tc>
      </w:tr>
    </w:tbl>
    <w:p>
      <w:pPr>
        <w:shd w:fill="1F4E79" w:color="auto" w:val="clear"/>
        <w:bidi/>
        <w:spacing w:after="80" w:before="140"/>
        <w:jc w:val="right"/>
      </w:pPr>
      <w:r>
        <w:rPr>
          <w:rFonts w:ascii="Tahoma" w:cs="Tahoma" w:hAnsi="Tahoma"/>
          <w:b/>
          <w:bCs/>
          <w:i w:val="false"/>
          <w:iCs w:val="false"/>
          <w:color w:val="FFFFFF"/>
          <w:sz w:val="22"/>
          <w:szCs w:val="22"/>
          <w:rtl/>
        </w:rPr>
        <w:t xml:space="preserve">  معايير الحَكم:  </w:t>
      </w:r>
      <w:r>
        <w:rPr>
          <w:rFonts w:ascii="Consolas" w:hAnsi="Consolas"/>
          <w:color w:val="FFFFFF"/>
          <w:sz w:val="22"/>
          <w:szCs w:val="22"/>
        </w:rPr>
        <w:t xml:space="preserve">factual=2/3    coverage=1/3    no_inference=1/2    register=2/2</w:t>
      </w:r>
    </w:p>
    <w:p>
      <w:pPr>
        <w:shd w:fill="F2F6FB" w:color="auto" w:val="clear"/>
        <w:bidi/>
        <w:spacing w:after="120" w:before="0" w:line="340"/>
        <w:jc w:val="right"/>
      </w:pPr>
      <w:r>
        <w:rPr>
          <w:rFonts w:ascii="Tahoma" w:cs="Tahoma" w:hAnsi="Tahoma"/>
          <w:b/>
          <w:bCs/>
          <w:i w:val="false"/>
          <w:iCs w:val="false"/>
          <w:color w:val="1F4E79"/>
          <w:sz w:val="22"/>
          <w:szCs w:val="22"/>
          <w:rtl/>
        </w:rPr>
        <w:t xml:space="preserve">تعليق الحَكم: </w:t>
      </w:r>
      <w:r>
        <w:rPr>
          <w:rFonts w:ascii="Tahoma" w:cs="Tahoma" w:hAnsi="Tahoma"/>
          <w:b w:val="false"/>
          <w:bCs w:val="false"/>
          <w:i w:val="false"/>
          <w:iCs w:val="false"/>
          <w:color w:val="1A1A1A"/>
          <w:sz w:val="22"/>
          <w:szCs w:val="22"/>
          <w:rtl/>
        </w:rPr>
        <w:t xml:space="preserve">الملخص صحيح في الخطوط العامة: بطء الحركة محلياً رغم تقلبات عالمية، تراجع مؤشر الإمارات 0.06% وارتفاع دبي 0.2%. لكنه أغفل معلومة أساسية هي تراجع مؤشر أبوظبي 0.15% وأثره، ولم يذكر الأرقام/المستويات أو تفاصيل الأسهم المذكورة بالاسم. كما أضاف صياغة توحي بـ«توقعات بتحسن في الأداء الاقتصادي» بينما النص يتحدث عن انتظار مؤشرات اقتصادية مشجعة دون تقرير توقع تحسن فعلي.</w:t>
      </w:r>
    </w:p>
    <w:p>
      <w:pPr>
        <w:pStyle w:val="Heading3"/>
        <w:bidi/>
        <w:spacing w:after="160" w:before="240"/>
        <w:jc w:val="right"/>
      </w:pPr>
      <w:r>
        <w:rPr>
          <w:rFonts w:ascii="Tahoma" w:cs="Tahoma" w:hAnsi="Tahoma"/>
          <w:b/>
          <w:bCs/>
          <w:i w:val="false"/>
          <w:iCs w:val="false"/>
          <w:color w:val="1F4E79"/>
          <w:sz w:val="28"/>
          <w:szCs w:val="28"/>
          <w:rtl/>
        </w:rPr>
        <w:t xml:space="preserve">المهمة الثالثة — الاستدلال اللغوي (NLI —7.45 /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000"/>
        <w:gridCol w:w="1600"/>
        <w:gridCol w:w="1600"/>
        <w:gridCol w:w="560"/>
      </w:tblGrid>
      <w:tr>
        <w:trPr>
          <w:tblHeader/>
        </w:trPr>
        <w:tc>
          <w:tcPr>
            <w:tcW w:type="dxa" w:w="600"/>
            <w:tcBorders>
              <w:top w:val="single" w:color="1F4E79" w:sz="1"/>
              <w:left w:val="single" w:color="1F4E79" w:sz="1"/>
              <w:bottom w:val="single" w:color="1F4E79" w:sz="1"/>
              <w:right w:val="single" w:color="1F4E79" w:sz="1"/>
            </w:tcBorders>
            <w:shd w:fill="1F4E79" w:color="auto" w:val="clear"/>
            <w:tcMar>
              <w:top w:type="dxa" w:w="100"/>
              <w:left w:type="dxa" w:w="120"/>
              <w:bottom w:type="dxa" w:w="100"/>
              <w:right w:type="dxa" w:w="120"/>
            </w:tcMar>
            <w:vAlign w:val="center"/>
          </w:tcPr>
          <w:p>
            <w:pPr>
              <w:bidi/>
              <w:spacing w:after="0" w:before="0"/>
              <w:jc w:val="right"/>
            </w:pPr>
            <w:r>
              <w:rPr>
                <w:rFonts w:ascii="Tahoma" w:cs="Tahoma" w:hAnsi="Tahoma"/>
                <w:b/>
                <w:bCs/>
                <w:i w:val="false"/>
                <w:iCs w:val="false"/>
                <w:color w:val="FFFFFF"/>
                <w:sz w:val="22"/>
                <w:szCs w:val="22"/>
                <w:rtl/>
              </w:rPr>
              <w:t xml:space="preserve">#</w:t>
            </w:r>
          </w:p>
        </w:tc>
        <w:tc>
          <w:tcPr>
            <w:tcW w:type="dxa" w:w="5000"/>
            <w:tcBorders>
              <w:top w:val="single" w:color="1F4E79" w:sz="1"/>
              <w:left w:val="single" w:color="1F4E79" w:sz="1"/>
              <w:bottom w:val="single" w:color="1F4E79" w:sz="1"/>
              <w:right w:val="single" w:color="1F4E79" w:sz="1"/>
            </w:tcBorders>
            <w:shd w:fill="1F4E79" w:color="auto" w:val="clear"/>
            <w:tcMar>
              <w:top w:type="dxa" w:w="100"/>
              <w:left w:type="dxa" w:w="120"/>
              <w:bottom w:type="dxa" w:w="100"/>
              <w:right w:type="dxa" w:w="120"/>
            </w:tcMar>
            <w:vAlign w:val="center"/>
          </w:tcPr>
          <w:p>
            <w:pPr>
              <w:bidi/>
              <w:spacing w:after="0" w:before="0"/>
              <w:jc w:val="right"/>
            </w:pPr>
            <w:r>
              <w:rPr>
                <w:rFonts w:ascii="Tahoma" w:cs="Tahoma" w:hAnsi="Tahoma"/>
                <w:b/>
                <w:bCs/>
                <w:i w:val="false"/>
                <w:iCs w:val="false"/>
                <w:color w:val="FFFFFF"/>
                <w:sz w:val="22"/>
                <w:szCs w:val="22"/>
                <w:rtl/>
              </w:rPr>
              <w:t xml:space="preserve">نص الادعاء</w:t>
            </w:r>
          </w:p>
        </w:tc>
        <w:tc>
          <w:tcPr>
            <w:tcW w:type="dxa" w:w="1600"/>
            <w:tcBorders>
              <w:top w:val="single" w:color="1F4E79" w:sz="1"/>
              <w:left w:val="single" w:color="1F4E79" w:sz="1"/>
              <w:bottom w:val="single" w:color="1F4E79" w:sz="1"/>
              <w:right w:val="single" w:color="1F4E79" w:sz="1"/>
            </w:tcBorders>
            <w:shd w:fill="1F4E79" w:color="auto" w:val="clear"/>
            <w:tcMar>
              <w:top w:type="dxa" w:w="100"/>
              <w:left w:type="dxa" w:w="120"/>
              <w:bottom w:type="dxa" w:w="100"/>
              <w:right w:type="dxa" w:w="120"/>
            </w:tcMar>
            <w:vAlign w:val="center"/>
          </w:tcPr>
          <w:p>
            <w:pPr>
              <w:bidi/>
              <w:spacing w:after="0" w:before="0"/>
              <w:jc w:val="right"/>
            </w:pPr>
            <w:r>
              <w:rPr>
                <w:rFonts w:ascii="Tahoma" w:cs="Tahoma" w:hAnsi="Tahoma"/>
                <w:b/>
                <w:bCs/>
                <w:i w:val="false"/>
                <w:iCs w:val="false"/>
                <w:color w:val="FFFFFF"/>
                <w:sz w:val="22"/>
                <w:szCs w:val="22"/>
                <w:rtl/>
              </w:rPr>
              <w:t xml:space="preserve">المرجع</w:t>
            </w:r>
          </w:p>
        </w:tc>
        <w:tc>
          <w:tcPr>
            <w:tcW w:type="dxa" w:w="1600"/>
            <w:tcBorders>
              <w:top w:val="single" w:color="1F4E79" w:sz="1"/>
              <w:left w:val="single" w:color="1F4E79" w:sz="1"/>
              <w:bottom w:val="single" w:color="1F4E79" w:sz="1"/>
              <w:right w:val="single" w:color="1F4E79" w:sz="1"/>
            </w:tcBorders>
            <w:shd w:fill="1F4E79" w:color="auto" w:val="clear"/>
            <w:tcMar>
              <w:top w:type="dxa" w:w="100"/>
              <w:left w:type="dxa" w:w="120"/>
              <w:bottom w:type="dxa" w:w="100"/>
              <w:right w:type="dxa" w:w="120"/>
            </w:tcMar>
            <w:vAlign w:val="center"/>
          </w:tcPr>
          <w:p>
            <w:pPr>
              <w:bidi/>
              <w:spacing w:after="0" w:before="0"/>
              <w:jc w:val="right"/>
            </w:pPr>
            <w:r>
              <w:rPr>
                <w:rFonts w:ascii="Tahoma" w:cs="Tahoma" w:hAnsi="Tahoma"/>
                <w:b/>
                <w:bCs/>
                <w:i w:val="false"/>
                <w:iCs w:val="false"/>
                <w:color w:val="FFFFFF"/>
                <w:sz w:val="22"/>
                <w:szCs w:val="22"/>
                <w:rtl/>
              </w:rPr>
              <w:t xml:space="preserve">معين</w:t>
            </w:r>
          </w:p>
        </w:tc>
        <w:tc>
          <w:tcPr>
            <w:tcW w:type="dxa" w:w="560"/>
            <w:tcBorders>
              <w:top w:val="single" w:color="1F4E79" w:sz="1"/>
              <w:left w:val="single" w:color="1F4E79" w:sz="1"/>
              <w:bottom w:val="single" w:color="1F4E79" w:sz="1"/>
              <w:right w:val="single" w:color="1F4E79" w:sz="1"/>
            </w:tcBorders>
            <w:shd w:fill="1F4E79" w:color="auto" w:val="clear"/>
            <w:tcMar>
              <w:top w:type="dxa" w:w="100"/>
              <w:left w:type="dxa" w:w="120"/>
              <w:bottom w:type="dxa" w:w="100"/>
              <w:right w:type="dxa" w:w="120"/>
            </w:tcMar>
            <w:vAlign w:val="center"/>
          </w:tcPr>
          <w:p>
            <w:pPr>
              <w:bidi/>
              <w:spacing w:after="0" w:before="0"/>
              <w:jc w:val="right"/>
            </w:pPr>
            <w:r>
              <w:rPr>
                <w:rFonts w:ascii="Tahoma" w:cs="Tahoma" w:hAnsi="Tahoma"/>
                <w:b/>
                <w:bCs/>
                <w:i w:val="false"/>
                <w:iCs w:val="false"/>
                <w:color w:val="FFFFFF"/>
                <w:sz w:val="22"/>
                <w:szCs w:val="22"/>
                <w:rtl/>
              </w:rPr>
              <w:t xml:space="preserve">المطابقة</w:t>
            </w:r>
          </w:p>
        </w:tc>
      </w:tr>
      <w:tr>
        <w:tc>
          <w:tcPr>
            <w:tcW w:type="dxa" w:w="6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1</w:t>
            </w:r>
          </w:p>
        </w:tc>
        <w:tc>
          <w:tcPr>
            <w:tcW w:type="dxa" w:w="50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أغلق مؤشر سوق الإمارات على تراجع بنسبة 0.06% ليصل إلى 2547.36 نقطة</w:t>
            </w:r>
          </w:p>
        </w:tc>
        <w:tc>
          <w:tcPr>
            <w:tcW w:type="dxa" w:w="16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SUPPORTED</w:t>
            </w:r>
          </w:p>
        </w:tc>
        <w:tc>
          <w:tcPr>
            <w:tcW w:type="dxa" w:w="16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SUPPORTED</w:t>
            </w:r>
          </w:p>
        </w:tc>
        <w:tc>
          <w:tcPr>
            <w:tcW w:type="dxa" w:w="5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w:t>
            </w:r>
          </w:p>
        </w:tc>
      </w:tr>
      <w:tr>
        <w:tc>
          <w:tcPr>
            <w:tcW w:type="dxa" w:w="600"/>
            <w:tcBorders>
              <w:top w:val="single" w:color="BFBFBF" w:sz="1"/>
              <w:left w:val="single" w:color="BFBFBF" w:sz="1"/>
              <w:bottom w:val="single" w:color="BFBFBF" w:sz="1"/>
              <w:right w:val="single" w:color="BFBFBF" w:sz="1"/>
            </w:tcBorders>
            <w:shd w:fill="F2F6FB"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2</w:t>
            </w:r>
          </w:p>
        </w:tc>
        <w:tc>
          <w:tcPr>
            <w:tcW w:type="dxa" w:w="5000"/>
            <w:tcBorders>
              <w:top w:val="single" w:color="BFBFBF" w:sz="1"/>
              <w:left w:val="single" w:color="BFBFBF" w:sz="1"/>
              <w:bottom w:val="single" w:color="BFBFBF" w:sz="1"/>
              <w:right w:val="single" w:color="BFBFBF" w:sz="1"/>
            </w:tcBorders>
            <w:shd w:fill="F2F6FB"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سجل سهم تمويل ارتفاعاً بنسبة 3.52% مع تداولات شملت أكثر من عشرة ملايين سهم</w:t>
            </w:r>
          </w:p>
        </w:tc>
        <w:tc>
          <w:tcPr>
            <w:tcW w:type="dxa" w:w="1600"/>
            <w:tcBorders>
              <w:top w:val="single" w:color="BFBFBF" w:sz="1"/>
              <w:left w:val="single" w:color="BFBFBF" w:sz="1"/>
              <w:bottom w:val="single" w:color="BFBFBF" w:sz="1"/>
              <w:right w:val="single" w:color="BFBFBF" w:sz="1"/>
            </w:tcBorders>
            <w:shd w:fill="F2F6FB"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SUPPORTED</w:t>
            </w:r>
          </w:p>
        </w:tc>
        <w:tc>
          <w:tcPr>
            <w:tcW w:type="dxa" w:w="1600"/>
            <w:tcBorders>
              <w:top w:val="single" w:color="BFBFBF" w:sz="1"/>
              <w:left w:val="single" w:color="BFBFBF" w:sz="1"/>
              <w:bottom w:val="single" w:color="BFBFBF" w:sz="1"/>
              <w:right w:val="single" w:color="BFBFBF" w:sz="1"/>
            </w:tcBorders>
            <w:shd w:fill="F2F6FB"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SUPPORTED</w:t>
            </w:r>
          </w:p>
        </w:tc>
        <w:tc>
          <w:tcPr>
            <w:tcW w:type="dxa" w:w="560"/>
            <w:tcBorders>
              <w:top w:val="single" w:color="BFBFBF" w:sz="1"/>
              <w:left w:val="single" w:color="BFBFBF" w:sz="1"/>
              <w:bottom w:val="single" w:color="BFBFBF" w:sz="1"/>
              <w:right w:val="single" w:color="BFBFBF" w:sz="1"/>
            </w:tcBorders>
            <w:shd w:fill="F2F6FB"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w:t>
            </w:r>
          </w:p>
        </w:tc>
      </w:tr>
      <w:tr>
        <w:tc>
          <w:tcPr>
            <w:tcW w:type="dxa" w:w="6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3</w:t>
            </w:r>
          </w:p>
        </w:tc>
        <w:tc>
          <w:tcPr>
            <w:tcW w:type="dxa" w:w="50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تراجع مؤشر سوق دبي بنسبة 0.2% ليستقر عند 1487.98 نقطة</w:t>
            </w:r>
          </w:p>
        </w:tc>
        <w:tc>
          <w:tcPr>
            <w:tcW w:type="dxa" w:w="16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REFUTED</w:t>
            </w:r>
          </w:p>
        </w:tc>
        <w:tc>
          <w:tcPr>
            <w:tcW w:type="dxa" w:w="16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SUPPORTED</w:t>
            </w:r>
          </w:p>
        </w:tc>
        <w:tc>
          <w:tcPr>
            <w:tcW w:type="dxa" w:w="5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w:t>
            </w:r>
          </w:p>
        </w:tc>
      </w:tr>
      <w:tr>
        <w:tc>
          <w:tcPr>
            <w:tcW w:type="dxa" w:w="600"/>
            <w:tcBorders>
              <w:top w:val="single" w:color="BFBFBF" w:sz="1"/>
              <w:left w:val="single" w:color="BFBFBF" w:sz="1"/>
              <w:bottom w:val="single" w:color="BFBFBF" w:sz="1"/>
              <w:right w:val="single" w:color="BFBFBF" w:sz="1"/>
            </w:tcBorders>
            <w:shd w:fill="F2F6FB"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4</w:t>
            </w:r>
          </w:p>
        </w:tc>
        <w:tc>
          <w:tcPr>
            <w:tcW w:type="dxa" w:w="5000"/>
            <w:tcBorders>
              <w:top w:val="single" w:color="BFBFBF" w:sz="1"/>
              <w:left w:val="single" w:color="BFBFBF" w:sz="1"/>
              <w:bottom w:val="single" w:color="BFBFBF" w:sz="1"/>
              <w:right w:val="single" w:color="BFBFBF" w:sz="1"/>
            </w:tcBorders>
            <w:shd w:fill="F2F6FB"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أعلنت هيئة الأوراق المالية عن إجراءات جديدة لتحفيز التداول في الأسواق المحلية</w:t>
            </w:r>
          </w:p>
        </w:tc>
        <w:tc>
          <w:tcPr>
            <w:tcW w:type="dxa" w:w="1600"/>
            <w:tcBorders>
              <w:top w:val="single" w:color="BFBFBF" w:sz="1"/>
              <w:left w:val="single" w:color="BFBFBF" w:sz="1"/>
              <w:bottom w:val="single" w:color="BFBFBF" w:sz="1"/>
              <w:right w:val="single" w:color="BFBFBF" w:sz="1"/>
            </w:tcBorders>
            <w:shd w:fill="F2F6FB"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NOT_ENOUGH_INFO</w:t>
            </w:r>
          </w:p>
        </w:tc>
        <w:tc>
          <w:tcPr>
            <w:tcW w:type="dxa" w:w="1600"/>
            <w:tcBorders>
              <w:top w:val="single" w:color="BFBFBF" w:sz="1"/>
              <w:left w:val="single" w:color="BFBFBF" w:sz="1"/>
              <w:bottom w:val="single" w:color="BFBFBF" w:sz="1"/>
              <w:right w:val="single" w:color="BFBFBF" w:sz="1"/>
            </w:tcBorders>
            <w:shd w:fill="F2F6FB"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NOT_ENOUGH_INFO</w:t>
            </w:r>
          </w:p>
        </w:tc>
        <w:tc>
          <w:tcPr>
            <w:tcW w:type="dxa" w:w="560"/>
            <w:tcBorders>
              <w:top w:val="single" w:color="BFBFBF" w:sz="1"/>
              <w:left w:val="single" w:color="BFBFBF" w:sz="1"/>
              <w:bottom w:val="single" w:color="BFBFBF" w:sz="1"/>
              <w:right w:val="single" w:color="BFBFBF" w:sz="1"/>
            </w:tcBorders>
            <w:shd w:fill="F2F6FB"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w:t>
            </w:r>
          </w:p>
        </w:tc>
      </w:tr>
    </w:tbl>
    <w:p>
      <w:pPr>
        <w:pStyle w:val="Heading3"/>
        <w:bidi/>
        <w:spacing w:after="160" w:before="240"/>
        <w:jc w:val="right"/>
      </w:pPr>
      <w:r>
        <w:rPr>
          <w:rFonts w:ascii="Tahoma" w:cs="Tahoma" w:hAnsi="Tahoma"/>
          <w:b/>
          <w:bCs/>
          <w:i w:val="false"/>
          <w:iCs w:val="false"/>
          <w:color w:val="1F4E79"/>
          <w:sz w:val="28"/>
          <w:szCs w:val="28"/>
          <w:rtl/>
        </w:rPr>
        <w:t xml:space="preserve">المهمة الرابعة — الترجمة (4.50 / 10)</w:t>
      </w:r>
    </w:p>
    <w:p>
      <w:pPr>
        <w:bidi/>
        <w:spacing w:after="60" w:before="100"/>
        <w:jc w:val="right"/>
      </w:pPr>
      <w:r>
        <w:rPr>
          <w:rFonts w:ascii="Tahoma" w:cs="Tahoma" w:hAnsi="Tahoma"/>
          <w:b/>
          <w:bCs/>
          <w:i w:val="false"/>
          <w:iCs w:val="false"/>
          <w:color w:val="2E75B6"/>
          <w:sz w:val="22"/>
          <w:szCs w:val="22"/>
          <w:rtl/>
        </w:rPr>
        <w:t xml:space="preserve">المصدر الإنجليزي (نص اختبار الترجمة):</w:t>
      </w:r>
    </w:p>
    <w:p>
      <w:pPr>
        <w:shd w:fill="F2F6FB" w:color="auto" w:val="clear"/>
        <w:spacing w:after="160" w:before="0" w:line="320"/>
        <w:jc w:val="left"/>
      </w:pPr>
      <w:r>
        <w:rPr>
          <w:rFonts w:ascii="Calibri" w:cs="Tahoma" w:hAnsi="Calibri"/>
          <w:b w:val="false"/>
          <w:bCs w:val="false"/>
          <w:i/>
          <w:iCs/>
          <w:color w:val="595959"/>
          <w:sz w:val="22"/>
          <w:szCs w:val="22"/>
        </w:rPr>
        <w:t xml:space="preserve">The UAE stock market index closed down 0.06% at 2547.36 points, losing 207.78 million dirhams in market value amid slow price movements despite sharp global market fluctuations, with Abu Dhabi's index falling 0.15% while Dubai's index rose 0.2%. Several stocks saw notable gains, including Tamweel rising 3.52%...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FBFBF" w:sz="1"/>
              <w:left w:val="single" w:color="BFBFBF" w:sz="1"/>
              <w:bottom w:val="single" w:color="BFBFBF" w:sz="1"/>
              <w:right w:val="single" w:color="BFBFBF" w:sz="1"/>
            </w:tcBorders>
            <w:shd w:fill="F2F6FB" w:color="auto" w:val="clear"/>
            <w:tcMar>
              <w:top w:type="dxa" w:w="120"/>
              <w:left w:type="dxa" w:w="160"/>
              <w:bottom w:type="dxa" w:w="120"/>
              <w:right w:type="dxa" w:w="160"/>
            </w:tcMar>
          </w:tcPr>
          <w:p>
            <w:pPr>
              <w:bidi/>
              <w:spacing w:after="80"/>
              <w:jc w:val="right"/>
            </w:pPr>
            <w:r>
              <w:rPr>
                <w:rFonts w:ascii="Tahoma" w:cs="Tahoma" w:hAnsi="Tahoma"/>
                <w:b/>
                <w:bCs/>
                <w:i w:val="false"/>
                <w:iCs w:val="false"/>
                <w:color w:val="1F4E79"/>
                <w:sz w:val="22"/>
                <w:szCs w:val="22"/>
                <w:rtl/>
              </w:rPr>
              <w:t xml:space="preserve">المرجع (Claude Opus)</w:t>
            </w:r>
          </w:p>
          <w:p>
            <w:pPr>
              <w:bidi/>
              <w:spacing w:after="0" w:line="340"/>
              <w:jc w:val="right"/>
            </w:pPr>
            <w:r>
              <w:rPr>
                <w:rFonts w:ascii="Tahoma" w:cs="Tahoma" w:hAnsi="Tahoma"/>
                <w:b w:val="false"/>
                <w:bCs w:val="false"/>
                <w:i w:val="false"/>
                <w:iCs w:val="false"/>
                <w:color w:val="1A1A1A"/>
                <w:sz w:val="22"/>
                <w:szCs w:val="22"/>
                <w:rtl/>
              </w:rPr>
              <w:t xml:space="preserve">أغلق مؤشر سوق الإمارات للأسهم منخفضاً بنسبة 0.06% عند 2547.36 نقطة، مسجلاً خسائر في القيمة السوقية بلغت 207.78 مليون درهم في ظل تحركات سعرية بطيئة على الرغم من التقلبات الحادة في الأسواق العالمية، حيث تراجع مؤشر سوق أبوظبي بنسبة 0.15% فيما ارتفع مؤشر سوق دبي بنسبة 0.2%. وسجلت عدة أسهم ارتفاعات ملحوظة، من بينها سهم تمويل الذي صعد بنسبة 3.52%، وسهم الدار الذي ارتفع بنسبة 1.64%، وسهم إعمار بنسبة 0.35%، في حين انخفض سهم بنك أبوظبي الوطني بنسبة 1.29%.</w:t>
            </w:r>
          </w:p>
        </w:tc>
        <w:tc>
          <w:tcPr>
            <w:tcW w:type="dxa" w:w="4680"/>
            <w:tcBorders>
              <w:top w:val="single" w:color="BFBFBF" w:sz="1"/>
              <w:left w:val="single" w:color="BFBFBF" w:sz="1"/>
              <w:bottom w:val="single" w:color="BFBFBF" w:sz="1"/>
              <w:right w:val="single" w:color="BFBFBF" w:sz="1"/>
            </w:tcBorders>
            <w:shd w:fill="FFFFFF" w:color="auto" w:val="clear"/>
            <w:tcMar>
              <w:top w:type="dxa" w:w="120"/>
              <w:left w:type="dxa" w:w="160"/>
              <w:bottom w:type="dxa" w:w="120"/>
              <w:right w:type="dxa" w:w="160"/>
            </w:tcMar>
          </w:tcPr>
          <w:p>
            <w:pPr>
              <w:bidi/>
              <w:spacing w:after="80"/>
              <w:jc w:val="right"/>
            </w:pPr>
            <w:r>
              <w:rPr>
                <w:rFonts w:ascii="Tahoma" w:cs="Tahoma" w:hAnsi="Tahoma"/>
                <w:b/>
                <w:bCs/>
                <w:i w:val="false"/>
                <w:iCs w:val="false"/>
                <w:color w:val="1F4E79"/>
                <w:sz w:val="22"/>
                <w:szCs w:val="22"/>
                <w:rtl/>
              </w:rPr>
              <w:t xml:space="preserve">معين الذكي</w:t>
            </w:r>
          </w:p>
          <w:p>
            <w:pPr>
              <w:bidi/>
              <w:spacing w:after="0" w:line="340"/>
              <w:jc w:val="right"/>
            </w:pPr>
            <w:r>
              <w:rPr>
                <w:rFonts w:ascii="Tahoma" w:cs="Tahoma" w:hAnsi="Tahoma"/>
                <w:b w:val="false"/>
                <w:bCs w:val="false"/>
                <w:i w:val="false"/>
                <w:iCs w:val="false"/>
                <w:color w:val="1A1A1A"/>
                <w:sz w:val="22"/>
                <w:szCs w:val="22"/>
                <w:rtl/>
              </w:rPr>
              <w:t xml:space="preserve">أغلق مؤشر سوق الإمارات على تراجع بنسبة 0.06% ليصل إلى 2547.36 نقطة، مع خسائر بلغت 207.78 مليون درهم، مما أدى إلى استقرار القيمة السوقية عند 374 مليار درهم، وذلك نتيجة لانخفاض مؤشر سوق أبوظبي بنسبة 0.15% إلى 2601.02 نقطة، بينما ارتفع مؤشر سوق دبي بنسبة 0.2% ليصل إلى 1487.98 نقطة. كما سجل سهم تمويل ارتفاعاً بنسبة 3.52% مع تداولات شملت أكثر من عشرة ملايين سهم، بينما ارتفع سهم الدار بنسبة 64.1% إلى 24.1 درهم، وصروح بنسبة 85%... [الترجمة تحوي أخطاء رقمية جوهرية].</w:t>
            </w:r>
          </w:p>
        </w:tc>
      </w:tr>
    </w:tbl>
    <w:p>
      <w:pPr>
        <w:shd w:fill="1F4E79" w:color="auto" w:val="clear"/>
        <w:bidi/>
        <w:spacing w:after="80" w:before="140"/>
        <w:jc w:val="right"/>
      </w:pPr>
      <w:r>
        <w:rPr>
          <w:rFonts w:ascii="Tahoma" w:cs="Tahoma" w:hAnsi="Tahoma"/>
          <w:b/>
          <w:bCs/>
          <w:i w:val="false"/>
          <w:iCs w:val="false"/>
          <w:color w:val="FFFFFF"/>
          <w:sz w:val="22"/>
          <w:szCs w:val="22"/>
          <w:rtl/>
        </w:rPr>
        <w:t xml:space="preserve">  معايير الحَكم:  </w:t>
      </w:r>
      <w:r>
        <w:rPr>
          <w:rFonts w:ascii="Consolas" w:hAnsi="Consolas"/>
          <w:color w:val="FFFFFF"/>
          <w:sz w:val="22"/>
          <w:szCs w:val="22"/>
        </w:rPr>
        <w:t xml:space="preserve">faithfulness=0/3    fluency=2/3    terminology=1/2    register=2/2</w:t>
      </w:r>
    </w:p>
    <w:p>
      <w:pPr>
        <w:shd w:fill="F2F6FB" w:color="auto" w:val="clear"/>
        <w:bidi/>
        <w:spacing w:after="120" w:before="0" w:line="340"/>
        <w:jc w:val="right"/>
      </w:pPr>
      <w:r>
        <w:rPr>
          <w:rFonts w:ascii="Tahoma" w:cs="Tahoma" w:hAnsi="Tahoma"/>
          <w:b/>
          <w:bCs/>
          <w:i w:val="false"/>
          <w:iCs w:val="false"/>
          <w:color w:val="1F4E79"/>
          <w:sz w:val="22"/>
          <w:szCs w:val="22"/>
          <w:rtl/>
        </w:rPr>
        <w:t xml:space="preserve">تعليق الحَكم: </w:t>
      </w:r>
      <w:r>
        <w:rPr>
          <w:rFonts w:ascii="Tahoma" w:cs="Tahoma" w:hAnsi="Tahoma"/>
          <w:b w:val="false"/>
          <w:bCs w:val="false"/>
          <w:i w:val="false"/>
          <w:iCs w:val="false"/>
          <w:color w:val="1A1A1A"/>
          <w:sz w:val="22"/>
          <w:szCs w:val="22"/>
          <w:rtl/>
        </w:rPr>
        <w:t xml:space="preserve">الترجمة غير أمينة للمصدر/المرجع بسبب إضافات وتغييرات رقمية ومعلوماتية كبيرة: أضافت قيمة سوقية (374 مليار) ومستويات نقاط لمؤشري أبوظبي ودبي وأحجام تداول، وأدخلت أسهماً غير مذكورة في المصدر مع نسب/أسعار مبالغ فيها. كما حوّلت مكاسب بسيطة (الدار 1.64%، إعمار 0.35%) إلى قفزات هائلة (64.1%، 35%...) وغيّرت هبوط بنك أبوظبي الوطني من 1.29% إلى 29.1%.</w:t>
      </w:r>
    </w:p>
    <w:p>
      <w:r>
        <w:br w:type="page"/>
      </w:r>
    </w:p>
    <w:p>
      <w:pPr>
        <w:pStyle w:val="Heading1"/>
        <w:bidi/>
        <w:spacing w:after="160" w:before="360"/>
        <w:jc w:val="right"/>
      </w:pPr>
      <w:r>
        <w:rPr>
          <w:rFonts w:ascii="Tahoma" w:cs="Tahoma" w:hAnsi="Tahoma"/>
          <w:b/>
          <w:bCs/>
          <w:i w:val="false"/>
          <w:iCs w:val="false"/>
          <w:color w:val="1F4E79"/>
          <w:sz w:val="40"/>
          <w:szCs w:val="40"/>
          <w:rtl/>
        </w:rPr>
        <w:t xml:space="preserve">المثال الثالث — السياسة (POLITICS_044)</w:t>
      </w:r>
    </w:p>
    <w:p>
      <w:pPr>
        <w:bidi/>
        <w:spacing w:after="160" w:before="0" w:line="360"/>
        <w:jc w:val="right"/>
      </w:pPr>
      <w:r>
        <w:rPr>
          <w:rFonts w:ascii="Tahoma" w:cs="Tahoma" w:hAnsi="Tahoma"/>
          <w:b/>
          <w:bCs/>
          <w:i w:val="false"/>
          <w:iCs w:val="false"/>
          <w:color w:val="2E75B6"/>
          <w:sz w:val="24"/>
          <w:szCs w:val="24"/>
          <w:rtl/>
        </w:rPr>
        <w:t xml:space="preserve">العنوان: </w:t>
      </w:r>
      <w:r>
        <w:rPr>
          <w:rFonts w:ascii="Tahoma" w:cs="Tahoma" w:hAnsi="Tahoma"/>
          <w:b w:val="false"/>
          <w:bCs w:val="false"/>
          <w:i w:val="false"/>
          <w:iCs w:val="false"/>
          <w:color w:val="1A1A1A"/>
          <w:sz w:val="24"/>
          <w:szCs w:val="24"/>
          <w:rtl/>
        </w:rPr>
        <w:t xml:space="preserve">رحب مجلس التعاون لدول الخليج العربية، ببيان وزارة الخارجية الأمريكية الذي جسد موقف الإدارة الأمريكية...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1F4E79" w:sz="1"/>
              <w:left w:val="single" w:color="1F4E79" w:sz="1"/>
              <w:bottom w:val="single" w:color="1F4E79" w:sz="1"/>
              <w:right w:val="single" w:color="1F4E79" w:sz="1"/>
            </w:tcBorders>
            <w:shd w:fill="1F4E79" w:color="auto" w:val="clear"/>
            <w:tcMar>
              <w:top w:type="dxa" w:w="100"/>
              <w:left w:type="dxa" w:w="120"/>
              <w:bottom w:type="dxa" w:w="100"/>
              <w:right w:type="dxa" w:w="120"/>
            </w:tcMar>
            <w:vAlign w:val="center"/>
          </w:tcPr>
          <w:p>
            <w:pPr>
              <w:bidi/>
              <w:spacing w:after="0" w:before="0"/>
              <w:jc w:val="right"/>
            </w:pPr>
            <w:r>
              <w:rPr>
                <w:rFonts w:ascii="Tahoma" w:cs="Tahoma" w:hAnsi="Tahoma"/>
                <w:b/>
                <w:bCs/>
                <w:i w:val="false"/>
                <w:iCs w:val="false"/>
                <w:color w:val="FFFFFF"/>
                <w:sz w:val="22"/>
                <w:szCs w:val="22"/>
                <w:rtl/>
              </w:rPr>
              <w:t xml:space="preserve">المعدل العام</w:t>
            </w:r>
          </w:p>
        </w:tc>
        <w:tc>
          <w:tcPr>
            <w:tcW w:type="dxa" w:w="1872"/>
            <w:tcBorders>
              <w:top w:val="single" w:color="1F4E79" w:sz="1"/>
              <w:left w:val="single" w:color="1F4E79" w:sz="1"/>
              <w:bottom w:val="single" w:color="1F4E79" w:sz="1"/>
              <w:right w:val="single" w:color="1F4E79" w:sz="1"/>
            </w:tcBorders>
            <w:shd w:fill="1F4E79" w:color="auto" w:val="clear"/>
            <w:tcMar>
              <w:top w:type="dxa" w:w="100"/>
              <w:left w:type="dxa" w:w="120"/>
              <w:bottom w:type="dxa" w:w="100"/>
              <w:right w:type="dxa" w:w="120"/>
            </w:tcMar>
            <w:vAlign w:val="center"/>
          </w:tcPr>
          <w:p>
            <w:pPr>
              <w:bidi/>
              <w:spacing w:after="0" w:before="0"/>
              <w:jc w:val="right"/>
            </w:pPr>
            <w:r>
              <w:rPr>
                <w:rFonts w:ascii="Tahoma" w:cs="Tahoma" w:hAnsi="Tahoma"/>
                <w:b/>
                <w:bCs/>
                <w:i w:val="false"/>
                <w:iCs w:val="false"/>
                <w:color w:val="FFFFFF"/>
                <w:sz w:val="22"/>
                <w:szCs w:val="22"/>
                <w:rtl/>
              </w:rPr>
              <w:t xml:space="preserve">NER</w:t>
            </w:r>
          </w:p>
        </w:tc>
        <w:tc>
          <w:tcPr>
            <w:tcW w:type="dxa" w:w="1872"/>
            <w:tcBorders>
              <w:top w:val="single" w:color="1F4E79" w:sz="1"/>
              <w:left w:val="single" w:color="1F4E79" w:sz="1"/>
              <w:bottom w:val="single" w:color="1F4E79" w:sz="1"/>
              <w:right w:val="single" w:color="1F4E79" w:sz="1"/>
            </w:tcBorders>
            <w:shd w:fill="1F4E79" w:color="auto" w:val="clear"/>
            <w:tcMar>
              <w:top w:type="dxa" w:w="100"/>
              <w:left w:type="dxa" w:w="120"/>
              <w:bottom w:type="dxa" w:w="100"/>
              <w:right w:type="dxa" w:w="120"/>
            </w:tcMar>
            <w:vAlign w:val="center"/>
          </w:tcPr>
          <w:p>
            <w:pPr>
              <w:bidi/>
              <w:spacing w:after="0" w:before="0"/>
              <w:jc w:val="right"/>
            </w:pPr>
            <w:r>
              <w:rPr>
                <w:rFonts w:ascii="Tahoma" w:cs="Tahoma" w:hAnsi="Tahoma"/>
                <w:b/>
                <w:bCs/>
                <w:i w:val="false"/>
                <w:iCs w:val="false"/>
                <w:color w:val="FFFFFF"/>
                <w:sz w:val="22"/>
                <w:szCs w:val="22"/>
                <w:rtl/>
              </w:rPr>
              <w:t xml:space="preserve">NLI</w:t>
            </w:r>
          </w:p>
        </w:tc>
        <w:tc>
          <w:tcPr>
            <w:tcW w:type="dxa" w:w="1872"/>
            <w:tcBorders>
              <w:top w:val="single" w:color="1F4E79" w:sz="1"/>
              <w:left w:val="single" w:color="1F4E79" w:sz="1"/>
              <w:bottom w:val="single" w:color="1F4E79" w:sz="1"/>
              <w:right w:val="single" w:color="1F4E79" w:sz="1"/>
            </w:tcBorders>
            <w:shd w:fill="1F4E79" w:color="auto" w:val="clear"/>
            <w:tcMar>
              <w:top w:type="dxa" w:w="100"/>
              <w:left w:type="dxa" w:w="120"/>
              <w:bottom w:type="dxa" w:w="100"/>
              <w:right w:type="dxa" w:w="120"/>
            </w:tcMar>
            <w:vAlign w:val="center"/>
          </w:tcPr>
          <w:p>
            <w:pPr>
              <w:bidi/>
              <w:spacing w:after="0" w:before="0"/>
              <w:jc w:val="right"/>
            </w:pPr>
            <w:r>
              <w:rPr>
                <w:rFonts w:ascii="Tahoma" w:cs="Tahoma" w:hAnsi="Tahoma"/>
                <w:b/>
                <w:bCs/>
                <w:i w:val="false"/>
                <w:iCs w:val="false"/>
                <w:color w:val="FFFFFF"/>
                <w:sz w:val="22"/>
                <w:szCs w:val="22"/>
                <w:rtl/>
              </w:rPr>
              <w:t xml:space="preserve">التلخيص</w:t>
            </w:r>
          </w:p>
        </w:tc>
        <w:tc>
          <w:tcPr>
            <w:tcW w:type="dxa" w:w="1872"/>
            <w:tcBorders>
              <w:top w:val="single" w:color="1F4E79" w:sz="1"/>
              <w:left w:val="single" w:color="1F4E79" w:sz="1"/>
              <w:bottom w:val="single" w:color="1F4E79" w:sz="1"/>
              <w:right w:val="single" w:color="1F4E79" w:sz="1"/>
            </w:tcBorders>
            <w:shd w:fill="1F4E79" w:color="auto" w:val="clear"/>
            <w:tcMar>
              <w:top w:type="dxa" w:w="100"/>
              <w:left w:type="dxa" w:w="120"/>
              <w:bottom w:type="dxa" w:w="100"/>
              <w:right w:type="dxa" w:w="120"/>
            </w:tcMar>
            <w:vAlign w:val="center"/>
          </w:tcPr>
          <w:p>
            <w:pPr>
              <w:bidi/>
              <w:spacing w:after="0" w:before="0"/>
              <w:jc w:val="right"/>
            </w:pPr>
            <w:r>
              <w:rPr>
                <w:rFonts w:ascii="Tahoma" w:cs="Tahoma" w:hAnsi="Tahoma"/>
                <w:b/>
                <w:bCs/>
                <w:i w:val="false"/>
                <w:iCs w:val="false"/>
                <w:color w:val="FFFFFF"/>
                <w:sz w:val="22"/>
                <w:szCs w:val="22"/>
                <w:rtl/>
              </w:rPr>
              <w:t xml:space="preserve">الترجمة</w:t>
            </w:r>
          </w:p>
        </w:tc>
      </w:tr>
      <w:tr>
        <w:tc>
          <w:tcPr>
            <w:tcW w:type="dxa" w:w="1872"/>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5.92 / 10</w:t>
            </w:r>
          </w:p>
        </w:tc>
        <w:tc>
          <w:tcPr>
            <w:tcW w:type="dxa" w:w="1872"/>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0.00</w:t>
            </w:r>
          </w:p>
        </w:tc>
        <w:tc>
          <w:tcPr>
            <w:tcW w:type="dxa" w:w="1872"/>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10.00</w:t>
            </w:r>
          </w:p>
        </w:tc>
        <w:tc>
          <w:tcPr>
            <w:tcW w:type="dxa" w:w="1872"/>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10.00</w:t>
            </w:r>
          </w:p>
        </w:tc>
        <w:tc>
          <w:tcPr>
            <w:tcW w:type="dxa" w:w="1872"/>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5.67</w:t>
            </w:r>
          </w:p>
        </w:tc>
      </w:tr>
    </w:tbl>
    <w:p>
      <w:pPr>
        <w:pStyle w:val="Heading3"/>
        <w:bidi/>
        <w:spacing w:after="160" w:before="240"/>
        <w:jc w:val="right"/>
      </w:pPr>
      <w:r>
        <w:rPr>
          <w:rFonts w:ascii="Tahoma" w:cs="Tahoma" w:hAnsi="Tahoma"/>
          <w:b/>
          <w:bCs/>
          <w:i w:val="false"/>
          <w:iCs w:val="false"/>
          <w:color w:val="1F4E79"/>
          <w:sz w:val="28"/>
          <w:szCs w:val="28"/>
          <w:rtl/>
        </w:rPr>
        <w:t xml:space="preserve">مقتطف من المقالة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C9A227" w:sz="24"/>
              <w:bottom w:val="single" w:color="BFBFBF" w:sz="2"/>
              <w:right w:val="single" w:color="BFBFBF" w:sz="2"/>
            </w:tcBorders>
            <w:shd w:fill="F2F6FB" w:color="auto" w:val="clear"/>
            <w:tcMar>
              <w:top w:type="dxa" w:w="160"/>
              <w:left w:type="dxa" w:w="200"/>
              <w:bottom w:type="dxa" w:w="160"/>
              <w:right w:type="dxa" w:w="200"/>
            </w:tcMar>
          </w:tcPr>
          <w:p>
            <w:pPr>
              <w:bidi/>
              <w:spacing w:after="0" w:before="0" w:line="340"/>
              <w:jc w:val="right"/>
            </w:pPr>
            <w:r>
              <w:rPr>
                <w:rFonts w:ascii="Tahoma" w:cs="Tahoma" w:hAnsi="Tahoma"/>
                <w:b w:val="false"/>
                <w:bCs w:val="false"/>
                <w:i/>
                <w:iCs/>
                <w:color w:val="595959"/>
                <w:sz w:val="22"/>
                <w:szCs w:val="22"/>
                <w:rtl/>
              </w:rPr>
              <w:t xml:space="preserve">رحب مجلس التعاون لدول الخليج العربية، ببيان وزارة الخارجية الأمريكية الذي جسد موقف الإدارة الأمريكية الثابت تجاه دعم جهود البحرين في مكافحة التنظيمات الإرهابية المتطرفة، وما تتعرض له من أعمال إرهابية تستهدف المساس بأمنها واستقرارها. وقال عبداللطيف بن راشد الزياني، أمين عام مجلس التعاون، إن بيان وزارة الخارجية الأمريكية الذي تضمن وضع أشخاص بحرينيين على قائمة الإرهاب العالمي دليل على مساندة الإدارة الأمريكية...</w:t>
            </w:r>
          </w:p>
        </w:tc>
      </w:tr>
    </w:tbl>
    <w:p>
      <w:pPr>
        <w:pStyle w:val="Heading3"/>
        <w:bidi/>
        <w:spacing w:after="160" w:before="240"/>
        <w:jc w:val="right"/>
      </w:pPr>
      <w:r>
        <w:rPr>
          <w:rFonts w:ascii="Tahoma" w:cs="Tahoma" w:hAnsi="Tahoma"/>
          <w:b/>
          <w:bCs/>
          <w:i w:val="false"/>
          <w:iCs w:val="false"/>
          <w:color w:val="1F4E79"/>
          <w:sz w:val="28"/>
          <w:szCs w:val="28"/>
          <w:rtl/>
        </w:rPr>
        <w:t xml:space="preserve">المهمة الأولى — التعرف على الكيانات (NER —0.00 /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0"/>
        <w:gridCol w:w="3800"/>
        <w:gridCol w:w="3800"/>
      </w:tblGrid>
      <w:tr>
        <w:trPr>
          <w:tblHeader/>
        </w:trPr>
        <w:tc>
          <w:tcPr>
            <w:tcW w:type="dxa" w:w="1760"/>
            <w:tcBorders>
              <w:top w:val="single" w:color="1F4E79" w:sz="1"/>
              <w:left w:val="single" w:color="1F4E79" w:sz="1"/>
              <w:bottom w:val="single" w:color="1F4E79" w:sz="1"/>
              <w:right w:val="single" w:color="1F4E79" w:sz="1"/>
            </w:tcBorders>
            <w:shd w:fill="1F4E79" w:color="auto" w:val="clear"/>
            <w:tcMar>
              <w:top w:type="dxa" w:w="100"/>
              <w:left w:type="dxa" w:w="120"/>
              <w:bottom w:type="dxa" w:w="100"/>
              <w:right w:type="dxa" w:w="120"/>
            </w:tcMar>
            <w:vAlign w:val="center"/>
          </w:tcPr>
          <w:p>
            <w:pPr>
              <w:bidi/>
              <w:spacing w:after="0" w:before="0"/>
              <w:jc w:val="right"/>
            </w:pPr>
            <w:r>
              <w:rPr>
                <w:rFonts w:ascii="Tahoma" w:cs="Tahoma" w:hAnsi="Tahoma"/>
                <w:b/>
                <w:bCs/>
                <w:i w:val="false"/>
                <w:iCs w:val="false"/>
                <w:color w:val="FFFFFF"/>
                <w:sz w:val="22"/>
                <w:szCs w:val="22"/>
                <w:rtl/>
              </w:rPr>
              <w:t xml:space="preserve">الفئة</w:t>
            </w:r>
          </w:p>
        </w:tc>
        <w:tc>
          <w:tcPr>
            <w:tcW w:type="dxa" w:w="3800"/>
            <w:tcBorders>
              <w:top w:val="single" w:color="1F4E79" w:sz="1"/>
              <w:left w:val="single" w:color="1F4E79" w:sz="1"/>
              <w:bottom w:val="single" w:color="1F4E79" w:sz="1"/>
              <w:right w:val="single" w:color="1F4E79" w:sz="1"/>
            </w:tcBorders>
            <w:shd w:fill="1F4E79" w:color="auto" w:val="clear"/>
            <w:tcMar>
              <w:top w:type="dxa" w:w="100"/>
              <w:left w:type="dxa" w:w="120"/>
              <w:bottom w:type="dxa" w:w="100"/>
              <w:right w:type="dxa" w:w="120"/>
            </w:tcMar>
            <w:vAlign w:val="center"/>
          </w:tcPr>
          <w:p>
            <w:pPr>
              <w:bidi/>
              <w:spacing w:after="0" w:before="0"/>
              <w:jc w:val="right"/>
            </w:pPr>
            <w:r>
              <w:rPr>
                <w:rFonts w:ascii="Tahoma" w:cs="Tahoma" w:hAnsi="Tahoma"/>
                <w:b/>
                <w:bCs/>
                <w:i w:val="false"/>
                <w:iCs w:val="false"/>
                <w:color w:val="FFFFFF"/>
                <w:sz w:val="22"/>
                <w:szCs w:val="22"/>
                <w:rtl/>
              </w:rPr>
              <w:t xml:space="preserve">المرجع (Claude Opus)</w:t>
            </w:r>
          </w:p>
        </w:tc>
        <w:tc>
          <w:tcPr>
            <w:tcW w:type="dxa" w:w="3800"/>
            <w:tcBorders>
              <w:top w:val="single" w:color="1F4E79" w:sz="1"/>
              <w:left w:val="single" w:color="1F4E79" w:sz="1"/>
              <w:bottom w:val="single" w:color="1F4E79" w:sz="1"/>
              <w:right w:val="single" w:color="1F4E79" w:sz="1"/>
            </w:tcBorders>
            <w:shd w:fill="1F4E79" w:color="auto" w:val="clear"/>
            <w:tcMar>
              <w:top w:type="dxa" w:w="100"/>
              <w:left w:type="dxa" w:w="120"/>
              <w:bottom w:type="dxa" w:w="100"/>
              <w:right w:type="dxa" w:w="120"/>
            </w:tcMar>
            <w:vAlign w:val="center"/>
          </w:tcPr>
          <w:p>
            <w:pPr>
              <w:bidi/>
              <w:spacing w:after="0" w:before="0"/>
              <w:jc w:val="right"/>
            </w:pPr>
            <w:r>
              <w:rPr>
                <w:rFonts w:ascii="Tahoma" w:cs="Tahoma" w:hAnsi="Tahoma"/>
                <w:b/>
                <w:bCs/>
                <w:i w:val="false"/>
                <w:iCs w:val="false"/>
                <w:color w:val="FFFFFF"/>
                <w:sz w:val="22"/>
                <w:szCs w:val="22"/>
                <w:rtl/>
              </w:rPr>
              <w:t xml:space="preserve">معين الذكي</w:t>
            </w:r>
          </w:p>
        </w:tc>
      </w:tr>
      <w:tr>
        <w:tc>
          <w:tcPr>
            <w:tcW w:type="dxa" w:w="17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أشخاص</w:t>
            </w:r>
          </w:p>
        </w:tc>
        <w:tc>
          <w:tcPr>
            <w:tcW w:type="dxa" w:w="38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عبداللطيف بن راشد الزياني</w:t>
            </w:r>
          </w:p>
        </w:tc>
        <w:tc>
          <w:tcPr>
            <w:tcW w:type="dxa" w:w="38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عبدلطيف بن راشد الزياني, الزياني</w:t>
            </w:r>
          </w:p>
        </w:tc>
      </w:tr>
      <w:tr>
        <w:tc>
          <w:tcPr>
            <w:tcW w:type="dxa" w:w="1760"/>
            <w:tcBorders>
              <w:top w:val="single" w:color="BFBFBF" w:sz="1"/>
              <w:left w:val="single" w:color="BFBFBF" w:sz="1"/>
              <w:bottom w:val="single" w:color="BFBFBF" w:sz="1"/>
              <w:right w:val="single" w:color="BFBFBF" w:sz="1"/>
            </w:tcBorders>
            <w:shd w:fill="F2F6FB"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مواقع</w:t>
            </w:r>
          </w:p>
        </w:tc>
        <w:tc>
          <w:tcPr>
            <w:tcW w:type="dxa" w:w="3800"/>
            <w:tcBorders>
              <w:top w:val="single" w:color="BFBFBF" w:sz="1"/>
              <w:left w:val="single" w:color="BFBFBF" w:sz="1"/>
              <w:bottom w:val="single" w:color="BFBFBF" w:sz="1"/>
              <w:right w:val="single" w:color="BFBFBF" w:sz="1"/>
            </w:tcBorders>
            <w:shd w:fill="F2F6FB"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البحرين, الولايات المتحدة</w:t>
            </w:r>
          </w:p>
        </w:tc>
        <w:tc>
          <w:tcPr>
            <w:tcW w:type="dxa" w:w="3800"/>
            <w:tcBorders>
              <w:top w:val="single" w:color="BFBFBF" w:sz="1"/>
              <w:left w:val="single" w:color="BFBFBF" w:sz="1"/>
              <w:bottom w:val="single" w:color="BFBFBF" w:sz="1"/>
              <w:right w:val="single" w:color="BFBFBF" w:sz="1"/>
            </w:tcBorders>
            <w:shd w:fill="F2F6FB"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البحرين, الولايات المتحدة, سويسرا, مجلس التعاون الخليجي, مجلس حقوق الإنسان الأممي, مجلس الأمم المتحدة لحقوق الإنسان</w:t>
            </w:r>
          </w:p>
        </w:tc>
      </w:tr>
      <w:tr>
        <w:tc>
          <w:tcPr>
            <w:tcW w:type="dxa" w:w="17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مؤسسات</w:t>
            </w:r>
          </w:p>
        </w:tc>
        <w:tc>
          <w:tcPr>
            <w:tcW w:type="dxa" w:w="38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مجلس التعاون لدول الخليج العربية, وزارة الخارجية الأمريكية, سرايا الأشتر, وكالة أنباء البحرين الرسمية, وزارة الخارجية البحرينية, الاتحاد السويسري, مجلس الأمم المتحدة لحقوق الإنسان, الحكومة السويسرية, وام</w:t>
            </w:r>
          </w:p>
        </w:tc>
        <w:tc>
          <w:tcPr>
            <w:tcW w:type="dxa" w:w="38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مجلس التعاون لدول الخليج العربية, وزارة الخارجية الأمريكية, البحرين, الاتحاد السويسري, وكالة أنباء البحرين (بنا), مجلس حقوق الإنسان الأممي, مجلس الأمم المتحدة لحقوق الإنسان, GCC, الولايات المتحدة, الولايات المتحدة الصديقة, الإدارة الأمريكية, الخارجية البحرينية</w:t>
            </w:r>
          </w:p>
        </w:tc>
      </w:tr>
      <w:tr>
        <w:tc>
          <w:tcPr>
            <w:tcW w:type="dxa" w:w="1760"/>
            <w:tcBorders>
              <w:top w:val="single" w:color="BFBFBF" w:sz="1"/>
              <w:left w:val="single" w:color="BFBFBF" w:sz="1"/>
              <w:bottom w:val="single" w:color="BFBFBF" w:sz="1"/>
              <w:right w:val="single" w:color="BFBFBF" w:sz="1"/>
            </w:tcBorders>
            <w:shd w:fill="F2F6FB"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متنوع</w:t>
            </w:r>
          </w:p>
        </w:tc>
        <w:tc>
          <w:tcPr>
            <w:tcW w:type="dxa" w:w="3800"/>
            <w:tcBorders>
              <w:top w:val="single" w:color="BFBFBF" w:sz="1"/>
              <w:left w:val="single" w:color="BFBFBF" w:sz="1"/>
              <w:bottom w:val="single" w:color="BFBFBF" w:sz="1"/>
              <w:right w:val="single" w:color="BFBFBF" w:sz="1"/>
            </w:tcBorders>
            <w:shd w:fill="F2F6FB"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قائمة الإرهاب العالمي</w:t>
            </w:r>
          </w:p>
        </w:tc>
        <w:tc>
          <w:tcPr>
            <w:tcW w:type="dxa" w:w="3800"/>
            <w:tcBorders>
              <w:top w:val="single" w:color="BFBFBF" w:sz="1"/>
              <w:left w:val="single" w:color="BFBFBF" w:sz="1"/>
              <w:bottom w:val="single" w:color="BFBFBF" w:sz="1"/>
              <w:right w:val="single" w:color="BFBFBF" w:sz="1"/>
            </w:tcBorders>
            <w:shd w:fill="F2F6FB"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سرايا الأشتر, التنظيمات الإرهابية المتطرفة, الإرهاب, الإرهاب الدولي, الإرهاب العالمي, التنظيمات الإرهابية, الجماعات المتطرفة, الإرهابي, الإرهابية, الإرهابي</w:t>
            </w:r>
          </w:p>
        </w:tc>
      </w:tr>
    </w:tbl>
    <w:p>
      <w:pPr>
        <w:pStyle w:val="Heading3"/>
        <w:bidi/>
        <w:spacing w:after="160" w:before="240"/>
        <w:jc w:val="right"/>
      </w:pPr>
      <w:r>
        <w:rPr>
          <w:rFonts w:ascii="Tahoma" w:cs="Tahoma" w:hAnsi="Tahoma"/>
          <w:b/>
          <w:bCs/>
          <w:i w:val="false"/>
          <w:iCs w:val="false"/>
          <w:color w:val="1F4E79"/>
          <w:sz w:val="28"/>
          <w:szCs w:val="28"/>
          <w:rtl/>
        </w:rPr>
        <w:t xml:space="preserve">المهمة الثانية — التلخيص (10.00 /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FBFBF" w:sz="1"/>
              <w:left w:val="single" w:color="BFBFBF" w:sz="1"/>
              <w:bottom w:val="single" w:color="BFBFBF" w:sz="1"/>
              <w:right w:val="single" w:color="BFBFBF" w:sz="1"/>
            </w:tcBorders>
            <w:shd w:fill="F2F6FB" w:color="auto" w:val="clear"/>
            <w:tcMar>
              <w:top w:type="dxa" w:w="120"/>
              <w:left w:type="dxa" w:w="160"/>
              <w:bottom w:type="dxa" w:w="120"/>
              <w:right w:type="dxa" w:w="160"/>
            </w:tcMar>
          </w:tcPr>
          <w:p>
            <w:pPr>
              <w:bidi/>
              <w:spacing w:after="80"/>
              <w:jc w:val="right"/>
            </w:pPr>
            <w:r>
              <w:rPr>
                <w:rFonts w:ascii="Tahoma" w:cs="Tahoma" w:hAnsi="Tahoma"/>
                <w:b/>
                <w:bCs/>
                <w:i w:val="false"/>
                <w:iCs w:val="false"/>
                <w:color w:val="1F4E79"/>
                <w:sz w:val="22"/>
                <w:szCs w:val="22"/>
                <w:rtl/>
              </w:rPr>
              <w:t xml:space="preserve">المرجع (Claude Opus)</w:t>
            </w:r>
          </w:p>
          <w:p>
            <w:pPr>
              <w:bidi/>
              <w:spacing w:after="0" w:line="340"/>
              <w:jc w:val="right"/>
            </w:pPr>
            <w:r>
              <w:rPr>
                <w:rFonts w:ascii="Tahoma" w:cs="Tahoma" w:hAnsi="Tahoma"/>
                <w:b w:val="false"/>
                <w:bCs w:val="false"/>
                <w:i w:val="false"/>
                <w:iCs w:val="false"/>
                <w:color w:val="1A1A1A"/>
                <w:sz w:val="22"/>
                <w:szCs w:val="22"/>
                <w:rtl/>
              </w:rPr>
              <w:t xml:space="preserve">أعرب مجلس التعاون الخليجي على لسان أمينه العام عبداللطيف الزياني عن ترحيبه ببيان الخارجية الأمريكية الذي تضمّن إدراج أشخاص بحرينيين وتنظيم «سرايا الأشتر» على قائمة الإرهاب الدولي، معتبرًا ذلك مساندةً صريحة لجهود البحرين في التصدي للتنظيمات المتطرفة التي تستهدف أمنها واستقرارها. وفي السياق ذاته، أبدت دول المجلس رفضها القاطع لما ورد في بيان المندوب السويسري أمام مجلس حقوق الإنسان الأممي من اتهامات وصفتها بالمغالطات بشأن أوضاع حقوق الإنسان في البحرين.</w:t>
            </w:r>
          </w:p>
        </w:tc>
        <w:tc>
          <w:tcPr>
            <w:tcW w:type="dxa" w:w="4680"/>
            <w:tcBorders>
              <w:top w:val="single" w:color="BFBFBF" w:sz="1"/>
              <w:left w:val="single" w:color="BFBFBF" w:sz="1"/>
              <w:bottom w:val="single" w:color="BFBFBF" w:sz="1"/>
              <w:right w:val="single" w:color="BFBFBF" w:sz="1"/>
            </w:tcBorders>
            <w:shd w:fill="FFFFFF" w:color="auto" w:val="clear"/>
            <w:tcMar>
              <w:top w:type="dxa" w:w="120"/>
              <w:left w:type="dxa" w:w="160"/>
              <w:bottom w:type="dxa" w:w="120"/>
              <w:right w:type="dxa" w:w="160"/>
            </w:tcMar>
          </w:tcPr>
          <w:p>
            <w:pPr>
              <w:bidi/>
              <w:spacing w:after="80"/>
              <w:jc w:val="right"/>
            </w:pPr>
            <w:r>
              <w:rPr>
                <w:rFonts w:ascii="Tahoma" w:cs="Tahoma" w:hAnsi="Tahoma"/>
                <w:b/>
                <w:bCs/>
                <w:i w:val="false"/>
                <w:iCs w:val="false"/>
                <w:color w:val="1F4E79"/>
                <w:sz w:val="22"/>
                <w:szCs w:val="22"/>
                <w:rtl/>
              </w:rPr>
              <w:t xml:space="preserve">معين الذكي</w:t>
            </w:r>
          </w:p>
          <w:p>
            <w:pPr>
              <w:bidi/>
              <w:spacing w:after="0" w:line="340"/>
              <w:jc w:val="right"/>
            </w:pPr>
            <w:r>
              <w:rPr>
                <w:rFonts w:ascii="Tahoma" w:cs="Tahoma" w:hAnsi="Tahoma"/>
                <w:b w:val="false"/>
                <w:bCs w:val="false"/>
                <w:i w:val="false"/>
                <w:iCs w:val="false"/>
                <w:color w:val="1A1A1A"/>
                <w:sz w:val="22"/>
                <w:szCs w:val="22"/>
                <w:rtl/>
              </w:rPr>
              <w:t xml:space="preserve">أعلن أمين عام مجلس التعاون الخليجي عبداللطيف بن راشد الزياني أن إدراج أشخاص بحرينيين في قائمة الإرهاب الدولي يعكس دعم الولايات المتحدة لجهود البحرين في مكافحة التنظيمات الإرهابية. كما رحبت البحرين بقرار إدراج مجموعة 'سرايا الأشتر' في قائمة الإرهاب، ورفضت دول الخليج بشكل قاطع ادعاءات سويسرا حول أوضاع حقوق الإنسان في البحرين.</w:t>
            </w:r>
          </w:p>
        </w:tc>
      </w:tr>
    </w:tbl>
    <w:p>
      <w:pPr>
        <w:shd w:fill="1F4E79" w:color="auto" w:val="clear"/>
        <w:bidi/>
        <w:spacing w:after="80" w:before="140"/>
        <w:jc w:val="right"/>
      </w:pPr>
      <w:r>
        <w:rPr>
          <w:rFonts w:ascii="Tahoma" w:cs="Tahoma" w:hAnsi="Tahoma"/>
          <w:b/>
          <w:bCs/>
          <w:i w:val="false"/>
          <w:iCs w:val="false"/>
          <w:color w:val="FFFFFF"/>
          <w:sz w:val="22"/>
          <w:szCs w:val="22"/>
          <w:rtl/>
        </w:rPr>
        <w:t xml:space="preserve">  معايير الحَكم:  </w:t>
      </w:r>
      <w:r>
        <w:rPr>
          <w:rFonts w:ascii="Consolas" w:hAnsi="Consolas"/>
          <w:color w:val="FFFFFF"/>
          <w:sz w:val="22"/>
          <w:szCs w:val="22"/>
        </w:rPr>
        <w:t xml:space="preserve">factual=3/3    coverage=3/3    no_inference=2/2    register=2/2</w:t>
      </w:r>
    </w:p>
    <w:p>
      <w:pPr>
        <w:shd w:fill="F2F6FB" w:color="auto" w:val="clear"/>
        <w:bidi/>
        <w:spacing w:after="120" w:before="0" w:line="340"/>
        <w:jc w:val="right"/>
      </w:pPr>
      <w:r>
        <w:rPr>
          <w:rFonts w:ascii="Tahoma" w:cs="Tahoma" w:hAnsi="Tahoma"/>
          <w:b/>
          <w:bCs/>
          <w:i w:val="false"/>
          <w:iCs w:val="false"/>
          <w:color w:val="1F4E79"/>
          <w:sz w:val="22"/>
          <w:szCs w:val="22"/>
          <w:rtl/>
        </w:rPr>
        <w:t xml:space="preserve">تعليق الحَكم: </w:t>
      </w:r>
      <w:r>
        <w:rPr>
          <w:rFonts w:ascii="Tahoma" w:cs="Tahoma" w:hAnsi="Tahoma"/>
          <w:b w:val="false"/>
          <w:bCs w:val="false"/>
          <w:i w:val="false"/>
          <w:iCs w:val="false"/>
          <w:color w:val="1A1A1A"/>
          <w:sz w:val="22"/>
          <w:szCs w:val="22"/>
          <w:rtl/>
        </w:rPr>
        <w:t xml:space="preserve">الملخص مطابق لمحتوى المصدر والمرجع: ذكر ترحيب مجلس التعاون/الزياني ببيان الخارجية الأمريكية وإدراج أشخاص بحرينيين على قائمة الإرهاب، وذكر ترحيب البحرين بإدراج «سرايا الأشتر»، وذكر الرفض الخليجي القاطع لادعاءات/اتهامات سويسرا بشأن حقوق الإنسان في البحرين. لا توجد أخطاء جوهرية أو استنتاجات مضافة.</w:t>
      </w:r>
    </w:p>
    <w:p>
      <w:pPr>
        <w:pStyle w:val="Heading3"/>
        <w:bidi/>
        <w:spacing w:after="160" w:before="240"/>
        <w:jc w:val="right"/>
      </w:pPr>
      <w:r>
        <w:rPr>
          <w:rFonts w:ascii="Tahoma" w:cs="Tahoma" w:hAnsi="Tahoma"/>
          <w:b/>
          <w:bCs/>
          <w:i w:val="false"/>
          <w:iCs w:val="false"/>
          <w:color w:val="1F4E79"/>
          <w:sz w:val="28"/>
          <w:szCs w:val="28"/>
          <w:rtl/>
        </w:rPr>
        <w:t xml:space="preserve">المهمة الثالثة — الاستدلال اللغوي (NLI —10.00 /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000"/>
        <w:gridCol w:w="1600"/>
        <w:gridCol w:w="1600"/>
        <w:gridCol w:w="560"/>
      </w:tblGrid>
      <w:tr>
        <w:trPr>
          <w:tblHeader/>
        </w:trPr>
        <w:tc>
          <w:tcPr>
            <w:tcW w:type="dxa" w:w="600"/>
            <w:tcBorders>
              <w:top w:val="single" w:color="1F4E79" w:sz="1"/>
              <w:left w:val="single" w:color="1F4E79" w:sz="1"/>
              <w:bottom w:val="single" w:color="1F4E79" w:sz="1"/>
              <w:right w:val="single" w:color="1F4E79" w:sz="1"/>
            </w:tcBorders>
            <w:shd w:fill="1F4E79" w:color="auto" w:val="clear"/>
            <w:tcMar>
              <w:top w:type="dxa" w:w="100"/>
              <w:left w:type="dxa" w:w="120"/>
              <w:bottom w:type="dxa" w:w="100"/>
              <w:right w:type="dxa" w:w="120"/>
            </w:tcMar>
            <w:vAlign w:val="center"/>
          </w:tcPr>
          <w:p>
            <w:pPr>
              <w:bidi/>
              <w:spacing w:after="0" w:before="0"/>
              <w:jc w:val="right"/>
            </w:pPr>
            <w:r>
              <w:rPr>
                <w:rFonts w:ascii="Tahoma" w:cs="Tahoma" w:hAnsi="Tahoma"/>
                <w:b/>
                <w:bCs/>
                <w:i w:val="false"/>
                <w:iCs w:val="false"/>
                <w:color w:val="FFFFFF"/>
                <w:sz w:val="22"/>
                <w:szCs w:val="22"/>
                <w:rtl/>
              </w:rPr>
              <w:t xml:space="preserve">#</w:t>
            </w:r>
          </w:p>
        </w:tc>
        <w:tc>
          <w:tcPr>
            <w:tcW w:type="dxa" w:w="5000"/>
            <w:tcBorders>
              <w:top w:val="single" w:color="1F4E79" w:sz="1"/>
              <w:left w:val="single" w:color="1F4E79" w:sz="1"/>
              <w:bottom w:val="single" w:color="1F4E79" w:sz="1"/>
              <w:right w:val="single" w:color="1F4E79" w:sz="1"/>
            </w:tcBorders>
            <w:shd w:fill="1F4E79" w:color="auto" w:val="clear"/>
            <w:tcMar>
              <w:top w:type="dxa" w:w="100"/>
              <w:left w:type="dxa" w:w="120"/>
              <w:bottom w:type="dxa" w:w="100"/>
              <w:right w:type="dxa" w:w="120"/>
            </w:tcMar>
            <w:vAlign w:val="center"/>
          </w:tcPr>
          <w:p>
            <w:pPr>
              <w:bidi/>
              <w:spacing w:after="0" w:before="0"/>
              <w:jc w:val="right"/>
            </w:pPr>
            <w:r>
              <w:rPr>
                <w:rFonts w:ascii="Tahoma" w:cs="Tahoma" w:hAnsi="Tahoma"/>
                <w:b/>
                <w:bCs/>
                <w:i w:val="false"/>
                <w:iCs w:val="false"/>
                <w:color w:val="FFFFFF"/>
                <w:sz w:val="22"/>
                <w:szCs w:val="22"/>
                <w:rtl/>
              </w:rPr>
              <w:t xml:space="preserve">نص الادعاء</w:t>
            </w:r>
          </w:p>
        </w:tc>
        <w:tc>
          <w:tcPr>
            <w:tcW w:type="dxa" w:w="1600"/>
            <w:tcBorders>
              <w:top w:val="single" w:color="1F4E79" w:sz="1"/>
              <w:left w:val="single" w:color="1F4E79" w:sz="1"/>
              <w:bottom w:val="single" w:color="1F4E79" w:sz="1"/>
              <w:right w:val="single" w:color="1F4E79" w:sz="1"/>
            </w:tcBorders>
            <w:shd w:fill="1F4E79" w:color="auto" w:val="clear"/>
            <w:tcMar>
              <w:top w:type="dxa" w:w="100"/>
              <w:left w:type="dxa" w:w="120"/>
              <w:bottom w:type="dxa" w:w="100"/>
              <w:right w:type="dxa" w:w="120"/>
            </w:tcMar>
            <w:vAlign w:val="center"/>
          </w:tcPr>
          <w:p>
            <w:pPr>
              <w:bidi/>
              <w:spacing w:after="0" w:before="0"/>
              <w:jc w:val="right"/>
            </w:pPr>
            <w:r>
              <w:rPr>
                <w:rFonts w:ascii="Tahoma" w:cs="Tahoma" w:hAnsi="Tahoma"/>
                <w:b/>
                <w:bCs/>
                <w:i w:val="false"/>
                <w:iCs w:val="false"/>
                <w:color w:val="FFFFFF"/>
                <w:sz w:val="22"/>
                <w:szCs w:val="22"/>
                <w:rtl/>
              </w:rPr>
              <w:t xml:space="preserve">المرجع</w:t>
            </w:r>
          </w:p>
        </w:tc>
        <w:tc>
          <w:tcPr>
            <w:tcW w:type="dxa" w:w="1600"/>
            <w:tcBorders>
              <w:top w:val="single" w:color="1F4E79" w:sz="1"/>
              <w:left w:val="single" w:color="1F4E79" w:sz="1"/>
              <w:bottom w:val="single" w:color="1F4E79" w:sz="1"/>
              <w:right w:val="single" w:color="1F4E79" w:sz="1"/>
            </w:tcBorders>
            <w:shd w:fill="1F4E79" w:color="auto" w:val="clear"/>
            <w:tcMar>
              <w:top w:type="dxa" w:w="100"/>
              <w:left w:type="dxa" w:w="120"/>
              <w:bottom w:type="dxa" w:w="100"/>
              <w:right w:type="dxa" w:w="120"/>
            </w:tcMar>
            <w:vAlign w:val="center"/>
          </w:tcPr>
          <w:p>
            <w:pPr>
              <w:bidi/>
              <w:spacing w:after="0" w:before="0"/>
              <w:jc w:val="right"/>
            </w:pPr>
            <w:r>
              <w:rPr>
                <w:rFonts w:ascii="Tahoma" w:cs="Tahoma" w:hAnsi="Tahoma"/>
                <w:b/>
                <w:bCs/>
                <w:i w:val="false"/>
                <w:iCs w:val="false"/>
                <w:color w:val="FFFFFF"/>
                <w:sz w:val="22"/>
                <w:szCs w:val="22"/>
                <w:rtl/>
              </w:rPr>
              <w:t xml:space="preserve">معين</w:t>
            </w:r>
          </w:p>
        </w:tc>
        <w:tc>
          <w:tcPr>
            <w:tcW w:type="dxa" w:w="560"/>
            <w:tcBorders>
              <w:top w:val="single" w:color="1F4E79" w:sz="1"/>
              <w:left w:val="single" w:color="1F4E79" w:sz="1"/>
              <w:bottom w:val="single" w:color="1F4E79" w:sz="1"/>
              <w:right w:val="single" w:color="1F4E79" w:sz="1"/>
            </w:tcBorders>
            <w:shd w:fill="1F4E79" w:color="auto" w:val="clear"/>
            <w:tcMar>
              <w:top w:type="dxa" w:w="100"/>
              <w:left w:type="dxa" w:w="120"/>
              <w:bottom w:type="dxa" w:w="100"/>
              <w:right w:type="dxa" w:w="120"/>
            </w:tcMar>
            <w:vAlign w:val="center"/>
          </w:tcPr>
          <w:p>
            <w:pPr>
              <w:bidi/>
              <w:spacing w:after="0" w:before="0"/>
              <w:jc w:val="right"/>
            </w:pPr>
            <w:r>
              <w:rPr>
                <w:rFonts w:ascii="Tahoma" w:cs="Tahoma" w:hAnsi="Tahoma"/>
                <w:b/>
                <w:bCs/>
                <w:i w:val="false"/>
                <w:iCs w:val="false"/>
                <w:color w:val="FFFFFF"/>
                <w:sz w:val="22"/>
                <w:szCs w:val="22"/>
                <w:rtl/>
              </w:rPr>
              <w:t xml:space="preserve">المطابقة</w:t>
            </w:r>
          </w:p>
        </w:tc>
      </w:tr>
      <w:tr>
        <w:tc>
          <w:tcPr>
            <w:tcW w:type="dxa" w:w="6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1</w:t>
            </w:r>
          </w:p>
        </w:tc>
        <w:tc>
          <w:tcPr>
            <w:tcW w:type="dxa" w:w="50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أعلن عبداللطيف بن راشد الزياني بصفته أميناً عاماً لمجلس التعاون الخليجي أن إدراج...</w:t>
            </w:r>
          </w:p>
        </w:tc>
        <w:tc>
          <w:tcPr>
            <w:tcW w:type="dxa" w:w="16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SUPPORTED</w:t>
            </w:r>
          </w:p>
        </w:tc>
        <w:tc>
          <w:tcPr>
            <w:tcW w:type="dxa" w:w="16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SUPPORTED</w:t>
            </w:r>
          </w:p>
        </w:tc>
        <w:tc>
          <w:tcPr>
            <w:tcW w:type="dxa" w:w="5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w:t>
            </w:r>
          </w:p>
        </w:tc>
      </w:tr>
      <w:tr>
        <w:tc>
          <w:tcPr>
            <w:tcW w:type="dxa" w:w="600"/>
            <w:tcBorders>
              <w:top w:val="single" w:color="BFBFBF" w:sz="1"/>
              <w:left w:val="single" w:color="BFBFBF" w:sz="1"/>
              <w:bottom w:val="single" w:color="BFBFBF" w:sz="1"/>
              <w:right w:val="single" w:color="BFBFBF" w:sz="1"/>
            </w:tcBorders>
            <w:shd w:fill="F2F6FB"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2</w:t>
            </w:r>
          </w:p>
        </w:tc>
        <w:tc>
          <w:tcPr>
            <w:tcW w:type="dxa" w:w="5000"/>
            <w:tcBorders>
              <w:top w:val="single" w:color="BFBFBF" w:sz="1"/>
              <w:left w:val="single" w:color="BFBFBF" w:sz="1"/>
              <w:bottom w:val="single" w:color="BFBFBF" w:sz="1"/>
              <w:right w:val="single" w:color="BFBFBF" w:sz="1"/>
            </w:tcBorders>
            <w:shd w:fill="F2F6FB"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أبدت دول مجلس التعاون الخليجي رفضها التام لما ورد في بيان المندوب السويسري...</w:t>
            </w:r>
          </w:p>
        </w:tc>
        <w:tc>
          <w:tcPr>
            <w:tcW w:type="dxa" w:w="1600"/>
            <w:tcBorders>
              <w:top w:val="single" w:color="BFBFBF" w:sz="1"/>
              <w:left w:val="single" w:color="BFBFBF" w:sz="1"/>
              <w:bottom w:val="single" w:color="BFBFBF" w:sz="1"/>
              <w:right w:val="single" w:color="BFBFBF" w:sz="1"/>
            </w:tcBorders>
            <w:shd w:fill="F2F6FB"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SUPPORTED</w:t>
            </w:r>
          </w:p>
        </w:tc>
        <w:tc>
          <w:tcPr>
            <w:tcW w:type="dxa" w:w="1600"/>
            <w:tcBorders>
              <w:top w:val="single" w:color="BFBFBF" w:sz="1"/>
              <w:left w:val="single" w:color="BFBFBF" w:sz="1"/>
              <w:bottom w:val="single" w:color="BFBFBF" w:sz="1"/>
              <w:right w:val="single" w:color="BFBFBF" w:sz="1"/>
            </w:tcBorders>
            <w:shd w:fill="F2F6FB"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SUPPORTED</w:t>
            </w:r>
          </w:p>
        </w:tc>
        <w:tc>
          <w:tcPr>
            <w:tcW w:type="dxa" w:w="560"/>
            <w:tcBorders>
              <w:top w:val="single" w:color="BFBFBF" w:sz="1"/>
              <w:left w:val="single" w:color="BFBFBF" w:sz="1"/>
              <w:bottom w:val="single" w:color="BFBFBF" w:sz="1"/>
              <w:right w:val="single" w:color="BFBFBF" w:sz="1"/>
            </w:tcBorders>
            <w:shd w:fill="F2F6FB"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w:t>
            </w:r>
          </w:p>
        </w:tc>
      </w:tr>
      <w:tr>
        <w:tc>
          <w:tcPr>
            <w:tcW w:type="dxa" w:w="6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3</w:t>
            </w:r>
          </w:p>
        </w:tc>
        <w:tc>
          <w:tcPr>
            <w:tcW w:type="dxa" w:w="50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ألقى مندوب الاتحاد السويسري بيانه المتعلق بالبحرين أمام مجلس حقوق الإنسان يوم ال...</w:t>
            </w:r>
          </w:p>
        </w:tc>
        <w:tc>
          <w:tcPr>
            <w:tcW w:type="dxa" w:w="16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REFUTED</w:t>
            </w:r>
          </w:p>
        </w:tc>
        <w:tc>
          <w:tcPr>
            <w:tcW w:type="dxa" w:w="16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REFUTED</w:t>
            </w:r>
          </w:p>
        </w:tc>
        <w:tc>
          <w:tcPr>
            <w:tcW w:type="dxa" w:w="5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w:t>
            </w:r>
          </w:p>
        </w:tc>
      </w:tr>
      <w:tr>
        <w:tc>
          <w:tcPr>
            <w:tcW w:type="dxa" w:w="600"/>
            <w:tcBorders>
              <w:top w:val="single" w:color="BFBFBF" w:sz="1"/>
              <w:left w:val="single" w:color="BFBFBF" w:sz="1"/>
              <w:bottom w:val="single" w:color="BFBFBF" w:sz="1"/>
              <w:right w:val="single" w:color="BFBFBF" w:sz="1"/>
            </w:tcBorders>
            <w:shd w:fill="F2F6FB"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4</w:t>
            </w:r>
          </w:p>
        </w:tc>
        <w:tc>
          <w:tcPr>
            <w:tcW w:type="dxa" w:w="5000"/>
            <w:tcBorders>
              <w:top w:val="single" w:color="BFBFBF" w:sz="1"/>
              <w:left w:val="single" w:color="BFBFBF" w:sz="1"/>
              <w:bottom w:val="single" w:color="BFBFBF" w:sz="1"/>
              <w:right w:val="single" w:color="BFBFBF" w:sz="1"/>
            </w:tcBorders>
            <w:shd w:fill="F2F6FB"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طالبت الحكومة البحرينية بفرض عقوبات اقتصادية على سويسرا رداً على بيان مندوبها في...</w:t>
            </w:r>
          </w:p>
        </w:tc>
        <w:tc>
          <w:tcPr>
            <w:tcW w:type="dxa" w:w="1600"/>
            <w:tcBorders>
              <w:top w:val="single" w:color="BFBFBF" w:sz="1"/>
              <w:left w:val="single" w:color="BFBFBF" w:sz="1"/>
              <w:bottom w:val="single" w:color="BFBFBF" w:sz="1"/>
              <w:right w:val="single" w:color="BFBFBF" w:sz="1"/>
            </w:tcBorders>
            <w:shd w:fill="F2F6FB"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NOT_ENOUGH_INFO</w:t>
            </w:r>
          </w:p>
        </w:tc>
        <w:tc>
          <w:tcPr>
            <w:tcW w:type="dxa" w:w="1600"/>
            <w:tcBorders>
              <w:top w:val="single" w:color="BFBFBF" w:sz="1"/>
              <w:left w:val="single" w:color="BFBFBF" w:sz="1"/>
              <w:bottom w:val="single" w:color="BFBFBF" w:sz="1"/>
              <w:right w:val="single" w:color="BFBFBF" w:sz="1"/>
            </w:tcBorders>
            <w:shd w:fill="F2F6FB"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NOT_ENOUGH_INFO</w:t>
            </w:r>
          </w:p>
        </w:tc>
        <w:tc>
          <w:tcPr>
            <w:tcW w:type="dxa" w:w="560"/>
            <w:tcBorders>
              <w:top w:val="single" w:color="BFBFBF" w:sz="1"/>
              <w:left w:val="single" w:color="BFBFBF" w:sz="1"/>
              <w:bottom w:val="single" w:color="BFBFBF" w:sz="1"/>
              <w:right w:val="single" w:color="BFBFBF" w:sz="1"/>
            </w:tcBorders>
            <w:shd w:fill="F2F6FB"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w:t>
            </w:r>
          </w:p>
        </w:tc>
      </w:tr>
    </w:tbl>
    <w:p>
      <w:pPr>
        <w:pStyle w:val="Heading3"/>
        <w:bidi/>
        <w:spacing w:after="160" w:before="240"/>
        <w:jc w:val="right"/>
      </w:pPr>
      <w:r>
        <w:rPr>
          <w:rFonts w:ascii="Tahoma" w:cs="Tahoma" w:hAnsi="Tahoma"/>
          <w:b/>
          <w:bCs/>
          <w:i w:val="false"/>
          <w:iCs w:val="false"/>
          <w:color w:val="1F4E79"/>
          <w:sz w:val="28"/>
          <w:szCs w:val="28"/>
          <w:rtl/>
        </w:rPr>
        <w:t xml:space="preserve">المهمة الرابعة — الترجمة (5.67 / 10)</w:t>
      </w:r>
    </w:p>
    <w:p>
      <w:pPr>
        <w:bidi/>
        <w:spacing w:after="60" w:before="100"/>
        <w:jc w:val="right"/>
      </w:pPr>
      <w:r>
        <w:rPr>
          <w:rFonts w:ascii="Tahoma" w:cs="Tahoma" w:hAnsi="Tahoma"/>
          <w:b/>
          <w:bCs/>
          <w:i w:val="false"/>
          <w:iCs w:val="false"/>
          <w:color w:val="2E75B6"/>
          <w:sz w:val="22"/>
          <w:szCs w:val="22"/>
          <w:rtl/>
        </w:rPr>
        <w:t xml:space="preserve">المصدر الإنجليزي (نص اختبار الترجمة):</w:t>
      </w:r>
    </w:p>
    <w:p>
      <w:pPr>
        <w:shd w:fill="F2F6FB" w:color="auto" w:val="clear"/>
        <w:spacing w:after="160" w:before="0" w:line="320"/>
        <w:jc w:val="left"/>
      </w:pPr>
      <w:r>
        <w:rPr>
          <w:rFonts w:ascii="Calibri" w:cs="Tahoma" w:hAnsi="Calibri"/>
          <w:b w:val="false"/>
          <w:bCs w:val="false"/>
          <w:i/>
          <w:iCs/>
          <w:color w:val="595959"/>
          <w:sz w:val="22"/>
          <w:szCs w:val="22"/>
        </w:rPr>
        <w:t xml:space="preserve">The Gulf Cooperation Council (GCC) welcomed the U.S. State Department's statement supporting Bahrain's efforts to combat extremist terrorist organizations, including the designation of Bahraini individuals and the group 'Saraya al-Ashtar' on the global terrorism list. GCC Secretary-General Abdullatif bin Rashid Al-Zayani commended the Bahraini government's efforts...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FBFBF" w:sz="1"/>
              <w:left w:val="single" w:color="BFBFBF" w:sz="1"/>
              <w:bottom w:val="single" w:color="BFBFBF" w:sz="1"/>
              <w:right w:val="single" w:color="BFBFBF" w:sz="1"/>
            </w:tcBorders>
            <w:shd w:fill="F2F6FB" w:color="auto" w:val="clear"/>
            <w:tcMar>
              <w:top w:type="dxa" w:w="120"/>
              <w:left w:type="dxa" w:w="160"/>
              <w:bottom w:type="dxa" w:w="120"/>
              <w:right w:type="dxa" w:w="160"/>
            </w:tcMar>
          </w:tcPr>
          <w:p>
            <w:pPr>
              <w:bidi/>
              <w:spacing w:after="80"/>
              <w:jc w:val="right"/>
            </w:pPr>
            <w:r>
              <w:rPr>
                <w:rFonts w:ascii="Tahoma" w:cs="Tahoma" w:hAnsi="Tahoma"/>
                <w:b/>
                <w:bCs/>
                <w:i w:val="false"/>
                <w:iCs w:val="false"/>
                <w:color w:val="1F4E79"/>
                <w:sz w:val="22"/>
                <w:szCs w:val="22"/>
                <w:rtl/>
              </w:rPr>
              <w:t xml:space="preserve">المرجع (Claude Opus)</w:t>
            </w:r>
          </w:p>
          <w:p>
            <w:pPr>
              <w:bidi/>
              <w:spacing w:after="0" w:line="340"/>
              <w:jc w:val="right"/>
            </w:pPr>
            <w:r>
              <w:rPr>
                <w:rFonts w:ascii="Tahoma" w:cs="Tahoma" w:hAnsi="Tahoma"/>
                <w:b w:val="false"/>
                <w:bCs w:val="false"/>
                <w:i w:val="false"/>
                <w:iCs w:val="false"/>
                <w:color w:val="1A1A1A"/>
                <w:sz w:val="22"/>
                <w:szCs w:val="22"/>
                <w:rtl/>
              </w:rPr>
              <w:t xml:space="preserve">رحّب مجلس التعاون لدول الخليج العربية ببيان وزارة الخارجية الأمريكية الداعم لجهود البحرين في مكافحة التنظيمات الإرهابية المتطرفة، بما في ذلك إدراج أشخاص بحرينيين وتنظيم «سرايا الأشتر» على قائمة الإرهاب العالمي. وأشاد الأمين العام لمجلس التعاون عبداللطيف بن راشد الزياني بجهود حكومة البحرين في كشف المؤامرات التي تستهدفها.</w:t>
            </w:r>
          </w:p>
        </w:tc>
        <w:tc>
          <w:tcPr>
            <w:tcW w:type="dxa" w:w="4680"/>
            <w:tcBorders>
              <w:top w:val="single" w:color="BFBFBF" w:sz="1"/>
              <w:left w:val="single" w:color="BFBFBF" w:sz="1"/>
              <w:bottom w:val="single" w:color="BFBFBF" w:sz="1"/>
              <w:right w:val="single" w:color="BFBFBF" w:sz="1"/>
            </w:tcBorders>
            <w:shd w:fill="FFFFFF" w:color="auto" w:val="clear"/>
            <w:tcMar>
              <w:top w:type="dxa" w:w="120"/>
              <w:left w:type="dxa" w:w="160"/>
              <w:bottom w:type="dxa" w:w="120"/>
              <w:right w:type="dxa" w:w="160"/>
            </w:tcMar>
          </w:tcPr>
          <w:p>
            <w:pPr>
              <w:bidi/>
              <w:spacing w:after="80"/>
              <w:jc w:val="right"/>
            </w:pPr>
            <w:r>
              <w:rPr>
                <w:rFonts w:ascii="Tahoma" w:cs="Tahoma" w:hAnsi="Tahoma"/>
                <w:b/>
                <w:bCs/>
                <w:i w:val="false"/>
                <w:iCs w:val="false"/>
                <w:color w:val="1F4E79"/>
                <w:sz w:val="22"/>
                <w:szCs w:val="22"/>
                <w:rtl/>
              </w:rPr>
              <w:t xml:space="preserve">معين الذكي</w:t>
            </w:r>
          </w:p>
          <w:p>
            <w:pPr>
              <w:bidi/>
              <w:spacing w:after="0" w:line="340"/>
              <w:jc w:val="right"/>
            </w:pPr>
            <w:r>
              <w:rPr>
                <w:rFonts w:ascii="Tahoma" w:cs="Tahoma" w:hAnsi="Tahoma"/>
                <w:b w:val="false"/>
                <w:bCs w:val="false"/>
                <w:i w:val="false"/>
                <w:iCs w:val="false"/>
                <w:color w:val="1A1A1A"/>
                <w:sz w:val="22"/>
                <w:szCs w:val="22"/>
                <w:rtl/>
              </w:rPr>
              <w:t xml:space="preserve">أعلن أمين عام مجلس التعاون الخليجي عبداللطيف بن راشد الزياني أن إدراج أشخاص بحرينيين في قائمة الإرهاب الدولي يعكس دعم الولايات المتحدة لجهود البحرين في مكافحة التنظيمات الإرهابية المتطرفة. كما رحبت البحرين بقرار إدراج مجموعة 'سرايا الأشتر' في قائمة الإرهاب، مؤكدة أن هذا الموقف يعكس إصرار الولايات المتحدة الصديقة على مواجهة جميع أشكال الإرهاب.</w:t>
            </w:r>
          </w:p>
        </w:tc>
      </w:tr>
    </w:tbl>
    <w:p>
      <w:pPr>
        <w:shd w:fill="1F4E79" w:color="auto" w:val="clear"/>
        <w:bidi/>
        <w:spacing w:after="80" w:before="140"/>
        <w:jc w:val="right"/>
      </w:pPr>
      <w:r>
        <w:rPr>
          <w:rFonts w:ascii="Tahoma" w:cs="Tahoma" w:hAnsi="Tahoma"/>
          <w:b/>
          <w:bCs/>
          <w:i w:val="false"/>
          <w:iCs w:val="false"/>
          <w:color w:val="FFFFFF"/>
          <w:sz w:val="22"/>
          <w:szCs w:val="22"/>
          <w:rtl/>
        </w:rPr>
        <w:t xml:space="preserve">  معايير الحَكم:  </w:t>
      </w:r>
      <w:r>
        <w:rPr>
          <w:rFonts w:ascii="Consolas" w:hAnsi="Consolas"/>
          <w:color w:val="FFFFFF"/>
          <w:sz w:val="22"/>
          <w:szCs w:val="22"/>
        </w:rPr>
        <w:t xml:space="preserve">faithfulness=1/3    fluency=2/3    terminology=1/2    register=2/2</w:t>
      </w:r>
    </w:p>
    <w:p>
      <w:pPr>
        <w:shd w:fill="F2F6FB" w:color="auto" w:val="clear"/>
        <w:bidi/>
        <w:spacing w:after="120" w:before="0" w:line="340"/>
        <w:jc w:val="right"/>
      </w:pPr>
      <w:r>
        <w:rPr>
          <w:rFonts w:ascii="Tahoma" w:cs="Tahoma" w:hAnsi="Tahoma"/>
          <w:b/>
          <w:bCs/>
          <w:i w:val="false"/>
          <w:iCs w:val="false"/>
          <w:color w:val="1F4E79"/>
          <w:sz w:val="22"/>
          <w:szCs w:val="22"/>
          <w:rtl/>
        </w:rPr>
        <w:t xml:space="preserve">تعليق الحَكم: </w:t>
      </w:r>
      <w:r>
        <w:rPr>
          <w:rFonts w:ascii="Tahoma" w:cs="Tahoma" w:hAnsi="Tahoma"/>
          <w:b w:val="false"/>
          <w:bCs w:val="false"/>
          <w:i w:val="false"/>
          <w:iCs w:val="false"/>
          <w:color w:val="1A1A1A"/>
          <w:sz w:val="22"/>
          <w:szCs w:val="22"/>
          <w:rtl/>
        </w:rPr>
        <w:t xml:space="preserve">المعنى العام قريب، لكن توجد إضافات وتحريفات مؤثرة: جعل الترحيب صادراً عن البحرين بدلاً من مجلس التعاون، وحذف الإشارة الصريحة إلى بيان وزارة الخارجية الأمريكية، والثناء على حكومة البحرين لكشف المؤامرات. كما أضافت توصيفات غير موجودة مثل «الولايات المتحدة الصديقة» و«إصرار... على مواجهة جميع أشكال الإرهاب».</w:t>
      </w:r>
    </w:p>
    <w:p>
      <w:r>
        <w:br w:type="page"/>
      </w:r>
    </w:p>
    <w:p>
      <w:pPr>
        <w:pStyle w:val="Heading1"/>
        <w:bidi/>
        <w:spacing w:after="160" w:before="360"/>
        <w:jc w:val="right"/>
      </w:pPr>
      <w:r>
        <w:rPr>
          <w:rFonts w:ascii="Tahoma" w:cs="Tahoma" w:hAnsi="Tahoma"/>
          <w:b/>
          <w:bCs/>
          <w:i w:val="false"/>
          <w:iCs w:val="false"/>
          <w:color w:val="1F4E79"/>
          <w:sz w:val="40"/>
          <w:szCs w:val="40"/>
          <w:rtl/>
        </w:rPr>
        <w:t xml:space="preserve">المثال الرابع — الرياضة (SPORTS_049)</w:t>
      </w:r>
    </w:p>
    <w:p>
      <w:pPr>
        <w:bidi/>
        <w:spacing w:after="160" w:before="0" w:line="360"/>
        <w:jc w:val="right"/>
      </w:pPr>
      <w:r>
        <w:rPr>
          <w:rFonts w:ascii="Tahoma" w:cs="Tahoma" w:hAnsi="Tahoma"/>
          <w:b/>
          <w:bCs/>
          <w:i w:val="false"/>
          <w:iCs w:val="false"/>
          <w:color w:val="2E75B6"/>
          <w:sz w:val="24"/>
          <w:szCs w:val="24"/>
          <w:rtl/>
        </w:rPr>
        <w:t xml:space="preserve">العنوان: </w:t>
      </w:r>
      <w:r>
        <w:rPr>
          <w:rFonts w:ascii="Tahoma" w:cs="Tahoma" w:hAnsi="Tahoma"/>
          <w:b w:val="false"/>
          <w:bCs w:val="false"/>
          <w:i w:val="false"/>
          <w:iCs w:val="false"/>
          <w:color w:val="1A1A1A"/>
          <w:sz w:val="24"/>
          <w:szCs w:val="24"/>
          <w:rtl/>
        </w:rPr>
        <w:t xml:space="preserve">ناصر منسى يسجل الهدف الثانى للزمالك فى شباك المصرى بالدقيقة 44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1F4E79" w:sz="1"/>
              <w:left w:val="single" w:color="1F4E79" w:sz="1"/>
              <w:bottom w:val="single" w:color="1F4E79" w:sz="1"/>
              <w:right w:val="single" w:color="1F4E79" w:sz="1"/>
            </w:tcBorders>
            <w:shd w:fill="1F4E79" w:color="auto" w:val="clear"/>
            <w:tcMar>
              <w:top w:type="dxa" w:w="100"/>
              <w:left w:type="dxa" w:w="120"/>
              <w:bottom w:type="dxa" w:w="100"/>
              <w:right w:type="dxa" w:w="120"/>
            </w:tcMar>
            <w:vAlign w:val="center"/>
          </w:tcPr>
          <w:p>
            <w:pPr>
              <w:bidi/>
              <w:spacing w:after="0" w:before="0"/>
              <w:jc w:val="right"/>
            </w:pPr>
            <w:r>
              <w:rPr>
                <w:rFonts w:ascii="Tahoma" w:cs="Tahoma" w:hAnsi="Tahoma"/>
                <w:b/>
                <w:bCs/>
                <w:i w:val="false"/>
                <w:iCs w:val="false"/>
                <w:color w:val="FFFFFF"/>
                <w:sz w:val="22"/>
                <w:szCs w:val="22"/>
                <w:rtl/>
              </w:rPr>
              <w:t xml:space="preserve">المعدل العام</w:t>
            </w:r>
          </w:p>
        </w:tc>
        <w:tc>
          <w:tcPr>
            <w:tcW w:type="dxa" w:w="1872"/>
            <w:tcBorders>
              <w:top w:val="single" w:color="1F4E79" w:sz="1"/>
              <w:left w:val="single" w:color="1F4E79" w:sz="1"/>
              <w:bottom w:val="single" w:color="1F4E79" w:sz="1"/>
              <w:right w:val="single" w:color="1F4E79" w:sz="1"/>
            </w:tcBorders>
            <w:shd w:fill="1F4E79" w:color="auto" w:val="clear"/>
            <w:tcMar>
              <w:top w:type="dxa" w:w="100"/>
              <w:left w:type="dxa" w:w="120"/>
              <w:bottom w:type="dxa" w:w="100"/>
              <w:right w:type="dxa" w:w="120"/>
            </w:tcMar>
            <w:vAlign w:val="center"/>
          </w:tcPr>
          <w:p>
            <w:pPr>
              <w:bidi/>
              <w:spacing w:after="0" w:before="0"/>
              <w:jc w:val="right"/>
            </w:pPr>
            <w:r>
              <w:rPr>
                <w:rFonts w:ascii="Tahoma" w:cs="Tahoma" w:hAnsi="Tahoma"/>
                <w:b/>
                <w:bCs/>
                <w:i w:val="false"/>
                <w:iCs w:val="false"/>
                <w:color w:val="FFFFFF"/>
                <w:sz w:val="22"/>
                <w:szCs w:val="22"/>
                <w:rtl/>
              </w:rPr>
              <w:t xml:space="preserve">NER</w:t>
            </w:r>
          </w:p>
        </w:tc>
        <w:tc>
          <w:tcPr>
            <w:tcW w:type="dxa" w:w="1872"/>
            <w:tcBorders>
              <w:top w:val="single" w:color="1F4E79" w:sz="1"/>
              <w:left w:val="single" w:color="1F4E79" w:sz="1"/>
              <w:bottom w:val="single" w:color="1F4E79" w:sz="1"/>
              <w:right w:val="single" w:color="1F4E79" w:sz="1"/>
            </w:tcBorders>
            <w:shd w:fill="1F4E79" w:color="auto" w:val="clear"/>
            <w:tcMar>
              <w:top w:type="dxa" w:w="100"/>
              <w:left w:type="dxa" w:w="120"/>
              <w:bottom w:type="dxa" w:w="100"/>
              <w:right w:type="dxa" w:w="120"/>
            </w:tcMar>
            <w:vAlign w:val="center"/>
          </w:tcPr>
          <w:p>
            <w:pPr>
              <w:bidi/>
              <w:spacing w:after="0" w:before="0"/>
              <w:jc w:val="right"/>
            </w:pPr>
            <w:r>
              <w:rPr>
                <w:rFonts w:ascii="Tahoma" w:cs="Tahoma" w:hAnsi="Tahoma"/>
                <w:b/>
                <w:bCs/>
                <w:i w:val="false"/>
                <w:iCs w:val="false"/>
                <w:color w:val="FFFFFF"/>
                <w:sz w:val="22"/>
                <w:szCs w:val="22"/>
                <w:rtl/>
              </w:rPr>
              <w:t xml:space="preserve">NLI</w:t>
            </w:r>
          </w:p>
        </w:tc>
        <w:tc>
          <w:tcPr>
            <w:tcW w:type="dxa" w:w="1872"/>
            <w:tcBorders>
              <w:top w:val="single" w:color="1F4E79" w:sz="1"/>
              <w:left w:val="single" w:color="1F4E79" w:sz="1"/>
              <w:bottom w:val="single" w:color="1F4E79" w:sz="1"/>
              <w:right w:val="single" w:color="1F4E79" w:sz="1"/>
            </w:tcBorders>
            <w:shd w:fill="1F4E79" w:color="auto" w:val="clear"/>
            <w:tcMar>
              <w:top w:type="dxa" w:w="100"/>
              <w:left w:type="dxa" w:w="120"/>
              <w:bottom w:type="dxa" w:w="100"/>
              <w:right w:type="dxa" w:w="120"/>
            </w:tcMar>
            <w:vAlign w:val="center"/>
          </w:tcPr>
          <w:p>
            <w:pPr>
              <w:bidi/>
              <w:spacing w:after="0" w:before="0"/>
              <w:jc w:val="right"/>
            </w:pPr>
            <w:r>
              <w:rPr>
                <w:rFonts w:ascii="Tahoma" w:cs="Tahoma" w:hAnsi="Tahoma"/>
                <w:b/>
                <w:bCs/>
                <w:i w:val="false"/>
                <w:iCs w:val="false"/>
                <w:color w:val="FFFFFF"/>
                <w:sz w:val="22"/>
                <w:szCs w:val="22"/>
                <w:rtl/>
              </w:rPr>
              <w:t xml:space="preserve">التلخيص</w:t>
            </w:r>
          </w:p>
        </w:tc>
        <w:tc>
          <w:tcPr>
            <w:tcW w:type="dxa" w:w="1872"/>
            <w:tcBorders>
              <w:top w:val="single" w:color="1F4E79" w:sz="1"/>
              <w:left w:val="single" w:color="1F4E79" w:sz="1"/>
              <w:bottom w:val="single" w:color="1F4E79" w:sz="1"/>
              <w:right w:val="single" w:color="1F4E79" w:sz="1"/>
            </w:tcBorders>
            <w:shd w:fill="1F4E79" w:color="auto" w:val="clear"/>
            <w:tcMar>
              <w:top w:type="dxa" w:w="100"/>
              <w:left w:type="dxa" w:w="120"/>
              <w:bottom w:type="dxa" w:w="100"/>
              <w:right w:type="dxa" w:w="120"/>
            </w:tcMar>
            <w:vAlign w:val="center"/>
          </w:tcPr>
          <w:p>
            <w:pPr>
              <w:bidi/>
              <w:spacing w:after="0" w:before="0"/>
              <w:jc w:val="right"/>
            </w:pPr>
            <w:r>
              <w:rPr>
                <w:rFonts w:ascii="Tahoma" w:cs="Tahoma" w:hAnsi="Tahoma"/>
                <w:b/>
                <w:bCs/>
                <w:i w:val="false"/>
                <w:iCs w:val="false"/>
                <w:color w:val="FFFFFF"/>
                <w:sz w:val="22"/>
                <w:szCs w:val="22"/>
                <w:rtl/>
              </w:rPr>
              <w:t xml:space="preserve">الترجمة</w:t>
            </w:r>
          </w:p>
        </w:tc>
      </w:tr>
      <w:tr>
        <w:tc>
          <w:tcPr>
            <w:tcW w:type="dxa" w:w="1872"/>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5.19 / 10</w:t>
            </w:r>
          </w:p>
        </w:tc>
        <w:tc>
          <w:tcPr>
            <w:tcW w:type="dxa" w:w="1872"/>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1.08</w:t>
            </w:r>
          </w:p>
        </w:tc>
        <w:tc>
          <w:tcPr>
            <w:tcW w:type="dxa" w:w="1872"/>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7.45</w:t>
            </w:r>
          </w:p>
        </w:tc>
        <w:tc>
          <w:tcPr>
            <w:tcW w:type="dxa" w:w="1872"/>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5.83</w:t>
            </w:r>
          </w:p>
        </w:tc>
        <w:tc>
          <w:tcPr>
            <w:tcW w:type="dxa" w:w="1872"/>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7.67</w:t>
            </w:r>
          </w:p>
        </w:tc>
      </w:tr>
    </w:tbl>
    <w:p>
      <w:pPr>
        <w:pStyle w:val="Heading3"/>
        <w:bidi/>
        <w:spacing w:after="160" w:before="240"/>
        <w:jc w:val="right"/>
      </w:pPr>
      <w:r>
        <w:rPr>
          <w:rFonts w:ascii="Tahoma" w:cs="Tahoma" w:hAnsi="Tahoma"/>
          <w:b/>
          <w:bCs/>
          <w:i w:val="false"/>
          <w:iCs w:val="false"/>
          <w:color w:val="1F4E79"/>
          <w:sz w:val="28"/>
          <w:szCs w:val="28"/>
          <w:rtl/>
        </w:rPr>
        <w:t xml:space="preserve">مقتطف من المقالة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C9A227" w:sz="24"/>
              <w:bottom w:val="single" w:color="BFBFBF" w:sz="2"/>
              <w:right w:val="single" w:color="BFBFBF" w:sz="2"/>
            </w:tcBorders>
            <w:shd w:fill="F2F6FB" w:color="auto" w:val="clear"/>
            <w:tcMar>
              <w:top w:type="dxa" w:w="160"/>
              <w:left w:type="dxa" w:w="200"/>
              <w:bottom w:type="dxa" w:w="160"/>
              <w:right w:type="dxa" w:w="200"/>
            </w:tcMar>
          </w:tcPr>
          <w:p>
            <w:pPr>
              <w:bidi/>
              <w:spacing w:after="0" w:before="0" w:line="340"/>
              <w:jc w:val="right"/>
            </w:pPr>
            <w:r>
              <w:rPr>
                <w:rFonts w:ascii="Tahoma" w:cs="Tahoma" w:hAnsi="Tahoma"/>
                <w:b w:val="false"/>
                <w:bCs w:val="false"/>
                <w:i/>
                <w:iCs/>
                <w:color w:val="595959"/>
                <w:sz w:val="22"/>
                <w:szCs w:val="22"/>
                <w:rtl/>
              </w:rPr>
              <w:t xml:space="preserve">سجل ناصر منسى لاعب الزمالك، الهدف الثاني لفريقه فى شباك المصرى بعد تمريرة من أحمد فتوح فى الدقيقة 44 من عمر المباراة التي تجمعهما حاليًا على استاد برج العرب، في الجولة الأولى من المرحلة النهائية لحسم لقب الدوري، لتصبح النتيجة 2 - 1 للفارس الأبيض. حراسة المرمى: مهدي سليمان. خط الدفاع: محمود بنتايج – حسام عبد المجيد – محمد إسماعيل – عمر جابر...</w:t>
            </w:r>
          </w:p>
        </w:tc>
      </w:tr>
    </w:tbl>
    <w:p>
      <w:pPr>
        <w:pStyle w:val="Heading3"/>
        <w:bidi/>
        <w:spacing w:after="160" w:before="240"/>
        <w:jc w:val="right"/>
      </w:pPr>
      <w:r>
        <w:rPr>
          <w:rFonts w:ascii="Tahoma" w:cs="Tahoma" w:hAnsi="Tahoma"/>
          <w:b/>
          <w:bCs/>
          <w:i w:val="false"/>
          <w:iCs w:val="false"/>
          <w:color w:val="1F4E79"/>
          <w:sz w:val="28"/>
          <w:szCs w:val="28"/>
          <w:rtl/>
        </w:rPr>
        <w:t xml:space="preserve">المهمة الأولى — التعرف على الكيانات (NER —1.08 /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0"/>
        <w:gridCol w:w="3800"/>
        <w:gridCol w:w="3800"/>
      </w:tblGrid>
      <w:tr>
        <w:trPr>
          <w:tblHeader/>
        </w:trPr>
        <w:tc>
          <w:tcPr>
            <w:tcW w:type="dxa" w:w="1760"/>
            <w:tcBorders>
              <w:top w:val="single" w:color="1F4E79" w:sz="1"/>
              <w:left w:val="single" w:color="1F4E79" w:sz="1"/>
              <w:bottom w:val="single" w:color="1F4E79" w:sz="1"/>
              <w:right w:val="single" w:color="1F4E79" w:sz="1"/>
            </w:tcBorders>
            <w:shd w:fill="1F4E79" w:color="auto" w:val="clear"/>
            <w:tcMar>
              <w:top w:type="dxa" w:w="100"/>
              <w:left w:type="dxa" w:w="120"/>
              <w:bottom w:type="dxa" w:w="100"/>
              <w:right w:type="dxa" w:w="120"/>
            </w:tcMar>
            <w:vAlign w:val="center"/>
          </w:tcPr>
          <w:p>
            <w:pPr>
              <w:bidi/>
              <w:spacing w:after="0" w:before="0"/>
              <w:jc w:val="right"/>
            </w:pPr>
            <w:r>
              <w:rPr>
                <w:rFonts w:ascii="Tahoma" w:cs="Tahoma" w:hAnsi="Tahoma"/>
                <w:b/>
                <w:bCs/>
                <w:i w:val="false"/>
                <w:iCs w:val="false"/>
                <w:color w:val="FFFFFF"/>
                <w:sz w:val="22"/>
                <w:szCs w:val="22"/>
                <w:rtl/>
              </w:rPr>
              <w:t xml:space="preserve">الفئة</w:t>
            </w:r>
          </w:p>
        </w:tc>
        <w:tc>
          <w:tcPr>
            <w:tcW w:type="dxa" w:w="3800"/>
            <w:tcBorders>
              <w:top w:val="single" w:color="1F4E79" w:sz="1"/>
              <w:left w:val="single" w:color="1F4E79" w:sz="1"/>
              <w:bottom w:val="single" w:color="1F4E79" w:sz="1"/>
              <w:right w:val="single" w:color="1F4E79" w:sz="1"/>
            </w:tcBorders>
            <w:shd w:fill="1F4E79" w:color="auto" w:val="clear"/>
            <w:tcMar>
              <w:top w:type="dxa" w:w="100"/>
              <w:left w:type="dxa" w:w="120"/>
              <w:bottom w:type="dxa" w:w="100"/>
              <w:right w:type="dxa" w:w="120"/>
            </w:tcMar>
            <w:vAlign w:val="center"/>
          </w:tcPr>
          <w:p>
            <w:pPr>
              <w:bidi/>
              <w:spacing w:after="0" w:before="0"/>
              <w:jc w:val="right"/>
            </w:pPr>
            <w:r>
              <w:rPr>
                <w:rFonts w:ascii="Tahoma" w:cs="Tahoma" w:hAnsi="Tahoma"/>
                <w:b/>
                <w:bCs/>
                <w:i w:val="false"/>
                <w:iCs w:val="false"/>
                <w:color w:val="FFFFFF"/>
                <w:sz w:val="22"/>
                <w:szCs w:val="22"/>
                <w:rtl/>
              </w:rPr>
              <w:t xml:space="preserve">المرجع (Claude Opus)</w:t>
            </w:r>
          </w:p>
        </w:tc>
        <w:tc>
          <w:tcPr>
            <w:tcW w:type="dxa" w:w="3800"/>
            <w:tcBorders>
              <w:top w:val="single" w:color="1F4E79" w:sz="1"/>
              <w:left w:val="single" w:color="1F4E79" w:sz="1"/>
              <w:bottom w:val="single" w:color="1F4E79" w:sz="1"/>
              <w:right w:val="single" w:color="1F4E79" w:sz="1"/>
            </w:tcBorders>
            <w:shd w:fill="1F4E79" w:color="auto" w:val="clear"/>
            <w:tcMar>
              <w:top w:type="dxa" w:w="100"/>
              <w:left w:type="dxa" w:w="120"/>
              <w:bottom w:type="dxa" w:w="100"/>
              <w:right w:type="dxa" w:w="120"/>
            </w:tcMar>
            <w:vAlign w:val="center"/>
          </w:tcPr>
          <w:p>
            <w:pPr>
              <w:bidi/>
              <w:spacing w:after="0" w:before="0"/>
              <w:jc w:val="right"/>
            </w:pPr>
            <w:r>
              <w:rPr>
                <w:rFonts w:ascii="Tahoma" w:cs="Tahoma" w:hAnsi="Tahoma"/>
                <w:b/>
                <w:bCs/>
                <w:i w:val="false"/>
                <w:iCs w:val="false"/>
                <w:color w:val="FFFFFF"/>
                <w:sz w:val="22"/>
                <w:szCs w:val="22"/>
                <w:rtl/>
              </w:rPr>
              <w:t xml:space="preserve">معين الذكي</w:t>
            </w:r>
          </w:p>
        </w:tc>
      </w:tr>
      <w:tr>
        <w:tc>
          <w:tcPr>
            <w:tcW w:type="dxa" w:w="17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أشخاص</w:t>
            </w:r>
          </w:p>
        </w:tc>
        <w:tc>
          <w:tcPr>
            <w:tcW w:type="dxa" w:w="38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ناصر منسى, أحمد فتوح, مهدي سليمان, محمود بنتايج, حسام عبد المجيد, محمد إسماعيل, عمر جابر, أحمد ربيع, عبد الله السعيد, خوان بيزيرا, ناصر منسي, عدي الدباغ, محمد عواد, محمود حمدي الونش, ... (40+ names)</w:t>
            </w:r>
          </w:p>
        </w:tc>
        <w:tc>
          <w:tcPr>
            <w:tcW w:type="dxa" w:w="38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ناصر منسى, أحمد فتوح</w:t>
            </w:r>
          </w:p>
        </w:tc>
      </w:tr>
      <w:tr>
        <w:tc>
          <w:tcPr>
            <w:tcW w:type="dxa" w:w="1760"/>
            <w:tcBorders>
              <w:top w:val="single" w:color="BFBFBF" w:sz="1"/>
              <w:left w:val="single" w:color="BFBFBF" w:sz="1"/>
              <w:bottom w:val="single" w:color="BFBFBF" w:sz="1"/>
              <w:right w:val="single" w:color="BFBFBF" w:sz="1"/>
            </w:tcBorders>
            <w:shd w:fill="F2F6FB"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مواقع</w:t>
            </w:r>
          </w:p>
        </w:tc>
        <w:tc>
          <w:tcPr>
            <w:tcW w:type="dxa" w:w="3800"/>
            <w:tcBorders>
              <w:top w:val="single" w:color="BFBFBF" w:sz="1"/>
              <w:left w:val="single" w:color="BFBFBF" w:sz="1"/>
              <w:bottom w:val="single" w:color="BFBFBF" w:sz="1"/>
              <w:right w:val="single" w:color="BFBFBF" w:sz="1"/>
            </w:tcBorders>
            <w:shd w:fill="F2F6FB"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استاد برج العرب</w:t>
            </w:r>
          </w:p>
        </w:tc>
        <w:tc>
          <w:tcPr>
            <w:tcW w:type="dxa" w:w="3800"/>
            <w:tcBorders>
              <w:top w:val="single" w:color="BFBFBF" w:sz="1"/>
              <w:left w:val="single" w:color="BFBFBF" w:sz="1"/>
              <w:bottom w:val="single" w:color="BFBFBF" w:sz="1"/>
              <w:right w:val="single" w:color="BFBFBF" w:sz="1"/>
            </w:tcBorders>
            <w:shd w:fill="F2F6FB"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استاد برج العرب</w:t>
            </w:r>
          </w:p>
        </w:tc>
      </w:tr>
      <w:tr>
        <w:tc>
          <w:tcPr>
            <w:tcW w:type="dxa" w:w="17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مؤسسات</w:t>
            </w:r>
          </w:p>
        </w:tc>
        <w:tc>
          <w:tcPr>
            <w:tcW w:type="dxa" w:w="38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الزمالك, المصري البورسعيدي, بيراميدز, الأهلي, سيراميكا, سموحة, إنبي</w:t>
            </w:r>
          </w:p>
        </w:tc>
        <w:tc>
          <w:tcPr>
            <w:tcW w:type="dxa" w:w="38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الزمالك, المصرى, بيراميدز, النادي الأهلي, سيراميكا</w:t>
            </w:r>
          </w:p>
        </w:tc>
      </w:tr>
      <w:tr>
        <w:tc>
          <w:tcPr>
            <w:tcW w:type="dxa" w:w="1760"/>
            <w:tcBorders>
              <w:top w:val="single" w:color="BFBFBF" w:sz="1"/>
              <w:left w:val="single" w:color="BFBFBF" w:sz="1"/>
              <w:bottom w:val="single" w:color="BFBFBF" w:sz="1"/>
              <w:right w:val="single" w:color="BFBFBF" w:sz="1"/>
            </w:tcBorders>
            <w:shd w:fill="F2F6FB"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متنوع</w:t>
            </w:r>
          </w:p>
        </w:tc>
        <w:tc>
          <w:tcPr>
            <w:tcW w:type="dxa" w:w="3800"/>
            <w:tcBorders>
              <w:top w:val="single" w:color="BFBFBF" w:sz="1"/>
              <w:left w:val="single" w:color="BFBFBF" w:sz="1"/>
              <w:bottom w:val="single" w:color="BFBFBF" w:sz="1"/>
              <w:right w:val="single" w:color="BFBFBF" w:sz="1"/>
            </w:tcBorders>
            <w:shd w:fill="F2F6FB"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w:t>
            </w:r>
          </w:p>
        </w:tc>
        <w:tc>
          <w:tcPr>
            <w:tcW w:type="dxa" w:w="3800"/>
            <w:tcBorders>
              <w:top w:val="single" w:color="BFBFBF" w:sz="1"/>
              <w:left w:val="single" w:color="BFBFBF" w:sz="1"/>
              <w:bottom w:val="single" w:color="BFBFBF" w:sz="1"/>
              <w:right w:val="single" w:color="BFBFBF" w:sz="1"/>
            </w:tcBorders>
            <w:shd w:fill="F2F6FB"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الدقيقة 44, المرحلة النهائية, الدوري المصري</w:t>
            </w:r>
          </w:p>
        </w:tc>
      </w:tr>
    </w:tbl>
    <w:p>
      <w:pPr>
        <w:pStyle w:val="Heading3"/>
        <w:bidi/>
        <w:spacing w:after="160" w:before="240"/>
        <w:jc w:val="right"/>
      </w:pPr>
      <w:r>
        <w:rPr>
          <w:rFonts w:ascii="Tahoma" w:cs="Tahoma" w:hAnsi="Tahoma"/>
          <w:b/>
          <w:bCs/>
          <w:i w:val="false"/>
          <w:iCs w:val="false"/>
          <w:color w:val="1F4E79"/>
          <w:sz w:val="28"/>
          <w:szCs w:val="28"/>
          <w:rtl/>
        </w:rPr>
        <w:t xml:space="preserve">المهمة الثانية — التلخيص (5.83 /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FBFBF" w:sz="1"/>
              <w:left w:val="single" w:color="BFBFBF" w:sz="1"/>
              <w:bottom w:val="single" w:color="BFBFBF" w:sz="1"/>
              <w:right w:val="single" w:color="BFBFBF" w:sz="1"/>
            </w:tcBorders>
            <w:shd w:fill="F2F6FB" w:color="auto" w:val="clear"/>
            <w:tcMar>
              <w:top w:type="dxa" w:w="120"/>
              <w:left w:type="dxa" w:w="160"/>
              <w:bottom w:type="dxa" w:w="120"/>
              <w:right w:type="dxa" w:w="160"/>
            </w:tcMar>
          </w:tcPr>
          <w:p>
            <w:pPr>
              <w:bidi/>
              <w:spacing w:after="80"/>
              <w:jc w:val="right"/>
            </w:pPr>
            <w:r>
              <w:rPr>
                <w:rFonts w:ascii="Tahoma" w:cs="Tahoma" w:hAnsi="Tahoma"/>
                <w:b/>
                <w:bCs/>
                <w:i w:val="false"/>
                <w:iCs w:val="false"/>
                <w:color w:val="1F4E79"/>
                <w:sz w:val="22"/>
                <w:szCs w:val="22"/>
                <w:rtl/>
              </w:rPr>
              <w:t xml:space="preserve">المرجع (Claude Opus)</w:t>
            </w:r>
          </w:p>
          <w:p>
            <w:pPr>
              <w:bidi/>
              <w:spacing w:after="0" w:line="340"/>
              <w:jc w:val="right"/>
            </w:pPr>
            <w:r>
              <w:rPr>
                <w:rFonts w:ascii="Tahoma" w:cs="Tahoma" w:hAnsi="Tahoma"/>
                <w:b w:val="false"/>
                <w:bCs w:val="false"/>
                <w:i w:val="false"/>
                <w:iCs w:val="false"/>
                <w:color w:val="1A1A1A"/>
                <w:sz w:val="22"/>
                <w:szCs w:val="22"/>
                <w:rtl/>
              </w:rPr>
              <w:t xml:space="preserve">أحرز ناصر منسى الهدف الثاني لنادي الزمالك في مرمى المصري البورسعيدي عقب تمريرة من أحمد فتوح في الدقيقة الرابعة والأربعين، ليتقدم فريقه بنتيجة هدفين مقابل هدف واحد في المباراة المقامة على استاد برج العرب ضمن الجولة الافتتاحية للمرحلة النهائية من الدوري. ويتصدر الزمالك ترتيب المجموعة برصيد ثلاث وأربعين نقطة متساوياً مع بيراميدز لكن بأفضلية فارق الأهداف، بينما يحل الأهلي ثالثاً بأربعين نقطة وسيراميكا رابعاً بثمانٍ وثلاثين نقطة.</w:t>
            </w:r>
          </w:p>
        </w:tc>
        <w:tc>
          <w:tcPr>
            <w:tcW w:type="dxa" w:w="4680"/>
            <w:tcBorders>
              <w:top w:val="single" w:color="BFBFBF" w:sz="1"/>
              <w:left w:val="single" w:color="BFBFBF" w:sz="1"/>
              <w:bottom w:val="single" w:color="BFBFBF" w:sz="1"/>
              <w:right w:val="single" w:color="BFBFBF" w:sz="1"/>
            </w:tcBorders>
            <w:shd w:fill="FFFFFF" w:color="auto" w:val="clear"/>
            <w:tcMar>
              <w:top w:type="dxa" w:w="120"/>
              <w:left w:type="dxa" w:w="160"/>
              <w:bottom w:type="dxa" w:w="120"/>
              <w:right w:type="dxa" w:w="160"/>
            </w:tcMar>
          </w:tcPr>
          <w:p>
            <w:pPr>
              <w:bidi/>
              <w:spacing w:after="80"/>
              <w:jc w:val="right"/>
            </w:pPr>
            <w:r>
              <w:rPr>
                <w:rFonts w:ascii="Tahoma" w:cs="Tahoma" w:hAnsi="Tahoma"/>
                <w:b/>
                <w:bCs/>
                <w:i w:val="false"/>
                <w:iCs w:val="false"/>
                <w:color w:val="1F4E79"/>
                <w:sz w:val="22"/>
                <w:szCs w:val="22"/>
                <w:rtl/>
              </w:rPr>
              <w:t xml:space="preserve">معين الذكي</w:t>
            </w:r>
          </w:p>
          <w:p>
            <w:pPr>
              <w:bidi/>
              <w:spacing w:after="0" w:line="340"/>
              <w:jc w:val="right"/>
            </w:pPr>
            <w:r>
              <w:rPr>
                <w:rFonts w:ascii="Tahoma" w:cs="Tahoma" w:hAnsi="Tahoma"/>
                <w:b w:val="false"/>
                <w:bCs w:val="false"/>
                <w:i w:val="false"/>
                <w:iCs w:val="false"/>
                <w:color w:val="1A1A1A"/>
                <w:sz w:val="22"/>
                <w:szCs w:val="22"/>
                <w:rtl/>
              </w:rPr>
              <w:t xml:space="preserve">حقق نادي الزمالك فوزاً مثيراً على فريق المصري بنتيجة 2-1 في المباراة التي أقيمت بحضور جماهيري كبير. يحتل الزمالك المركز الأول في جدول الترتيب برصيد 43 نقطة، بينما يحتل النادي الأهلي المركز الثالث برصيد 40 نقطة.</w:t>
            </w:r>
          </w:p>
        </w:tc>
      </w:tr>
    </w:tbl>
    <w:p>
      <w:pPr>
        <w:shd w:fill="1F4E79" w:color="auto" w:val="clear"/>
        <w:bidi/>
        <w:spacing w:after="80" w:before="140"/>
        <w:jc w:val="right"/>
      </w:pPr>
      <w:r>
        <w:rPr>
          <w:rFonts w:ascii="Tahoma" w:cs="Tahoma" w:hAnsi="Tahoma"/>
          <w:b/>
          <w:bCs/>
          <w:i w:val="false"/>
          <w:iCs w:val="false"/>
          <w:color w:val="FFFFFF"/>
          <w:sz w:val="22"/>
          <w:szCs w:val="22"/>
          <w:rtl/>
        </w:rPr>
        <w:t xml:space="preserve">  معايير الحَكم:  </w:t>
      </w:r>
      <w:r>
        <w:rPr>
          <w:rFonts w:ascii="Consolas" w:hAnsi="Consolas"/>
          <w:color w:val="FFFFFF"/>
          <w:sz w:val="22"/>
          <w:szCs w:val="22"/>
        </w:rPr>
        <w:t xml:space="preserve">factual=2/3    coverage=1/3    no_inference=1/2    register=2/2</w:t>
      </w:r>
    </w:p>
    <w:p>
      <w:pPr>
        <w:shd w:fill="F2F6FB" w:color="auto" w:val="clear"/>
        <w:bidi/>
        <w:spacing w:after="120" w:before="0" w:line="340"/>
        <w:jc w:val="right"/>
      </w:pPr>
      <w:r>
        <w:rPr>
          <w:rFonts w:ascii="Tahoma" w:cs="Tahoma" w:hAnsi="Tahoma"/>
          <w:b/>
          <w:bCs/>
          <w:i w:val="false"/>
          <w:iCs w:val="false"/>
          <w:color w:val="1F4E79"/>
          <w:sz w:val="22"/>
          <w:szCs w:val="22"/>
          <w:rtl/>
        </w:rPr>
        <w:t xml:space="preserve">تعليق الحَكم: </w:t>
      </w:r>
      <w:r>
        <w:rPr>
          <w:rFonts w:ascii="Tahoma" w:cs="Tahoma" w:hAnsi="Tahoma"/>
          <w:b w:val="false"/>
          <w:bCs w:val="false"/>
          <w:i w:val="false"/>
          <w:iCs w:val="false"/>
          <w:color w:val="1A1A1A"/>
          <w:sz w:val="22"/>
          <w:szCs w:val="22"/>
          <w:rtl/>
        </w:rPr>
        <w:t xml:space="preserve">الملخص صحيح جزئياً: ذكر نتيجة 2-1 وترتيب الزمالك (43) والأهلي (40)، لكنه صاغها كـ«فوز» نهائي بينما المصدر يتحدث عن تقدم الزمالك 2-1 أثناء المباراة دون تأكيد النهاية، وأضاف ادعاء «بحضور جماهيري كبير» غير مذكور. التغطية ضعيفة لأنه أغفل تفاصيل الهدف (ناصر منسي، تمريرة فتوح، الدقيقة 44، استاد برج العرب، الجولة الافتتاحية).</w:t>
      </w:r>
    </w:p>
    <w:p>
      <w:pPr>
        <w:pStyle w:val="Heading3"/>
        <w:bidi/>
        <w:spacing w:after="160" w:before="240"/>
        <w:jc w:val="right"/>
      </w:pPr>
      <w:r>
        <w:rPr>
          <w:rFonts w:ascii="Tahoma" w:cs="Tahoma" w:hAnsi="Tahoma"/>
          <w:b/>
          <w:bCs/>
          <w:i w:val="false"/>
          <w:iCs w:val="false"/>
          <w:color w:val="1F4E79"/>
          <w:sz w:val="28"/>
          <w:szCs w:val="28"/>
          <w:rtl/>
        </w:rPr>
        <w:t xml:space="preserve">المهمة الثالثة — الاستدلال اللغوي (NLI —7.45 /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000"/>
        <w:gridCol w:w="1600"/>
        <w:gridCol w:w="1600"/>
        <w:gridCol w:w="560"/>
      </w:tblGrid>
      <w:tr>
        <w:trPr>
          <w:tblHeader/>
        </w:trPr>
        <w:tc>
          <w:tcPr>
            <w:tcW w:type="dxa" w:w="600"/>
            <w:tcBorders>
              <w:top w:val="single" w:color="1F4E79" w:sz="1"/>
              <w:left w:val="single" w:color="1F4E79" w:sz="1"/>
              <w:bottom w:val="single" w:color="1F4E79" w:sz="1"/>
              <w:right w:val="single" w:color="1F4E79" w:sz="1"/>
            </w:tcBorders>
            <w:shd w:fill="1F4E79" w:color="auto" w:val="clear"/>
            <w:tcMar>
              <w:top w:type="dxa" w:w="100"/>
              <w:left w:type="dxa" w:w="120"/>
              <w:bottom w:type="dxa" w:w="100"/>
              <w:right w:type="dxa" w:w="120"/>
            </w:tcMar>
            <w:vAlign w:val="center"/>
          </w:tcPr>
          <w:p>
            <w:pPr>
              <w:bidi/>
              <w:spacing w:after="0" w:before="0"/>
              <w:jc w:val="right"/>
            </w:pPr>
            <w:r>
              <w:rPr>
                <w:rFonts w:ascii="Tahoma" w:cs="Tahoma" w:hAnsi="Tahoma"/>
                <w:b/>
                <w:bCs/>
                <w:i w:val="false"/>
                <w:iCs w:val="false"/>
                <w:color w:val="FFFFFF"/>
                <w:sz w:val="22"/>
                <w:szCs w:val="22"/>
                <w:rtl/>
              </w:rPr>
              <w:t xml:space="preserve">#</w:t>
            </w:r>
          </w:p>
        </w:tc>
        <w:tc>
          <w:tcPr>
            <w:tcW w:type="dxa" w:w="5000"/>
            <w:tcBorders>
              <w:top w:val="single" w:color="1F4E79" w:sz="1"/>
              <w:left w:val="single" w:color="1F4E79" w:sz="1"/>
              <w:bottom w:val="single" w:color="1F4E79" w:sz="1"/>
              <w:right w:val="single" w:color="1F4E79" w:sz="1"/>
            </w:tcBorders>
            <w:shd w:fill="1F4E79" w:color="auto" w:val="clear"/>
            <w:tcMar>
              <w:top w:type="dxa" w:w="100"/>
              <w:left w:type="dxa" w:w="120"/>
              <w:bottom w:type="dxa" w:w="100"/>
              <w:right w:type="dxa" w:w="120"/>
            </w:tcMar>
            <w:vAlign w:val="center"/>
          </w:tcPr>
          <w:p>
            <w:pPr>
              <w:bidi/>
              <w:spacing w:after="0" w:before="0"/>
              <w:jc w:val="right"/>
            </w:pPr>
            <w:r>
              <w:rPr>
                <w:rFonts w:ascii="Tahoma" w:cs="Tahoma" w:hAnsi="Tahoma"/>
                <w:b/>
                <w:bCs/>
                <w:i w:val="false"/>
                <w:iCs w:val="false"/>
                <w:color w:val="FFFFFF"/>
                <w:sz w:val="22"/>
                <w:szCs w:val="22"/>
                <w:rtl/>
              </w:rPr>
              <w:t xml:space="preserve">نص الادعاء</w:t>
            </w:r>
          </w:p>
        </w:tc>
        <w:tc>
          <w:tcPr>
            <w:tcW w:type="dxa" w:w="1600"/>
            <w:tcBorders>
              <w:top w:val="single" w:color="1F4E79" w:sz="1"/>
              <w:left w:val="single" w:color="1F4E79" w:sz="1"/>
              <w:bottom w:val="single" w:color="1F4E79" w:sz="1"/>
              <w:right w:val="single" w:color="1F4E79" w:sz="1"/>
            </w:tcBorders>
            <w:shd w:fill="1F4E79" w:color="auto" w:val="clear"/>
            <w:tcMar>
              <w:top w:type="dxa" w:w="100"/>
              <w:left w:type="dxa" w:w="120"/>
              <w:bottom w:type="dxa" w:w="100"/>
              <w:right w:type="dxa" w:w="120"/>
            </w:tcMar>
            <w:vAlign w:val="center"/>
          </w:tcPr>
          <w:p>
            <w:pPr>
              <w:bidi/>
              <w:spacing w:after="0" w:before="0"/>
              <w:jc w:val="right"/>
            </w:pPr>
            <w:r>
              <w:rPr>
                <w:rFonts w:ascii="Tahoma" w:cs="Tahoma" w:hAnsi="Tahoma"/>
                <w:b/>
                <w:bCs/>
                <w:i w:val="false"/>
                <w:iCs w:val="false"/>
                <w:color w:val="FFFFFF"/>
                <w:sz w:val="22"/>
                <w:szCs w:val="22"/>
                <w:rtl/>
              </w:rPr>
              <w:t xml:space="preserve">المرجع</w:t>
            </w:r>
          </w:p>
        </w:tc>
        <w:tc>
          <w:tcPr>
            <w:tcW w:type="dxa" w:w="1600"/>
            <w:tcBorders>
              <w:top w:val="single" w:color="1F4E79" w:sz="1"/>
              <w:left w:val="single" w:color="1F4E79" w:sz="1"/>
              <w:bottom w:val="single" w:color="1F4E79" w:sz="1"/>
              <w:right w:val="single" w:color="1F4E79" w:sz="1"/>
            </w:tcBorders>
            <w:shd w:fill="1F4E79" w:color="auto" w:val="clear"/>
            <w:tcMar>
              <w:top w:type="dxa" w:w="100"/>
              <w:left w:type="dxa" w:w="120"/>
              <w:bottom w:type="dxa" w:w="100"/>
              <w:right w:type="dxa" w:w="120"/>
            </w:tcMar>
            <w:vAlign w:val="center"/>
          </w:tcPr>
          <w:p>
            <w:pPr>
              <w:bidi/>
              <w:spacing w:after="0" w:before="0"/>
              <w:jc w:val="right"/>
            </w:pPr>
            <w:r>
              <w:rPr>
                <w:rFonts w:ascii="Tahoma" w:cs="Tahoma" w:hAnsi="Tahoma"/>
                <w:b/>
                <w:bCs/>
                <w:i w:val="false"/>
                <w:iCs w:val="false"/>
                <w:color w:val="FFFFFF"/>
                <w:sz w:val="22"/>
                <w:szCs w:val="22"/>
                <w:rtl/>
              </w:rPr>
              <w:t xml:space="preserve">معين</w:t>
            </w:r>
          </w:p>
        </w:tc>
        <w:tc>
          <w:tcPr>
            <w:tcW w:type="dxa" w:w="560"/>
            <w:tcBorders>
              <w:top w:val="single" w:color="1F4E79" w:sz="1"/>
              <w:left w:val="single" w:color="1F4E79" w:sz="1"/>
              <w:bottom w:val="single" w:color="1F4E79" w:sz="1"/>
              <w:right w:val="single" w:color="1F4E79" w:sz="1"/>
            </w:tcBorders>
            <w:shd w:fill="1F4E79" w:color="auto" w:val="clear"/>
            <w:tcMar>
              <w:top w:type="dxa" w:w="100"/>
              <w:left w:type="dxa" w:w="120"/>
              <w:bottom w:type="dxa" w:w="100"/>
              <w:right w:type="dxa" w:w="120"/>
            </w:tcMar>
            <w:vAlign w:val="center"/>
          </w:tcPr>
          <w:p>
            <w:pPr>
              <w:bidi/>
              <w:spacing w:after="0" w:before="0"/>
              <w:jc w:val="right"/>
            </w:pPr>
            <w:r>
              <w:rPr>
                <w:rFonts w:ascii="Tahoma" w:cs="Tahoma" w:hAnsi="Tahoma"/>
                <w:b/>
                <w:bCs/>
                <w:i w:val="false"/>
                <w:iCs w:val="false"/>
                <w:color w:val="FFFFFF"/>
                <w:sz w:val="22"/>
                <w:szCs w:val="22"/>
                <w:rtl/>
              </w:rPr>
              <w:t xml:space="preserve">المطابقة</w:t>
            </w:r>
          </w:p>
        </w:tc>
      </w:tr>
      <w:tr>
        <w:tc>
          <w:tcPr>
            <w:tcW w:type="dxa" w:w="6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1</w:t>
            </w:r>
          </w:p>
        </w:tc>
        <w:tc>
          <w:tcPr>
            <w:tcW w:type="dxa" w:w="50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أحرز ناصر منسى الهدف الثاني للزمالك في مرمى المصري بعد تمريرة من أحمد فتوح قبل ن...</w:t>
            </w:r>
          </w:p>
        </w:tc>
        <w:tc>
          <w:tcPr>
            <w:tcW w:type="dxa" w:w="16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SUPPORTED</w:t>
            </w:r>
          </w:p>
        </w:tc>
        <w:tc>
          <w:tcPr>
            <w:tcW w:type="dxa" w:w="16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SUPPORTED</w:t>
            </w:r>
          </w:p>
        </w:tc>
        <w:tc>
          <w:tcPr>
            <w:tcW w:type="dxa" w:w="5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w:t>
            </w:r>
          </w:p>
        </w:tc>
      </w:tr>
      <w:tr>
        <w:tc>
          <w:tcPr>
            <w:tcW w:type="dxa" w:w="600"/>
            <w:tcBorders>
              <w:top w:val="single" w:color="BFBFBF" w:sz="1"/>
              <w:left w:val="single" w:color="BFBFBF" w:sz="1"/>
              <w:bottom w:val="single" w:color="BFBFBF" w:sz="1"/>
              <w:right w:val="single" w:color="BFBFBF" w:sz="1"/>
            </w:tcBorders>
            <w:shd w:fill="F2F6FB"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2</w:t>
            </w:r>
          </w:p>
        </w:tc>
        <w:tc>
          <w:tcPr>
            <w:tcW w:type="dxa" w:w="5000"/>
            <w:tcBorders>
              <w:top w:val="single" w:color="BFBFBF" w:sz="1"/>
              <w:left w:val="single" w:color="BFBFBF" w:sz="1"/>
              <w:bottom w:val="single" w:color="BFBFBF" w:sz="1"/>
              <w:right w:val="single" w:color="BFBFBF" w:sz="1"/>
            </w:tcBorders>
            <w:shd w:fill="F2F6FB"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يحتل النادي الأهلي المرتبة الثالثة في جدول الترتيب بأربعين نقطة</w:t>
            </w:r>
          </w:p>
        </w:tc>
        <w:tc>
          <w:tcPr>
            <w:tcW w:type="dxa" w:w="1600"/>
            <w:tcBorders>
              <w:top w:val="single" w:color="BFBFBF" w:sz="1"/>
              <w:left w:val="single" w:color="BFBFBF" w:sz="1"/>
              <w:bottom w:val="single" w:color="BFBFBF" w:sz="1"/>
              <w:right w:val="single" w:color="BFBFBF" w:sz="1"/>
            </w:tcBorders>
            <w:shd w:fill="F2F6FB"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SUPPORTED</w:t>
            </w:r>
          </w:p>
        </w:tc>
        <w:tc>
          <w:tcPr>
            <w:tcW w:type="dxa" w:w="1600"/>
            <w:tcBorders>
              <w:top w:val="single" w:color="BFBFBF" w:sz="1"/>
              <w:left w:val="single" w:color="BFBFBF" w:sz="1"/>
              <w:bottom w:val="single" w:color="BFBFBF" w:sz="1"/>
              <w:right w:val="single" w:color="BFBFBF" w:sz="1"/>
            </w:tcBorders>
            <w:shd w:fill="F2F6FB"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SUPPORTED</w:t>
            </w:r>
          </w:p>
        </w:tc>
        <w:tc>
          <w:tcPr>
            <w:tcW w:type="dxa" w:w="560"/>
            <w:tcBorders>
              <w:top w:val="single" w:color="BFBFBF" w:sz="1"/>
              <w:left w:val="single" w:color="BFBFBF" w:sz="1"/>
              <w:bottom w:val="single" w:color="BFBFBF" w:sz="1"/>
              <w:right w:val="single" w:color="BFBFBF" w:sz="1"/>
            </w:tcBorders>
            <w:shd w:fill="F2F6FB"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w:t>
            </w:r>
          </w:p>
        </w:tc>
      </w:tr>
      <w:tr>
        <w:tc>
          <w:tcPr>
            <w:tcW w:type="dxa" w:w="6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3</w:t>
            </w:r>
          </w:p>
        </w:tc>
        <w:tc>
          <w:tcPr>
            <w:tcW w:type="dxa" w:w="50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يتقدم الزمالك على بيراميدز في الترتيب بفارق نقطة واحدة</w:t>
            </w:r>
          </w:p>
        </w:tc>
        <w:tc>
          <w:tcPr>
            <w:tcW w:type="dxa" w:w="16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REFUTED</w:t>
            </w:r>
          </w:p>
        </w:tc>
        <w:tc>
          <w:tcPr>
            <w:tcW w:type="dxa" w:w="16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SUPPORTED</w:t>
            </w:r>
          </w:p>
        </w:tc>
        <w:tc>
          <w:tcPr>
            <w:tcW w:type="dxa" w:w="5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w:t>
            </w:r>
          </w:p>
        </w:tc>
      </w:tr>
      <w:tr>
        <w:tc>
          <w:tcPr>
            <w:tcW w:type="dxa" w:w="600"/>
            <w:tcBorders>
              <w:top w:val="single" w:color="BFBFBF" w:sz="1"/>
              <w:left w:val="single" w:color="BFBFBF" w:sz="1"/>
              <w:bottom w:val="single" w:color="BFBFBF" w:sz="1"/>
              <w:right w:val="single" w:color="BFBFBF" w:sz="1"/>
            </w:tcBorders>
            <w:shd w:fill="F2F6FB"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4</w:t>
            </w:r>
          </w:p>
        </w:tc>
        <w:tc>
          <w:tcPr>
            <w:tcW w:type="dxa" w:w="5000"/>
            <w:tcBorders>
              <w:top w:val="single" w:color="BFBFBF" w:sz="1"/>
              <w:left w:val="single" w:color="BFBFBF" w:sz="1"/>
              <w:bottom w:val="single" w:color="BFBFBF" w:sz="1"/>
              <w:right w:val="single" w:color="BFBFBF" w:sz="1"/>
            </w:tcBorders>
            <w:shd w:fill="F2F6FB"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أُقيمت المباراة بحضور جماهيري كبير تجاوز خمسين ألف متفرج في استاد برج العرب</w:t>
            </w:r>
          </w:p>
        </w:tc>
        <w:tc>
          <w:tcPr>
            <w:tcW w:type="dxa" w:w="1600"/>
            <w:tcBorders>
              <w:top w:val="single" w:color="BFBFBF" w:sz="1"/>
              <w:left w:val="single" w:color="BFBFBF" w:sz="1"/>
              <w:bottom w:val="single" w:color="BFBFBF" w:sz="1"/>
              <w:right w:val="single" w:color="BFBFBF" w:sz="1"/>
            </w:tcBorders>
            <w:shd w:fill="F2F6FB"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NOT_ENOUGH_INFO</w:t>
            </w:r>
          </w:p>
        </w:tc>
        <w:tc>
          <w:tcPr>
            <w:tcW w:type="dxa" w:w="1600"/>
            <w:tcBorders>
              <w:top w:val="single" w:color="BFBFBF" w:sz="1"/>
              <w:left w:val="single" w:color="BFBFBF" w:sz="1"/>
              <w:bottom w:val="single" w:color="BFBFBF" w:sz="1"/>
              <w:right w:val="single" w:color="BFBFBF" w:sz="1"/>
            </w:tcBorders>
            <w:shd w:fill="F2F6FB"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NOT_ENOUGH_INFO</w:t>
            </w:r>
          </w:p>
        </w:tc>
        <w:tc>
          <w:tcPr>
            <w:tcW w:type="dxa" w:w="560"/>
            <w:tcBorders>
              <w:top w:val="single" w:color="BFBFBF" w:sz="1"/>
              <w:left w:val="single" w:color="BFBFBF" w:sz="1"/>
              <w:bottom w:val="single" w:color="BFBFBF" w:sz="1"/>
              <w:right w:val="single" w:color="BFBFBF" w:sz="1"/>
            </w:tcBorders>
            <w:shd w:fill="F2F6FB"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w:t>
            </w:r>
          </w:p>
        </w:tc>
      </w:tr>
    </w:tbl>
    <w:p>
      <w:pPr>
        <w:pStyle w:val="Heading3"/>
        <w:bidi/>
        <w:spacing w:after="160" w:before="240"/>
        <w:jc w:val="right"/>
      </w:pPr>
      <w:r>
        <w:rPr>
          <w:rFonts w:ascii="Tahoma" w:cs="Tahoma" w:hAnsi="Tahoma"/>
          <w:b/>
          <w:bCs/>
          <w:i w:val="false"/>
          <w:iCs w:val="false"/>
          <w:color w:val="1F4E79"/>
          <w:sz w:val="28"/>
          <w:szCs w:val="28"/>
          <w:rtl/>
        </w:rPr>
        <w:t xml:space="preserve">المهمة الرابعة — الترجمة (7.67 / 10)</w:t>
      </w:r>
    </w:p>
    <w:p>
      <w:pPr>
        <w:bidi/>
        <w:spacing w:after="60" w:before="100"/>
        <w:jc w:val="right"/>
      </w:pPr>
      <w:r>
        <w:rPr>
          <w:rFonts w:ascii="Tahoma" w:cs="Tahoma" w:hAnsi="Tahoma"/>
          <w:b/>
          <w:bCs/>
          <w:i w:val="false"/>
          <w:iCs w:val="false"/>
          <w:color w:val="2E75B6"/>
          <w:sz w:val="22"/>
          <w:szCs w:val="22"/>
          <w:rtl/>
        </w:rPr>
        <w:t xml:space="preserve">المصدر الإنجليزي (نص اختبار الترجمة):</w:t>
      </w:r>
    </w:p>
    <w:p>
      <w:pPr>
        <w:shd w:fill="F2F6FB" w:color="auto" w:val="clear"/>
        <w:spacing w:after="160" w:before="0" w:line="320"/>
        <w:jc w:val="left"/>
      </w:pPr>
      <w:r>
        <w:rPr>
          <w:rFonts w:ascii="Calibri" w:cs="Tahoma" w:hAnsi="Calibri"/>
          <w:b w:val="false"/>
          <w:bCs w:val="false"/>
          <w:i/>
          <w:iCs/>
          <w:color w:val="595959"/>
          <w:sz w:val="22"/>
          <w:szCs w:val="22"/>
        </w:rPr>
        <w:t xml:space="preserve">Nasser Mansi scored Zamalek's second goal against Al-Masry in the 44th minute, assisted by Ahmed Fattouh, bringing the score to 2-1 in favor of Zamalek during their match at Borg El Arab Stadium in the first round of the Egyptian league's final stage. Zamalek currently tops the group standings with 43 points, tied with Pyramids on points but ahead on goal difference...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FBFBF" w:sz="1"/>
              <w:left w:val="single" w:color="BFBFBF" w:sz="1"/>
              <w:bottom w:val="single" w:color="BFBFBF" w:sz="1"/>
              <w:right w:val="single" w:color="BFBFBF" w:sz="1"/>
            </w:tcBorders>
            <w:shd w:fill="F2F6FB" w:color="auto" w:val="clear"/>
            <w:tcMar>
              <w:top w:type="dxa" w:w="120"/>
              <w:left w:type="dxa" w:w="160"/>
              <w:bottom w:type="dxa" w:w="120"/>
              <w:right w:type="dxa" w:w="160"/>
            </w:tcMar>
          </w:tcPr>
          <w:p>
            <w:pPr>
              <w:bidi/>
              <w:spacing w:after="80"/>
              <w:jc w:val="right"/>
            </w:pPr>
            <w:r>
              <w:rPr>
                <w:rFonts w:ascii="Tahoma" w:cs="Tahoma" w:hAnsi="Tahoma"/>
                <w:b/>
                <w:bCs/>
                <w:i w:val="false"/>
                <w:iCs w:val="false"/>
                <w:color w:val="1F4E79"/>
                <w:sz w:val="22"/>
                <w:szCs w:val="22"/>
                <w:rtl/>
              </w:rPr>
              <w:t xml:space="preserve">المرجع (Claude Opus)</w:t>
            </w:r>
          </w:p>
          <w:p>
            <w:pPr>
              <w:bidi/>
              <w:spacing w:after="0" w:line="340"/>
              <w:jc w:val="right"/>
            </w:pPr>
            <w:r>
              <w:rPr>
                <w:rFonts w:ascii="Tahoma" w:cs="Tahoma" w:hAnsi="Tahoma"/>
                <w:b w:val="false"/>
                <w:bCs w:val="false"/>
                <w:i w:val="false"/>
                <w:iCs w:val="false"/>
                <w:color w:val="1A1A1A"/>
                <w:sz w:val="22"/>
                <w:szCs w:val="22"/>
                <w:rtl/>
              </w:rPr>
              <w:t xml:space="preserve">سجّل ناصر منسي الهدف الثاني لنادي الزمالك في شباك المصري في الدقيقة الرابعة والأربعين بتمريرة من أحمد فتوح، لتصبح النتيجة 2-1 لصالح الزمالك خلال المباراة التي أُقيمت على استاد برج العرب في الجولة الأولى من المرحلة النهائية للدوري المصري. ويتصدّر الزمالك حاليًّا جدول ترتيب المجموعة برصيد ثلاث وأربعين نقطة، متساويًا مع بيراميدز في عدد النقاط لكنّه يتقدّم عليه بفارق الأهداف، فيما يحلّ الأهلي في المركز الثالث برصيد أربعين نقطة.</w:t>
            </w:r>
          </w:p>
        </w:tc>
        <w:tc>
          <w:tcPr>
            <w:tcW w:type="dxa" w:w="4680"/>
            <w:tcBorders>
              <w:top w:val="single" w:color="BFBFBF" w:sz="1"/>
              <w:left w:val="single" w:color="BFBFBF" w:sz="1"/>
              <w:bottom w:val="single" w:color="BFBFBF" w:sz="1"/>
              <w:right w:val="single" w:color="BFBFBF" w:sz="1"/>
            </w:tcBorders>
            <w:shd w:fill="FFFFFF" w:color="auto" w:val="clear"/>
            <w:tcMar>
              <w:top w:type="dxa" w:w="120"/>
              <w:left w:type="dxa" w:w="160"/>
              <w:bottom w:type="dxa" w:w="120"/>
              <w:right w:type="dxa" w:w="160"/>
            </w:tcMar>
          </w:tcPr>
          <w:p>
            <w:pPr>
              <w:bidi/>
              <w:spacing w:after="80"/>
              <w:jc w:val="right"/>
            </w:pPr>
            <w:r>
              <w:rPr>
                <w:rFonts w:ascii="Tahoma" w:cs="Tahoma" w:hAnsi="Tahoma"/>
                <w:b/>
                <w:bCs/>
                <w:i w:val="false"/>
                <w:iCs w:val="false"/>
                <w:color w:val="1F4E79"/>
                <w:sz w:val="22"/>
                <w:szCs w:val="22"/>
                <w:rtl/>
              </w:rPr>
              <w:t xml:space="preserve">معين الذكي</w:t>
            </w:r>
          </w:p>
          <w:p>
            <w:pPr>
              <w:bidi/>
              <w:spacing w:after="0" w:line="340"/>
              <w:jc w:val="right"/>
            </w:pPr>
            <w:r>
              <w:rPr>
                <w:rFonts w:ascii="Tahoma" w:cs="Tahoma" w:hAnsi="Tahoma"/>
                <w:b w:val="false"/>
                <w:bCs w:val="false"/>
                <w:i w:val="false"/>
                <w:iCs w:val="false"/>
                <w:color w:val="1A1A1A"/>
                <w:sz w:val="22"/>
                <w:szCs w:val="22"/>
                <w:rtl/>
              </w:rPr>
              <w:t xml:space="preserve">سجل ناصر منسى لاعب الزمالك الهدف الثاني لفريقه في شباك المصري بعد تمريرة من أحمد فتوح في الدقيقة 44 من المباراة، مما جعل النتيجة 2-1 لصالح الزمالك. يحتل نادي الزمالك المركز الأول في جدول الترتيب برصيد 43 نقطة، متساوياً مع بيراميدز صاحب المركز الثاني، لكنه يتفوق عليه بفارق الأهداف. يحتل النادي الأهلي المركز الثالث برصيد 40 نقطة، بينما يحتل سيراميكا المركز الرابع برصيد 38 نقطة.</w:t>
            </w:r>
          </w:p>
        </w:tc>
      </w:tr>
    </w:tbl>
    <w:p>
      <w:pPr>
        <w:shd w:fill="1F4E79" w:color="auto" w:val="clear"/>
        <w:bidi/>
        <w:spacing w:after="80" w:before="140"/>
        <w:jc w:val="right"/>
      </w:pPr>
      <w:r>
        <w:rPr>
          <w:rFonts w:ascii="Tahoma" w:cs="Tahoma" w:hAnsi="Tahoma"/>
          <w:b/>
          <w:bCs/>
          <w:i w:val="false"/>
          <w:iCs w:val="false"/>
          <w:color w:val="FFFFFF"/>
          <w:sz w:val="22"/>
          <w:szCs w:val="22"/>
          <w:rtl/>
        </w:rPr>
        <w:t xml:space="preserve">  معايير الحَكم:  </w:t>
      </w:r>
      <w:r>
        <w:rPr>
          <w:rFonts w:ascii="Consolas" w:hAnsi="Consolas"/>
          <w:color w:val="FFFFFF"/>
          <w:sz w:val="22"/>
          <w:szCs w:val="22"/>
        </w:rPr>
        <w:t xml:space="preserve">faithfulness=1/3    fluency=3/3    terminology=2/2    register=2/2</w:t>
      </w:r>
    </w:p>
    <w:p>
      <w:pPr>
        <w:shd w:fill="F2F6FB" w:color="auto" w:val="clear"/>
        <w:bidi/>
        <w:spacing w:after="120" w:before="0" w:line="340"/>
        <w:jc w:val="right"/>
      </w:pPr>
      <w:r>
        <w:rPr>
          <w:rFonts w:ascii="Tahoma" w:cs="Tahoma" w:hAnsi="Tahoma"/>
          <w:b/>
          <w:bCs/>
          <w:i w:val="false"/>
          <w:iCs w:val="false"/>
          <w:color w:val="1F4E79"/>
          <w:sz w:val="22"/>
          <w:szCs w:val="22"/>
          <w:rtl/>
        </w:rPr>
        <w:t xml:space="preserve">تعليق الحَكم: </w:t>
      </w:r>
      <w:r>
        <w:rPr>
          <w:rFonts w:ascii="Tahoma" w:cs="Tahoma" w:hAnsi="Tahoma"/>
          <w:b w:val="false"/>
          <w:bCs w:val="false"/>
          <w:i w:val="false"/>
          <w:iCs w:val="false"/>
          <w:color w:val="1A1A1A"/>
          <w:sz w:val="22"/>
          <w:szCs w:val="22"/>
          <w:rtl/>
        </w:rPr>
        <w:t xml:space="preserve">الترجمة سليمة لغويًا وبأسلوب عربي فصيح ومصطلحات كروية دقيقة. لكنها تُسقط معلومات أساسية: مكان المباراة (استاد برج العرب) وكونها في الجولة الأولى من المرحلة النهائية للدوري، كما تُسقط فقرة استمرار المنافسة وذكر الأندية الأخرى. إضافةً إلى ذلك أضافت معلومة غير واردة عن ترتيب سيراميكا الرابع برصيد 38 نقطة.</w:t>
      </w:r>
    </w:p>
    <w:p>
      <w:r>
        <w:br w:type="page"/>
      </w:r>
    </w:p>
    <w:p>
      <w:pPr>
        <w:pStyle w:val="Heading1"/>
        <w:bidi/>
        <w:spacing w:after="160" w:before="360"/>
        <w:jc w:val="right"/>
      </w:pPr>
      <w:r>
        <w:rPr>
          <w:rFonts w:ascii="Tahoma" w:cs="Tahoma" w:hAnsi="Tahoma"/>
          <w:b/>
          <w:bCs/>
          <w:i w:val="false"/>
          <w:iCs w:val="false"/>
          <w:color w:val="1F4E79"/>
          <w:sz w:val="40"/>
          <w:szCs w:val="40"/>
          <w:rtl/>
        </w:rPr>
        <w:t xml:space="preserve">المثال الخامس — التقنية (TECH_023)</w:t>
      </w:r>
    </w:p>
    <w:p>
      <w:pPr>
        <w:bidi/>
        <w:spacing w:after="160" w:before="0" w:line="360"/>
        <w:jc w:val="right"/>
      </w:pPr>
      <w:r>
        <w:rPr>
          <w:rFonts w:ascii="Tahoma" w:cs="Tahoma" w:hAnsi="Tahoma"/>
          <w:b/>
          <w:bCs/>
          <w:i w:val="false"/>
          <w:iCs w:val="false"/>
          <w:color w:val="2E75B6"/>
          <w:sz w:val="24"/>
          <w:szCs w:val="24"/>
          <w:rtl/>
        </w:rPr>
        <w:t xml:space="preserve">العنوان: </w:t>
      </w:r>
      <w:r>
        <w:rPr>
          <w:rFonts w:ascii="Tahoma" w:cs="Tahoma" w:hAnsi="Tahoma"/>
          <w:b w:val="false"/>
          <w:bCs w:val="false"/>
          <w:i w:val="false"/>
          <w:iCs w:val="false"/>
          <w:color w:val="1A1A1A"/>
          <w:sz w:val="24"/>
          <w:szCs w:val="24"/>
          <w:rtl/>
        </w:rPr>
        <w:t xml:space="preserve">دبي: «الخليج» دفع تنامي التحوّل الذكي في المنازل حول العالم المراقبين إلى اعتبار 2017 «عام المنازل ال...»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1F4E79" w:sz="1"/>
              <w:left w:val="single" w:color="1F4E79" w:sz="1"/>
              <w:bottom w:val="single" w:color="1F4E79" w:sz="1"/>
              <w:right w:val="single" w:color="1F4E79" w:sz="1"/>
            </w:tcBorders>
            <w:shd w:fill="1F4E79" w:color="auto" w:val="clear"/>
            <w:tcMar>
              <w:top w:type="dxa" w:w="100"/>
              <w:left w:type="dxa" w:w="120"/>
              <w:bottom w:type="dxa" w:w="100"/>
              <w:right w:type="dxa" w:w="120"/>
            </w:tcMar>
            <w:vAlign w:val="center"/>
          </w:tcPr>
          <w:p>
            <w:pPr>
              <w:bidi/>
              <w:spacing w:after="0" w:before="0"/>
              <w:jc w:val="right"/>
            </w:pPr>
            <w:r>
              <w:rPr>
                <w:rFonts w:ascii="Tahoma" w:cs="Tahoma" w:hAnsi="Tahoma"/>
                <w:b/>
                <w:bCs/>
                <w:i w:val="false"/>
                <w:iCs w:val="false"/>
                <w:color w:val="FFFFFF"/>
                <w:sz w:val="22"/>
                <w:szCs w:val="22"/>
                <w:rtl/>
              </w:rPr>
              <w:t xml:space="preserve">المعدل العام</w:t>
            </w:r>
          </w:p>
        </w:tc>
        <w:tc>
          <w:tcPr>
            <w:tcW w:type="dxa" w:w="1872"/>
            <w:tcBorders>
              <w:top w:val="single" w:color="1F4E79" w:sz="1"/>
              <w:left w:val="single" w:color="1F4E79" w:sz="1"/>
              <w:bottom w:val="single" w:color="1F4E79" w:sz="1"/>
              <w:right w:val="single" w:color="1F4E79" w:sz="1"/>
            </w:tcBorders>
            <w:shd w:fill="1F4E79" w:color="auto" w:val="clear"/>
            <w:tcMar>
              <w:top w:type="dxa" w:w="100"/>
              <w:left w:type="dxa" w:w="120"/>
              <w:bottom w:type="dxa" w:w="100"/>
              <w:right w:type="dxa" w:w="120"/>
            </w:tcMar>
            <w:vAlign w:val="center"/>
          </w:tcPr>
          <w:p>
            <w:pPr>
              <w:bidi/>
              <w:spacing w:after="0" w:before="0"/>
              <w:jc w:val="right"/>
            </w:pPr>
            <w:r>
              <w:rPr>
                <w:rFonts w:ascii="Tahoma" w:cs="Tahoma" w:hAnsi="Tahoma"/>
                <w:b/>
                <w:bCs/>
                <w:i w:val="false"/>
                <w:iCs w:val="false"/>
                <w:color w:val="FFFFFF"/>
                <w:sz w:val="22"/>
                <w:szCs w:val="22"/>
                <w:rtl/>
              </w:rPr>
              <w:t xml:space="preserve">NER</w:t>
            </w:r>
          </w:p>
        </w:tc>
        <w:tc>
          <w:tcPr>
            <w:tcW w:type="dxa" w:w="1872"/>
            <w:tcBorders>
              <w:top w:val="single" w:color="1F4E79" w:sz="1"/>
              <w:left w:val="single" w:color="1F4E79" w:sz="1"/>
              <w:bottom w:val="single" w:color="1F4E79" w:sz="1"/>
              <w:right w:val="single" w:color="1F4E79" w:sz="1"/>
            </w:tcBorders>
            <w:shd w:fill="1F4E79" w:color="auto" w:val="clear"/>
            <w:tcMar>
              <w:top w:type="dxa" w:w="100"/>
              <w:left w:type="dxa" w:w="120"/>
              <w:bottom w:type="dxa" w:w="100"/>
              <w:right w:type="dxa" w:w="120"/>
            </w:tcMar>
            <w:vAlign w:val="center"/>
          </w:tcPr>
          <w:p>
            <w:pPr>
              <w:bidi/>
              <w:spacing w:after="0" w:before="0"/>
              <w:jc w:val="right"/>
            </w:pPr>
            <w:r>
              <w:rPr>
                <w:rFonts w:ascii="Tahoma" w:cs="Tahoma" w:hAnsi="Tahoma"/>
                <w:b/>
                <w:bCs/>
                <w:i w:val="false"/>
                <w:iCs w:val="false"/>
                <w:color w:val="FFFFFF"/>
                <w:sz w:val="22"/>
                <w:szCs w:val="22"/>
                <w:rtl/>
              </w:rPr>
              <w:t xml:space="preserve">NLI</w:t>
            </w:r>
          </w:p>
        </w:tc>
        <w:tc>
          <w:tcPr>
            <w:tcW w:type="dxa" w:w="1872"/>
            <w:tcBorders>
              <w:top w:val="single" w:color="1F4E79" w:sz="1"/>
              <w:left w:val="single" w:color="1F4E79" w:sz="1"/>
              <w:bottom w:val="single" w:color="1F4E79" w:sz="1"/>
              <w:right w:val="single" w:color="1F4E79" w:sz="1"/>
            </w:tcBorders>
            <w:shd w:fill="1F4E79" w:color="auto" w:val="clear"/>
            <w:tcMar>
              <w:top w:type="dxa" w:w="100"/>
              <w:left w:type="dxa" w:w="120"/>
              <w:bottom w:type="dxa" w:w="100"/>
              <w:right w:type="dxa" w:w="120"/>
            </w:tcMar>
            <w:vAlign w:val="center"/>
          </w:tcPr>
          <w:p>
            <w:pPr>
              <w:bidi/>
              <w:spacing w:after="0" w:before="0"/>
              <w:jc w:val="right"/>
            </w:pPr>
            <w:r>
              <w:rPr>
                <w:rFonts w:ascii="Tahoma" w:cs="Tahoma" w:hAnsi="Tahoma"/>
                <w:b/>
                <w:bCs/>
                <w:i w:val="false"/>
                <w:iCs w:val="false"/>
                <w:color w:val="FFFFFF"/>
                <w:sz w:val="22"/>
                <w:szCs w:val="22"/>
                <w:rtl/>
              </w:rPr>
              <w:t xml:space="preserve">التلخيص</w:t>
            </w:r>
          </w:p>
        </w:tc>
        <w:tc>
          <w:tcPr>
            <w:tcW w:type="dxa" w:w="1872"/>
            <w:tcBorders>
              <w:top w:val="single" w:color="1F4E79" w:sz="1"/>
              <w:left w:val="single" w:color="1F4E79" w:sz="1"/>
              <w:bottom w:val="single" w:color="1F4E79" w:sz="1"/>
              <w:right w:val="single" w:color="1F4E79" w:sz="1"/>
            </w:tcBorders>
            <w:shd w:fill="1F4E79" w:color="auto" w:val="clear"/>
            <w:tcMar>
              <w:top w:type="dxa" w:w="100"/>
              <w:left w:type="dxa" w:w="120"/>
              <w:bottom w:type="dxa" w:w="100"/>
              <w:right w:type="dxa" w:w="120"/>
            </w:tcMar>
            <w:vAlign w:val="center"/>
          </w:tcPr>
          <w:p>
            <w:pPr>
              <w:bidi/>
              <w:spacing w:after="0" w:before="0"/>
              <w:jc w:val="right"/>
            </w:pPr>
            <w:r>
              <w:rPr>
                <w:rFonts w:ascii="Tahoma" w:cs="Tahoma" w:hAnsi="Tahoma"/>
                <w:b/>
                <w:bCs/>
                <w:i w:val="false"/>
                <w:iCs w:val="false"/>
                <w:color w:val="FFFFFF"/>
                <w:sz w:val="22"/>
                <w:szCs w:val="22"/>
                <w:rtl/>
              </w:rPr>
              <w:t xml:space="preserve">الترجمة</w:t>
            </w:r>
          </w:p>
        </w:tc>
      </w:tr>
      <w:tr>
        <w:tc>
          <w:tcPr>
            <w:tcW w:type="dxa" w:w="1872"/>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6.85 / 10</w:t>
            </w:r>
          </w:p>
        </w:tc>
        <w:tc>
          <w:tcPr>
            <w:tcW w:type="dxa" w:w="1872"/>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4.76</w:t>
            </w:r>
          </w:p>
        </w:tc>
        <w:tc>
          <w:tcPr>
            <w:tcW w:type="dxa" w:w="1872"/>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10.00</w:t>
            </w:r>
          </w:p>
        </w:tc>
        <w:tc>
          <w:tcPr>
            <w:tcW w:type="dxa" w:w="1872"/>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8.00</w:t>
            </w:r>
          </w:p>
        </w:tc>
        <w:tc>
          <w:tcPr>
            <w:tcW w:type="dxa" w:w="1872"/>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5.67</w:t>
            </w:r>
          </w:p>
        </w:tc>
      </w:tr>
    </w:tbl>
    <w:p>
      <w:pPr>
        <w:pStyle w:val="Heading3"/>
        <w:bidi/>
        <w:spacing w:after="160" w:before="240"/>
        <w:jc w:val="right"/>
      </w:pPr>
      <w:r>
        <w:rPr>
          <w:rFonts w:ascii="Tahoma" w:cs="Tahoma" w:hAnsi="Tahoma"/>
          <w:b/>
          <w:bCs/>
          <w:i w:val="false"/>
          <w:iCs w:val="false"/>
          <w:color w:val="1F4E79"/>
          <w:sz w:val="28"/>
          <w:szCs w:val="28"/>
          <w:rtl/>
        </w:rPr>
        <w:t xml:space="preserve">مقتطف من المقالة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C9A227" w:sz="24"/>
              <w:bottom w:val="single" w:color="BFBFBF" w:sz="2"/>
              <w:right w:val="single" w:color="BFBFBF" w:sz="2"/>
            </w:tcBorders>
            <w:shd w:fill="F2F6FB" w:color="auto" w:val="clear"/>
            <w:tcMar>
              <w:top w:type="dxa" w:w="160"/>
              <w:left w:type="dxa" w:w="200"/>
              <w:bottom w:type="dxa" w:w="160"/>
              <w:right w:type="dxa" w:w="200"/>
            </w:tcMar>
          </w:tcPr>
          <w:p>
            <w:pPr>
              <w:bidi/>
              <w:spacing w:after="0" w:before="0" w:line="340"/>
              <w:jc w:val="right"/>
            </w:pPr>
            <w:r>
              <w:rPr>
                <w:rFonts w:ascii="Tahoma" w:cs="Tahoma" w:hAnsi="Tahoma"/>
                <w:b w:val="false"/>
                <w:bCs w:val="false"/>
                <w:i/>
                <w:iCs/>
                <w:color w:val="595959"/>
                <w:sz w:val="22"/>
                <w:szCs w:val="22"/>
                <w:rtl/>
              </w:rPr>
              <w:t xml:space="preserve">دبي: «الخليج» دفع تنامي التحوّل الذكي في المنازل حول العالم المراقبين إلى اعتبار 2017 «عام المنازل الذكية»، في وقت تشير التوقعات إلى أن أعدادها سوف تتضاعف خمس مرات من 90 مليوناً في العام 2016 إلى 463 مليون منزل ذكي في عام 2021. ويواكب «جيتكس شوبر»، أكبر معرض سنوي للإلكترونيات والتقنيات الاستهلاكية في الشرق الأوسط، هذا التحوّل...</w:t>
            </w:r>
          </w:p>
        </w:tc>
      </w:tr>
    </w:tbl>
    <w:p>
      <w:pPr>
        <w:pStyle w:val="Heading3"/>
        <w:bidi/>
        <w:spacing w:after="160" w:before="240"/>
        <w:jc w:val="right"/>
      </w:pPr>
      <w:r>
        <w:rPr>
          <w:rFonts w:ascii="Tahoma" w:cs="Tahoma" w:hAnsi="Tahoma"/>
          <w:b/>
          <w:bCs/>
          <w:i w:val="false"/>
          <w:iCs w:val="false"/>
          <w:color w:val="1F4E79"/>
          <w:sz w:val="28"/>
          <w:szCs w:val="28"/>
          <w:rtl/>
        </w:rPr>
        <w:t xml:space="preserve">المهمة الأولى — التعرف على الكيانات (NER —4.76 /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0"/>
        <w:gridCol w:w="3800"/>
        <w:gridCol w:w="3800"/>
      </w:tblGrid>
      <w:tr>
        <w:trPr>
          <w:tblHeader/>
        </w:trPr>
        <w:tc>
          <w:tcPr>
            <w:tcW w:type="dxa" w:w="1760"/>
            <w:tcBorders>
              <w:top w:val="single" w:color="1F4E79" w:sz="1"/>
              <w:left w:val="single" w:color="1F4E79" w:sz="1"/>
              <w:bottom w:val="single" w:color="1F4E79" w:sz="1"/>
              <w:right w:val="single" w:color="1F4E79" w:sz="1"/>
            </w:tcBorders>
            <w:shd w:fill="1F4E79" w:color="auto" w:val="clear"/>
            <w:tcMar>
              <w:top w:type="dxa" w:w="100"/>
              <w:left w:type="dxa" w:w="120"/>
              <w:bottom w:type="dxa" w:w="100"/>
              <w:right w:type="dxa" w:w="120"/>
            </w:tcMar>
            <w:vAlign w:val="center"/>
          </w:tcPr>
          <w:p>
            <w:pPr>
              <w:bidi/>
              <w:spacing w:after="0" w:before="0"/>
              <w:jc w:val="right"/>
            </w:pPr>
            <w:r>
              <w:rPr>
                <w:rFonts w:ascii="Tahoma" w:cs="Tahoma" w:hAnsi="Tahoma"/>
                <w:b/>
                <w:bCs/>
                <w:i w:val="false"/>
                <w:iCs w:val="false"/>
                <w:color w:val="FFFFFF"/>
                <w:sz w:val="22"/>
                <w:szCs w:val="22"/>
                <w:rtl/>
              </w:rPr>
              <w:t xml:space="preserve">الفئة</w:t>
            </w:r>
          </w:p>
        </w:tc>
        <w:tc>
          <w:tcPr>
            <w:tcW w:type="dxa" w:w="3800"/>
            <w:tcBorders>
              <w:top w:val="single" w:color="1F4E79" w:sz="1"/>
              <w:left w:val="single" w:color="1F4E79" w:sz="1"/>
              <w:bottom w:val="single" w:color="1F4E79" w:sz="1"/>
              <w:right w:val="single" w:color="1F4E79" w:sz="1"/>
            </w:tcBorders>
            <w:shd w:fill="1F4E79" w:color="auto" w:val="clear"/>
            <w:tcMar>
              <w:top w:type="dxa" w:w="100"/>
              <w:left w:type="dxa" w:w="120"/>
              <w:bottom w:type="dxa" w:w="100"/>
              <w:right w:type="dxa" w:w="120"/>
            </w:tcMar>
            <w:vAlign w:val="center"/>
          </w:tcPr>
          <w:p>
            <w:pPr>
              <w:bidi/>
              <w:spacing w:after="0" w:before="0"/>
              <w:jc w:val="right"/>
            </w:pPr>
            <w:r>
              <w:rPr>
                <w:rFonts w:ascii="Tahoma" w:cs="Tahoma" w:hAnsi="Tahoma"/>
                <w:b/>
                <w:bCs/>
                <w:i w:val="false"/>
                <w:iCs w:val="false"/>
                <w:color w:val="FFFFFF"/>
                <w:sz w:val="22"/>
                <w:szCs w:val="22"/>
                <w:rtl/>
              </w:rPr>
              <w:t xml:space="preserve">المرجع (Claude Opus)</w:t>
            </w:r>
          </w:p>
        </w:tc>
        <w:tc>
          <w:tcPr>
            <w:tcW w:type="dxa" w:w="3800"/>
            <w:tcBorders>
              <w:top w:val="single" w:color="1F4E79" w:sz="1"/>
              <w:left w:val="single" w:color="1F4E79" w:sz="1"/>
              <w:bottom w:val="single" w:color="1F4E79" w:sz="1"/>
              <w:right w:val="single" w:color="1F4E79" w:sz="1"/>
            </w:tcBorders>
            <w:shd w:fill="1F4E79" w:color="auto" w:val="clear"/>
            <w:tcMar>
              <w:top w:type="dxa" w:w="100"/>
              <w:left w:type="dxa" w:w="120"/>
              <w:bottom w:type="dxa" w:w="100"/>
              <w:right w:type="dxa" w:w="120"/>
            </w:tcMar>
            <w:vAlign w:val="center"/>
          </w:tcPr>
          <w:p>
            <w:pPr>
              <w:bidi/>
              <w:spacing w:after="0" w:before="0"/>
              <w:jc w:val="right"/>
            </w:pPr>
            <w:r>
              <w:rPr>
                <w:rFonts w:ascii="Tahoma" w:cs="Tahoma" w:hAnsi="Tahoma"/>
                <w:b/>
                <w:bCs/>
                <w:i w:val="false"/>
                <w:iCs w:val="false"/>
                <w:color w:val="FFFFFF"/>
                <w:sz w:val="22"/>
                <w:szCs w:val="22"/>
                <w:rtl/>
              </w:rPr>
              <w:t xml:space="preserve">معين الذكي</w:t>
            </w:r>
          </w:p>
        </w:tc>
      </w:tr>
      <w:tr>
        <w:tc>
          <w:tcPr>
            <w:tcW w:type="dxa" w:w="17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أشخاص</w:t>
            </w:r>
          </w:p>
        </w:tc>
        <w:tc>
          <w:tcPr>
            <w:tcW w:type="dxa" w:w="38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أفيناش شانبوج</w:t>
            </w:r>
          </w:p>
        </w:tc>
        <w:tc>
          <w:tcPr>
            <w:tcW w:type="dxa" w:w="38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أفيناش شانبوج</w:t>
            </w:r>
          </w:p>
        </w:tc>
      </w:tr>
      <w:tr>
        <w:tc>
          <w:tcPr>
            <w:tcW w:type="dxa" w:w="1760"/>
            <w:tcBorders>
              <w:top w:val="single" w:color="BFBFBF" w:sz="1"/>
              <w:left w:val="single" w:color="BFBFBF" w:sz="1"/>
              <w:bottom w:val="single" w:color="BFBFBF" w:sz="1"/>
              <w:right w:val="single" w:color="BFBFBF" w:sz="1"/>
            </w:tcBorders>
            <w:shd w:fill="F2F6FB"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مواقع</w:t>
            </w:r>
          </w:p>
        </w:tc>
        <w:tc>
          <w:tcPr>
            <w:tcW w:type="dxa" w:w="3800"/>
            <w:tcBorders>
              <w:top w:val="single" w:color="BFBFBF" w:sz="1"/>
              <w:left w:val="single" w:color="BFBFBF" w:sz="1"/>
              <w:bottom w:val="single" w:color="BFBFBF" w:sz="1"/>
              <w:right w:val="single" w:color="BFBFBF" w:sz="1"/>
            </w:tcBorders>
            <w:shd w:fill="F2F6FB"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دبي, الشرق الأوسط</w:t>
            </w:r>
          </w:p>
        </w:tc>
        <w:tc>
          <w:tcPr>
            <w:tcW w:type="dxa" w:w="3800"/>
            <w:tcBorders>
              <w:top w:val="single" w:color="BFBFBF" w:sz="1"/>
              <w:left w:val="single" w:color="BFBFBF" w:sz="1"/>
              <w:bottom w:val="single" w:color="BFBFBF" w:sz="1"/>
              <w:right w:val="single" w:color="BFBFBF" w:sz="1"/>
            </w:tcBorders>
            <w:shd w:fill="F2F6FB"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دبي, مركز دبي التجاري العالمي, الخليج</w:t>
            </w:r>
          </w:p>
        </w:tc>
      </w:tr>
      <w:tr>
        <w:tc>
          <w:tcPr>
            <w:tcW w:type="dxa" w:w="17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مؤسسات</w:t>
            </w:r>
          </w:p>
        </w:tc>
        <w:tc>
          <w:tcPr>
            <w:tcW w:type="dxa" w:w="38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مركز دبي التجاري العالمي, شرف دي جي, جوجل, نيست, جمبو للإلكترونيات, أمازون, أبل, سامسونج</w:t>
            </w:r>
          </w:p>
        </w:tc>
        <w:tc>
          <w:tcPr>
            <w:tcW w:type="dxa" w:w="38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جيتكس شوبر, مركز دبي التجاري العالمي, شركة شرف دي جي, شركة جمبو للإلكترونيات, جوجل, نيست, أمازون, أبل, سامسونج</w:t>
            </w:r>
          </w:p>
        </w:tc>
      </w:tr>
      <w:tr>
        <w:tc>
          <w:tcPr>
            <w:tcW w:type="dxa" w:w="1760"/>
            <w:tcBorders>
              <w:top w:val="single" w:color="BFBFBF" w:sz="1"/>
              <w:left w:val="single" w:color="BFBFBF" w:sz="1"/>
              <w:bottom w:val="single" w:color="BFBFBF" w:sz="1"/>
              <w:right w:val="single" w:color="BFBFBF" w:sz="1"/>
            </w:tcBorders>
            <w:shd w:fill="F2F6FB"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متنوع</w:t>
            </w:r>
          </w:p>
        </w:tc>
        <w:tc>
          <w:tcPr>
            <w:tcW w:type="dxa" w:w="3800"/>
            <w:tcBorders>
              <w:top w:val="single" w:color="BFBFBF" w:sz="1"/>
              <w:left w:val="single" w:color="BFBFBF" w:sz="1"/>
              <w:bottom w:val="single" w:color="BFBFBF" w:sz="1"/>
              <w:right w:val="single" w:color="BFBFBF" w:sz="1"/>
            </w:tcBorders>
            <w:shd w:fill="F2F6FB"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جيتكس شوبر, سمارت هوم, أسيستنت, ثيرموستات, إيكو, هوم كيت, سمارت ثينجز, جرينز</w:t>
            </w:r>
          </w:p>
        </w:tc>
        <w:tc>
          <w:tcPr>
            <w:tcW w:type="dxa" w:w="3800"/>
            <w:tcBorders>
              <w:top w:val="single" w:color="BFBFBF" w:sz="1"/>
              <w:left w:val="single" w:color="BFBFBF" w:sz="1"/>
              <w:bottom w:val="single" w:color="BFBFBF" w:sz="1"/>
              <w:right w:val="single" w:color="BFBFBF" w:sz="1"/>
            </w:tcBorders>
            <w:shd w:fill="F2F6FB"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زعبيل 3، 4، 5، 6</w:t>
            </w:r>
          </w:p>
        </w:tc>
      </w:tr>
    </w:tbl>
    <w:p>
      <w:pPr>
        <w:pStyle w:val="Heading3"/>
        <w:bidi/>
        <w:spacing w:after="160" w:before="240"/>
        <w:jc w:val="right"/>
      </w:pPr>
      <w:r>
        <w:rPr>
          <w:rFonts w:ascii="Tahoma" w:cs="Tahoma" w:hAnsi="Tahoma"/>
          <w:b/>
          <w:bCs/>
          <w:i w:val="false"/>
          <w:iCs w:val="false"/>
          <w:color w:val="1F4E79"/>
          <w:sz w:val="28"/>
          <w:szCs w:val="28"/>
          <w:rtl/>
        </w:rPr>
        <w:t xml:space="preserve">المهمة الثانية — التلخيص (8.00 /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FBFBF" w:sz="1"/>
              <w:left w:val="single" w:color="BFBFBF" w:sz="1"/>
              <w:bottom w:val="single" w:color="BFBFBF" w:sz="1"/>
              <w:right w:val="single" w:color="BFBFBF" w:sz="1"/>
            </w:tcBorders>
            <w:shd w:fill="F2F6FB" w:color="auto" w:val="clear"/>
            <w:tcMar>
              <w:top w:type="dxa" w:w="120"/>
              <w:left w:type="dxa" w:w="160"/>
              <w:bottom w:type="dxa" w:w="120"/>
              <w:right w:type="dxa" w:w="160"/>
            </w:tcMar>
          </w:tcPr>
          <w:p>
            <w:pPr>
              <w:bidi/>
              <w:spacing w:after="80"/>
              <w:jc w:val="right"/>
            </w:pPr>
            <w:r>
              <w:rPr>
                <w:rFonts w:ascii="Tahoma" w:cs="Tahoma" w:hAnsi="Tahoma"/>
                <w:b/>
                <w:bCs/>
                <w:i w:val="false"/>
                <w:iCs w:val="false"/>
                <w:color w:val="1F4E79"/>
                <w:sz w:val="22"/>
                <w:szCs w:val="22"/>
                <w:rtl/>
              </w:rPr>
              <w:t xml:space="preserve">المرجع (Claude Opus)</w:t>
            </w:r>
          </w:p>
          <w:p>
            <w:pPr>
              <w:bidi/>
              <w:spacing w:after="0" w:line="340"/>
              <w:jc w:val="right"/>
            </w:pPr>
            <w:r>
              <w:rPr>
                <w:rFonts w:ascii="Tahoma" w:cs="Tahoma" w:hAnsi="Tahoma"/>
                <w:b w:val="false"/>
                <w:bCs w:val="false"/>
                <w:i w:val="false"/>
                <w:iCs w:val="false"/>
                <w:color w:val="1A1A1A"/>
                <w:sz w:val="22"/>
                <w:szCs w:val="22"/>
                <w:rtl/>
              </w:rPr>
              <w:t xml:space="preserve">يشهد معرض «جيتكس شوبر» المقام في مركز دبي التجاري العالمي حتى الثلاثين من سبتمبر عرض مجموعة متنوعة من المنتجات المنزلية الذكية، حيث تقدم شركتا «شرف دي جي» و«جمبو للإلكترونيات» أجهزة تشمل سماعات «جوجل» الذكية وأنظمة ترشيد الطاقة وأجهزة الأمن المنزلي. وتأتي هذه الفعاليات في ظل توقعات بتضاعف أعداد المنازل الذكية عالمياً خمس مرات لتبلغ أربعمئة وثلاثة وستين مليون منزل بحلول عام ألفين وواحد وعشرين، بعد أن أطلقت كبرى شركات التقنية مثل «أمازون» و«أبل» و«جوجل» و«سامسونج» أنظمة متعددة للتحكم الذكي في المنازل.</w:t>
            </w:r>
          </w:p>
        </w:tc>
        <w:tc>
          <w:tcPr>
            <w:tcW w:type="dxa" w:w="4680"/>
            <w:tcBorders>
              <w:top w:val="single" w:color="BFBFBF" w:sz="1"/>
              <w:left w:val="single" w:color="BFBFBF" w:sz="1"/>
              <w:bottom w:val="single" w:color="BFBFBF" w:sz="1"/>
              <w:right w:val="single" w:color="BFBFBF" w:sz="1"/>
            </w:tcBorders>
            <w:shd w:fill="FFFFFF" w:color="auto" w:val="clear"/>
            <w:tcMar>
              <w:top w:type="dxa" w:w="120"/>
              <w:left w:type="dxa" w:w="160"/>
              <w:bottom w:type="dxa" w:w="120"/>
              <w:right w:type="dxa" w:w="160"/>
            </w:tcMar>
          </w:tcPr>
          <w:p>
            <w:pPr>
              <w:bidi/>
              <w:spacing w:after="80"/>
              <w:jc w:val="right"/>
            </w:pPr>
            <w:r>
              <w:rPr>
                <w:rFonts w:ascii="Tahoma" w:cs="Tahoma" w:hAnsi="Tahoma"/>
                <w:b/>
                <w:bCs/>
                <w:i w:val="false"/>
                <w:iCs w:val="false"/>
                <w:color w:val="1F4E79"/>
                <w:sz w:val="22"/>
                <w:szCs w:val="22"/>
                <w:rtl/>
              </w:rPr>
              <w:t xml:space="preserve">معين الذكي</w:t>
            </w:r>
          </w:p>
          <w:p>
            <w:pPr>
              <w:bidi/>
              <w:spacing w:after="0" w:line="340"/>
              <w:jc w:val="right"/>
            </w:pPr>
            <w:r>
              <w:rPr>
                <w:rFonts w:ascii="Tahoma" w:cs="Tahoma" w:hAnsi="Tahoma"/>
                <w:b w:val="false"/>
                <w:bCs w:val="false"/>
                <w:i w:val="false"/>
                <w:iCs w:val="false"/>
                <w:color w:val="1A1A1A"/>
                <w:sz w:val="22"/>
                <w:szCs w:val="22"/>
                <w:rtl/>
              </w:rPr>
              <w:t xml:space="preserve">يرتفع عدد المنازل الذكية من 90 مليوناً في 2016 إلى 463 مليوناً بحلول 2021، ويعتبر جيتكس شوبر أكبر معرض سنوي للإلكترونيات في الشرق الأوسط، حيث يعرض أحدث المنتجات الذكية من شركات عالمية.</w:t>
            </w:r>
          </w:p>
        </w:tc>
      </w:tr>
    </w:tbl>
    <w:p>
      <w:pPr>
        <w:shd w:fill="1F4E79" w:color="auto" w:val="clear"/>
        <w:bidi/>
        <w:spacing w:after="80" w:before="140"/>
        <w:jc w:val="right"/>
      </w:pPr>
      <w:r>
        <w:rPr>
          <w:rFonts w:ascii="Tahoma" w:cs="Tahoma" w:hAnsi="Tahoma"/>
          <w:b/>
          <w:bCs/>
          <w:i w:val="false"/>
          <w:iCs w:val="false"/>
          <w:color w:val="FFFFFF"/>
          <w:sz w:val="22"/>
          <w:szCs w:val="22"/>
          <w:rtl/>
        </w:rPr>
        <w:t xml:space="preserve">  معايير الحَكم:  </w:t>
      </w:r>
      <w:r>
        <w:rPr>
          <w:rFonts w:ascii="Consolas" w:hAnsi="Consolas"/>
          <w:color w:val="FFFFFF"/>
          <w:sz w:val="22"/>
          <w:szCs w:val="22"/>
        </w:rPr>
        <w:t xml:space="preserve">factual=3/3    coverage=1/3    no_inference=2/2    register=2/2</w:t>
      </w:r>
    </w:p>
    <w:p>
      <w:pPr>
        <w:shd w:fill="F2F6FB" w:color="auto" w:val="clear"/>
        <w:bidi/>
        <w:spacing w:after="120" w:before="0" w:line="340"/>
        <w:jc w:val="right"/>
      </w:pPr>
      <w:r>
        <w:rPr>
          <w:rFonts w:ascii="Tahoma" w:cs="Tahoma" w:hAnsi="Tahoma"/>
          <w:b/>
          <w:bCs/>
          <w:i w:val="false"/>
          <w:iCs w:val="false"/>
          <w:color w:val="1F4E79"/>
          <w:sz w:val="22"/>
          <w:szCs w:val="22"/>
          <w:rtl/>
        </w:rPr>
        <w:t xml:space="preserve">تعليق الحَكم: </w:t>
      </w:r>
      <w:r>
        <w:rPr>
          <w:rFonts w:ascii="Tahoma" w:cs="Tahoma" w:hAnsi="Tahoma"/>
          <w:b w:val="false"/>
          <w:bCs w:val="false"/>
          <w:i w:val="false"/>
          <w:iCs w:val="false"/>
          <w:color w:val="1A1A1A"/>
          <w:sz w:val="22"/>
          <w:szCs w:val="22"/>
          <w:rtl/>
        </w:rPr>
        <w:t xml:space="preserve">الملخص صحيح في الأرقام الأساسية (90 مليوناً في 2016 إلى 463 مليوناً في 2021) وفي توصيف «جيتكس شوبر» كأكبر معرض سنوي للإلكترونيات في الشرق الأوسط. لكنه يغفل معظم التفاصيل الجوهرية الواردة في المصدر والمرجع: مكان وزمان المعرض (حتى 30 سبتمبر في مركز دبي التجاري العالمي)، وأمثلة المنتجات والشركات المشاركة (شرف دي جي، جمبو، سماعات جوجل، نيست).</w:t>
      </w:r>
    </w:p>
    <w:p>
      <w:pPr>
        <w:pStyle w:val="Heading3"/>
        <w:bidi/>
        <w:spacing w:after="160" w:before="240"/>
        <w:jc w:val="right"/>
      </w:pPr>
      <w:r>
        <w:rPr>
          <w:rFonts w:ascii="Tahoma" w:cs="Tahoma" w:hAnsi="Tahoma"/>
          <w:b/>
          <w:bCs/>
          <w:i w:val="false"/>
          <w:iCs w:val="false"/>
          <w:color w:val="1F4E79"/>
          <w:sz w:val="28"/>
          <w:szCs w:val="28"/>
          <w:rtl/>
        </w:rPr>
        <w:t xml:space="preserve">المهمة الثالثة — الاستدلال اللغوي (NLI —10.00 /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000"/>
        <w:gridCol w:w="1600"/>
        <w:gridCol w:w="1600"/>
        <w:gridCol w:w="560"/>
      </w:tblGrid>
      <w:tr>
        <w:trPr>
          <w:tblHeader/>
        </w:trPr>
        <w:tc>
          <w:tcPr>
            <w:tcW w:type="dxa" w:w="600"/>
            <w:tcBorders>
              <w:top w:val="single" w:color="1F4E79" w:sz="1"/>
              <w:left w:val="single" w:color="1F4E79" w:sz="1"/>
              <w:bottom w:val="single" w:color="1F4E79" w:sz="1"/>
              <w:right w:val="single" w:color="1F4E79" w:sz="1"/>
            </w:tcBorders>
            <w:shd w:fill="1F4E79" w:color="auto" w:val="clear"/>
            <w:tcMar>
              <w:top w:type="dxa" w:w="100"/>
              <w:left w:type="dxa" w:w="120"/>
              <w:bottom w:type="dxa" w:w="100"/>
              <w:right w:type="dxa" w:w="120"/>
            </w:tcMar>
            <w:vAlign w:val="center"/>
          </w:tcPr>
          <w:p>
            <w:pPr>
              <w:bidi/>
              <w:spacing w:after="0" w:before="0"/>
              <w:jc w:val="right"/>
            </w:pPr>
            <w:r>
              <w:rPr>
                <w:rFonts w:ascii="Tahoma" w:cs="Tahoma" w:hAnsi="Tahoma"/>
                <w:b/>
                <w:bCs/>
                <w:i w:val="false"/>
                <w:iCs w:val="false"/>
                <w:color w:val="FFFFFF"/>
                <w:sz w:val="22"/>
                <w:szCs w:val="22"/>
                <w:rtl/>
              </w:rPr>
              <w:t xml:space="preserve">#</w:t>
            </w:r>
          </w:p>
        </w:tc>
        <w:tc>
          <w:tcPr>
            <w:tcW w:type="dxa" w:w="5000"/>
            <w:tcBorders>
              <w:top w:val="single" w:color="1F4E79" w:sz="1"/>
              <w:left w:val="single" w:color="1F4E79" w:sz="1"/>
              <w:bottom w:val="single" w:color="1F4E79" w:sz="1"/>
              <w:right w:val="single" w:color="1F4E79" w:sz="1"/>
            </w:tcBorders>
            <w:shd w:fill="1F4E79" w:color="auto" w:val="clear"/>
            <w:tcMar>
              <w:top w:type="dxa" w:w="100"/>
              <w:left w:type="dxa" w:w="120"/>
              <w:bottom w:type="dxa" w:w="100"/>
              <w:right w:type="dxa" w:w="120"/>
            </w:tcMar>
            <w:vAlign w:val="center"/>
          </w:tcPr>
          <w:p>
            <w:pPr>
              <w:bidi/>
              <w:spacing w:after="0" w:before="0"/>
              <w:jc w:val="right"/>
            </w:pPr>
            <w:r>
              <w:rPr>
                <w:rFonts w:ascii="Tahoma" w:cs="Tahoma" w:hAnsi="Tahoma"/>
                <w:b/>
                <w:bCs/>
                <w:i w:val="false"/>
                <w:iCs w:val="false"/>
                <w:color w:val="FFFFFF"/>
                <w:sz w:val="22"/>
                <w:szCs w:val="22"/>
                <w:rtl/>
              </w:rPr>
              <w:t xml:space="preserve">نص الادعاء</w:t>
            </w:r>
          </w:p>
        </w:tc>
        <w:tc>
          <w:tcPr>
            <w:tcW w:type="dxa" w:w="1600"/>
            <w:tcBorders>
              <w:top w:val="single" w:color="1F4E79" w:sz="1"/>
              <w:left w:val="single" w:color="1F4E79" w:sz="1"/>
              <w:bottom w:val="single" w:color="1F4E79" w:sz="1"/>
              <w:right w:val="single" w:color="1F4E79" w:sz="1"/>
            </w:tcBorders>
            <w:shd w:fill="1F4E79" w:color="auto" w:val="clear"/>
            <w:tcMar>
              <w:top w:type="dxa" w:w="100"/>
              <w:left w:type="dxa" w:w="120"/>
              <w:bottom w:type="dxa" w:w="100"/>
              <w:right w:type="dxa" w:w="120"/>
            </w:tcMar>
            <w:vAlign w:val="center"/>
          </w:tcPr>
          <w:p>
            <w:pPr>
              <w:bidi/>
              <w:spacing w:after="0" w:before="0"/>
              <w:jc w:val="right"/>
            </w:pPr>
            <w:r>
              <w:rPr>
                <w:rFonts w:ascii="Tahoma" w:cs="Tahoma" w:hAnsi="Tahoma"/>
                <w:b/>
                <w:bCs/>
                <w:i w:val="false"/>
                <w:iCs w:val="false"/>
                <w:color w:val="FFFFFF"/>
                <w:sz w:val="22"/>
                <w:szCs w:val="22"/>
                <w:rtl/>
              </w:rPr>
              <w:t xml:space="preserve">المرجع</w:t>
            </w:r>
          </w:p>
        </w:tc>
        <w:tc>
          <w:tcPr>
            <w:tcW w:type="dxa" w:w="1600"/>
            <w:tcBorders>
              <w:top w:val="single" w:color="1F4E79" w:sz="1"/>
              <w:left w:val="single" w:color="1F4E79" w:sz="1"/>
              <w:bottom w:val="single" w:color="1F4E79" w:sz="1"/>
              <w:right w:val="single" w:color="1F4E79" w:sz="1"/>
            </w:tcBorders>
            <w:shd w:fill="1F4E79" w:color="auto" w:val="clear"/>
            <w:tcMar>
              <w:top w:type="dxa" w:w="100"/>
              <w:left w:type="dxa" w:w="120"/>
              <w:bottom w:type="dxa" w:w="100"/>
              <w:right w:type="dxa" w:w="120"/>
            </w:tcMar>
            <w:vAlign w:val="center"/>
          </w:tcPr>
          <w:p>
            <w:pPr>
              <w:bidi/>
              <w:spacing w:after="0" w:before="0"/>
              <w:jc w:val="right"/>
            </w:pPr>
            <w:r>
              <w:rPr>
                <w:rFonts w:ascii="Tahoma" w:cs="Tahoma" w:hAnsi="Tahoma"/>
                <w:b/>
                <w:bCs/>
                <w:i w:val="false"/>
                <w:iCs w:val="false"/>
                <w:color w:val="FFFFFF"/>
                <w:sz w:val="22"/>
                <w:szCs w:val="22"/>
                <w:rtl/>
              </w:rPr>
              <w:t xml:space="preserve">معين</w:t>
            </w:r>
          </w:p>
        </w:tc>
        <w:tc>
          <w:tcPr>
            <w:tcW w:type="dxa" w:w="560"/>
            <w:tcBorders>
              <w:top w:val="single" w:color="1F4E79" w:sz="1"/>
              <w:left w:val="single" w:color="1F4E79" w:sz="1"/>
              <w:bottom w:val="single" w:color="1F4E79" w:sz="1"/>
              <w:right w:val="single" w:color="1F4E79" w:sz="1"/>
            </w:tcBorders>
            <w:shd w:fill="1F4E79" w:color="auto" w:val="clear"/>
            <w:tcMar>
              <w:top w:type="dxa" w:w="100"/>
              <w:left w:type="dxa" w:w="120"/>
              <w:bottom w:type="dxa" w:w="100"/>
              <w:right w:type="dxa" w:w="120"/>
            </w:tcMar>
            <w:vAlign w:val="center"/>
          </w:tcPr>
          <w:p>
            <w:pPr>
              <w:bidi/>
              <w:spacing w:after="0" w:before="0"/>
              <w:jc w:val="right"/>
            </w:pPr>
            <w:r>
              <w:rPr>
                <w:rFonts w:ascii="Tahoma" w:cs="Tahoma" w:hAnsi="Tahoma"/>
                <w:b/>
                <w:bCs/>
                <w:i w:val="false"/>
                <w:iCs w:val="false"/>
                <w:color w:val="FFFFFF"/>
                <w:sz w:val="22"/>
                <w:szCs w:val="22"/>
                <w:rtl/>
              </w:rPr>
              <w:t xml:space="preserve">المطابقة</w:t>
            </w:r>
          </w:p>
        </w:tc>
      </w:tr>
      <w:tr>
        <w:tc>
          <w:tcPr>
            <w:tcW w:type="dxa" w:w="6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1</w:t>
            </w:r>
          </w:p>
        </w:tc>
        <w:tc>
          <w:tcPr>
            <w:tcW w:type="dxa" w:w="50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تشير التقديرات إلى أن عدد المنازل الذكية سيرتفع من 90 مليوناً في 2016 إلى نحو 46...</w:t>
            </w:r>
          </w:p>
        </w:tc>
        <w:tc>
          <w:tcPr>
            <w:tcW w:type="dxa" w:w="16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SUPPORTED</w:t>
            </w:r>
          </w:p>
        </w:tc>
        <w:tc>
          <w:tcPr>
            <w:tcW w:type="dxa" w:w="16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SUPPORTED</w:t>
            </w:r>
          </w:p>
        </w:tc>
        <w:tc>
          <w:tcPr>
            <w:tcW w:type="dxa" w:w="5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w:t>
            </w:r>
          </w:p>
        </w:tc>
      </w:tr>
      <w:tr>
        <w:tc>
          <w:tcPr>
            <w:tcW w:type="dxa" w:w="600"/>
            <w:tcBorders>
              <w:top w:val="single" w:color="BFBFBF" w:sz="1"/>
              <w:left w:val="single" w:color="BFBFBF" w:sz="1"/>
              <w:bottom w:val="single" w:color="BFBFBF" w:sz="1"/>
              <w:right w:val="single" w:color="BFBFBF" w:sz="1"/>
            </w:tcBorders>
            <w:shd w:fill="F2F6FB"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2</w:t>
            </w:r>
          </w:p>
        </w:tc>
        <w:tc>
          <w:tcPr>
            <w:tcW w:type="dxa" w:w="5000"/>
            <w:tcBorders>
              <w:top w:val="single" w:color="BFBFBF" w:sz="1"/>
              <w:left w:val="single" w:color="BFBFBF" w:sz="1"/>
              <w:bottom w:val="single" w:color="BFBFBF" w:sz="1"/>
              <w:right w:val="single" w:color="BFBFBF" w:sz="1"/>
            </w:tcBorders>
            <w:shd w:fill="F2F6FB"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تقوم شركة جمبو للإلكترونيات بعرض أجهزة أمن منزلية ذكية تشمل قفلاً يُفتح عن طريق ...</w:t>
            </w:r>
          </w:p>
        </w:tc>
        <w:tc>
          <w:tcPr>
            <w:tcW w:type="dxa" w:w="1600"/>
            <w:tcBorders>
              <w:top w:val="single" w:color="BFBFBF" w:sz="1"/>
              <w:left w:val="single" w:color="BFBFBF" w:sz="1"/>
              <w:bottom w:val="single" w:color="BFBFBF" w:sz="1"/>
              <w:right w:val="single" w:color="BFBFBF" w:sz="1"/>
            </w:tcBorders>
            <w:shd w:fill="F2F6FB"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SUPPORTED</w:t>
            </w:r>
          </w:p>
        </w:tc>
        <w:tc>
          <w:tcPr>
            <w:tcW w:type="dxa" w:w="1600"/>
            <w:tcBorders>
              <w:top w:val="single" w:color="BFBFBF" w:sz="1"/>
              <w:left w:val="single" w:color="BFBFBF" w:sz="1"/>
              <w:bottom w:val="single" w:color="BFBFBF" w:sz="1"/>
              <w:right w:val="single" w:color="BFBFBF" w:sz="1"/>
            </w:tcBorders>
            <w:shd w:fill="F2F6FB"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SUPPORTED</w:t>
            </w:r>
          </w:p>
        </w:tc>
        <w:tc>
          <w:tcPr>
            <w:tcW w:type="dxa" w:w="560"/>
            <w:tcBorders>
              <w:top w:val="single" w:color="BFBFBF" w:sz="1"/>
              <w:left w:val="single" w:color="BFBFBF" w:sz="1"/>
              <w:bottom w:val="single" w:color="BFBFBF" w:sz="1"/>
              <w:right w:val="single" w:color="BFBFBF" w:sz="1"/>
            </w:tcBorders>
            <w:shd w:fill="F2F6FB"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w:t>
            </w:r>
          </w:p>
        </w:tc>
      </w:tr>
      <w:tr>
        <w:tc>
          <w:tcPr>
            <w:tcW w:type="dxa" w:w="6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3</w:t>
            </w:r>
          </w:p>
        </w:tc>
        <w:tc>
          <w:tcPr>
            <w:tcW w:type="dxa" w:w="50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تستمر فعاليات جيتكس شوبر حتى يوم الجمعة 29 سبتمبر في مركز دبي التجاري العالمي</w:t>
            </w:r>
          </w:p>
        </w:tc>
        <w:tc>
          <w:tcPr>
            <w:tcW w:type="dxa" w:w="16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REFUTED</w:t>
            </w:r>
          </w:p>
        </w:tc>
        <w:tc>
          <w:tcPr>
            <w:tcW w:type="dxa" w:w="16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REFUTED</w:t>
            </w:r>
          </w:p>
        </w:tc>
        <w:tc>
          <w:tcPr>
            <w:tcW w:type="dxa" w:w="5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w:t>
            </w:r>
          </w:p>
        </w:tc>
      </w:tr>
      <w:tr>
        <w:tc>
          <w:tcPr>
            <w:tcW w:type="dxa" w:w="600"/>
            <w:tcBorders>
              <w:top w:val="single" w:color="BFBFBF" w:sz="1"/>
              <w:left w:val="single" w:color="BFBFBF" w:sz="1"/>
              <w:bottom w:val="single" w:color="BFBFBF" w:sz="1"/>
              <w:right w:val="single" w:color="BFBFBF" w:sz="1"/>
            </w:tcBorders>
            <w:shd w:fill="F2F6FB"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4</w:t>
            </w:r>
          </w:p>
        </w:tc>
        <w:tc>
          <w:tcPr>
            <w:tcW w:type="dxa" w:w="5000"/>
            <w:tcBorders>
              <w:top w:val="single" w:color="BFBFBF" w:sz="1"/>
              <w:left w:val="single" w:color="BFBFBF" w:sz="1"/>
              <w:bottom w:val="single" w:color="BFBFBF" w:sz="1"/>
              <w:right w:val="single" w:color="BFBFBF" w:sz="1"/>
            </w:tcBorders>
            <w:shd w:fill="F2F6FB"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بلغ عدد الزوار الإجمالي لمعرض جيتكس شوبر في نسخة 2017 أكثر من مليون زائر</w:t>
            </w:r>
          </w:p>
        </w:tc>
        <w:tc>
          <w:tcPr>
            <w:tcW w:type="dxa" w:w="1600"/>
            <w:tcBorders>
              <w:top w:val="single" w:color="BFBFBF" w:sz="1"/>
              <w:left w:val="single" w:color="BFBFBF" w:sz="1"/>
              <w:bottom w:val="single" w:color="BFBFBF" w:sz="1"/>
              <w:right w:val="single" w:color="BFBFBF" w:sz="1"/>
            </w:tcBorders>
            <w:shd w:fill="F2F6FB"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NOT_ENOUGH_INFO</w:t>
            </w:r>
          </w:p>
        </w:tc>
        <w:tc>
          <w:tcPr>
            <w:tcW w:type="dxa" w:w="1600"/>
            <w:tcBorders>
              <w:top w:val="single" w:color="BFBFBF" w:sz="1"/>
              <w:left w:val="single" w:color="BFBFBF" w:sz="1"/>
              <w:bottom w:val="single" w:color="BFBFBF" w:sz="1"/>
              <w:right w:val="single" w:color="BFBFBF" w:sz="1"/>
            </w:tcBorders>
            <w:shd w:fill="F2F6FB"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NOT_ENOUGH_INFO</w:t>
            </w:r>
          </w:p>
        </w:tc>
        <w:tc>
          <w:tcPr>
            <w:tcW w:type="dxa" w:w="560"/>
            <w:tcBorders>
              <w:top w:val="single" w:color="BFBFBF" w:sz="1"/>
              <w:left w:val="single" w:color="BFBFBF" w:sz="1"/>
              <w:bottom w:val="single" w:color="BFBFBF" w:sz="1"/>
              <w:right w:val="single" w:color="BFBFBF" w:sz="1"/>
            </w:tcBorders>
            <w:shd w:fill="F2F6FB"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w:t>
            </w:r>
          </w:p>
        </w:tc>
      </w:tr>
    </w:tbl>
    <w:p>
      <w:pPr>
        <w:pStyle w:val="Heading3"/>
        <w:bidi/>
        <w:spacing w:after="160" w:before="240"/>
        <w:jc w:val="right"/>
      </w:pPr>
      <w:r>
        <w:rPr>
          <w:rFonts w:ascii="Tahoma" w:cs="Tahoma" w:hAnsi="Tahoma"/>
          <w:b/>
          <w:bCs/>
          <w:i w:val="false"/>
          <w:iCs w:val="false"/>
          <w:color w:val="1F4E79"/>
          <w:sz w:val="28"/>
          <w:szCs w:val="28"/>
          <w:rtl/>
        </w:rPr>
        <w:t xml:space="preserve">المهمة الرابعة — الترجمة (5.67 / 10)</w:t>
      </w:r>
    </w:p>
    <w:p>
      <w:pPr>
        <w:bidi/>
        <w:spacing w:after="60" w:before="100"/>
        <w:jc w:val="right"/>
      </w:pPr>
      <w:r>
        <w:rPr>
          <w:rFonts w:ascii="Tahoma" w:cs="Tahoma" w:hAnsi="Tahoma"/>
          <w:b/>
          <w:bCs/>
          <w:i w:val="false"/>
          <w:iCs w:val="false"/>
          <w:color w:val="2E75B6"/>
          <w:sz w:val="22"/>
          <w:szCs w:val="22"/>
          <w:rtl/>
        </w:rPr>
        <w:t xml:space="preserve">المصدر الإنجليزي (نص اختبار الترجمة):</w:t>
      </w:r>
    </w:p>
    <w:p>
      <w:pPr>
        <w:shd w:fill="F2F6FB" w:color="auto" w:val="clear"/>
        <w:spacing w:after="160" w:before="0" w:line="320"/>
        <w:jc w:val="left"/>
      </w:pPr>
      <w:r>
        <w:rPr>
          <w:rFonts w:ascii="Calibri" w:cs="Tahoma" w:hAnsi="Calibri"/>
          <w:b w:val="false"/>
          <w:bCs w:val="false"/>
          <w:i/>
          <w:iCs/>
          <w:color w:val="595959"/>
          <w:sz w:val="22"/>
          <w:szCs w:val="22"/>
        </w:rPr>
        <w:t xml:space="preserve">The growing global shift toward smart homes has led observers to label 2017 as the 'Year of Smart Homes,' with projections indicating that the number of smart homes will increase fivefold from 90 million in 2016 to 463 million by 2021. GITEX Shopper, the Middle East's largest annual consumer electronics event, keeps pace with this shift...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FBFBF" w:sz="1"/>
              <w:left w:val="single" w:color="BFBFBF" w:sz="1"/>
              <w:bottom w:val="single" w:color="BFBFBF" w:sz="1"/>
              <w:right w:val="single" w:color="BFBFBF" w:sz="1"/>
            </w:tcBorders>
            <w:shd w:fill="F2F6FB" w:color="auto" w:val="clear"/>
            <w:tcMar>
              <w:top w:type="dxa" w:w="120"/>
              <w:left w:type="dxa" w:w="160"/>
              <w:bottom w:type="dxa" w:w="120"/>
              <w:right w:type="dxa" w:w="160"/>
            </w:tcMar>
          </w:tcPr>
          <w:p>
            <w:pPr>
              <w:bidi/>
              <w:spacing w:after="80"/>
              <w:jc w:val="right"/>
            </w:pPr>
            <w:r>
              <w:rPr>
                <w:rFonts w:ascii="Tahoma" w:cs="Tahoma" w:hAnsi="Tahoma"/>
                <w:b/>
                <w:bCs/>
                <w:i w:val="false"/>
                <w:iCs w:val="false"/>
                <w:color w:val="1F4E79"/>
                <w:sz w:val="22"/>
                <w:szCs w:val="22"/>
                <w:rtl/>
              </w:rPr>
              <w:t xml:space="preserve">المرجع (Claude Opus)</w:t>
            </w:r>
          </w:p>
          <w:p>
            <w:pPr>
              <w:bidi/>
              <w:spacing w:after="0" w:line="340"/>
              <w:jc w:val="right"/>
            </w:pPr>
            <w:r>
              <w:rPr>
                <w:rFonts w:ascii="Tahoma" w:cs="Tahoma" w:hAnsi="Tahoma"/>
                <w:b w:val="false"/>
                <w:bCs w:val="false"/>
                <w:i w:val="false"/>
                <w:iCs w:val="false"/>
                <w:color w:val="1A1A1A"/>
                <w:sz w:val="22"/>
                <w:szCs w:val="22"/>
                <w:rtl/>
              </w:rPr>
              <w:t xml:space="preserve">دفع التحوّل العالمي المتنامي نحو المنازل الذكية المراقبين إلى وصف عام 2017 بأنه «عام المنازل الذكية»، إذ تشير التوقعات إلى أن أعداد المنازل الذكية ستتضاعف خمس مرات من 90 مليوناً في عام 2016 إلى 463 مليوناً بحلول عام 2021. ويعرض «جيتكس شوبر»، أكبر معرض سنوي للإلكترونيات الاستهلاكية في الشرق الأوسط، تشكيلة واسعة من منتجات المنازل الذكية في مركز دبي التجاري العالمي حتى الثلاثين من سبتمبر.</w:t>
            </w:r>
          </w:p>
        </w:tc>
        <w:tc>
          <w:tcPr>
            <w:tcW w:type="dxa" w:w="4680"/>
            <w:tcBorders>
              <w:top w:val="single" w:color="BFBFBF" w:sz="1"/>
              <w:left w:val="single" w:color="BFBFBF" w:sz="1"/>
              <w:bottom w:val="single" w:color="BFBFBF" w:sz="1"/>
              <w:right w:val="single" w:color="BFBFBF" w:sz="1"/>
            </w:tcBorders>
            <w:shd w:fill="FFFFFF" w:color="auto" w:val="clear"/>
            <w:tcMar>
              <w:top w:type="dxa" w:w="120"/>
              <w:left w:type="dxa" w:w="160"/>
              <w:bottom w:type="dxa" w:w="120"/>
              <w:right w:type="dxa" w:w="160"/>
            </w:tcMar>
          </w:tcPr>
          <w:p>
            <w:pPr>
              <w:bidi/>
              <w:spacing w:after="80"/>
              <w:jc w:val="right"/>
            </w:pPr>
            <w:r>
              <w:rPr>
                <w:rFonts w:ascii="Tahoma" w:cs="Tahoma" w:hAnsi="Tahoma"/>
                <w:b/>
                <w:bCs/>
                <w:i w:val="false"/>
                <w:iCs w:val="false"/>
                <w:color w:val="1F4E79"/>
                <w:sz w:val="22"/>
                <w:szCs w:val="22"/>
                <w:rtl/>
              </w:rPr>
              <w:t xml:space="preserve">معين الذكي</w:t>
            </w:r>
          </w:p>
          <w:p>
            <w:pPr>
              <w:bidi/>
              <w:spacing w:after="0" w:line="340"/>
              <w:jc w:val="right"/>
            </w:pPr>
            <w:r>
              <w:rPr>
                <w:rFonts w:ascii="Tahoma" w:cs="Tahoma" w:hAnsi="Tahoma"/>
                <w:b w:val="false"/>
                <w:bCs w:val="false"/>
                <w:i w:val="false"/>
                <w:iCs w:val="false"/>
                <w:color w:val="1A1A1A"/>
                <w:sz w:val="22"/>
                <w:szCs w:val="22"/>
                <w:rtl/>
              </w:rPr>
              <w:t xml:space="preserve">مع تزايد التحوّل الذكي في المنازل حول العالم، اعتُبرت عام 2017 «عام المنازل الذكية»، حيث تشير التوقعات إلى أن عدد المنازل الذكية سيرتفع خمس مرات من 90 مليوناً في عام 2016 إلى 463 مليوناً بحلول عام 2021. يواكب «جيتكس شوبر»، أكبر معرض سنوي للإلكترونيات والتقنيات الاستهلاكية في الشرق الأوسط، هذا التحوّل... [النص يستطرد إلى تفاصيل غير موجودة في المصدر، تشمل اقتباسات وقاعات زعبيل 3،4،5،6 وتفاصيل منتجات موسّعة].</w:t>
            </w:r>
          </w:p>
        </w:tc>
      </w:tr>
    </w:tbl>
    <w:p>
      <w:pPr>
        <w:shd w:fill="1F4E79" w:color="auto" w:val="clear"/>
        <w:bidi/>
        <w:spacing w:after="80" w:before="140"/>
        <w:jc w:val="right"/>
      </w:pPr>
      <w:r>
        <w:rPr>
          <w:rFonts w:ascii="Tahoma" w:cs="Tahoma" w:hAnsi="Tahoma"/>
          <w:b/>
          <w:bCs/>
          <w:i w:val="false"/>
          <w:iCs w:val="false"/>
          <w:color w:val="FFFFFF"/>
          <w:sz w:val="22"/>
          <w:szCs w:val="22"/>
          <w:rtl/>
        </w:rPr>
        <w:t xml:space="preserve">  معايير الحَكم:  </w:t>
      </w:r>
      <w:r>
        <w:rPr>
          <w:rFonts w:ascii="Consolas" w:hAnsi="Consolas"/>
          <w:color w:val="FFFFFF"/>
          <w:sz w:val="22"/>
          <w:szCs w:val="22"/>
        </w:rPr>
        <w:t xml:space="preserve">faithfulness=1/3    fluency=2/3    terminology=1/2    register=2/2</w:t>
      </w:r>
    </w:p>
    <w:p>
      <w:pPr>
        <w:shd w:fill="F2F6FB" w:color="auto" w:val="clear"/>
        <w:bidi/>
        <w:spacing w:after="120" w:before="0" w:line="340"/>
        <w:jc w:val="right"/>
      </w:pPr>
      <w:r>
        <w:rPr>
          <w:rFonts w:ascii="Tahoma" w:cs="Tahoma" w:hAnsi="Tahoma"/>
          <w:b/>
          <w:bCs/>
          <w:i w:val="false"/>
          <w:iCs w:val="false"/>
          <w:color w:val="1F4E79"/>
          <w:sz w:val="22"/>
          <w:szCs w:val="22"/>
          <w:rtl/>
        </w:rPr>
        <w:t xml:space="preserve">تعليق الحَكم: </w:t>
      </w:r>
      <w:r>
        <w:rPr>
          <w:rFonts w:ascii="Tahoma" w:cs="Tahoma" w:hAnsi="Tahoma"/>
          <w:b w:val="false"/>
          <w:bCs w:val="false"/>
          <w:i w:val="false"/>
          <w:iCs w:val="false"/>
          <w:color w:val="1A1A1A"/>
          <w:sz w:val="22"/>
          <w:szCs w:val="22"/>
          <w:rtl/>
        </w:rPr>
        <w:t xml:space="preserve">المعنى الأساسي في الجملة الأولى والأرقام محفوظة. لكن الترجمة تضيف كثيراً من معلومات غير موجودة في المصدر/المرجع (أسماء أشخاص واقتباسات، قاعات زعبيل، تفاصيل منتجات محددة مثل Nest وجرس الباب المصوّر وبصمة الإصبع، وسرد موسّع)، ما يضعف الأمانة بشكل واضح.</w:t>
      </w:r>
    </w:p>
    <w:p>
      <w:pPr>
        <w:pBdr>
          <w:bottom w:val="single" w:color="2E75B6" w:sz="6" w:space="2"/>
        </w:pBdr>
        <w:spacing w:after="120" w:before="60"/>
      </w:pPr>
      <w:r>
        <w:t xml:space="preserve"/>
      </w:r>
    </w:p>
    <w:p>
      <w:pPr>
        <w:pStyle w:val="Heading1"/>
        <w:bidi/>
        <w:spacing w:after="160" w:before="360"/>
        <w:jc w:val="right"/>
      </w:pPr>
      <w:r>
        <w:rPr>
          <w:rFonts w:ascii="Tahoma" w:cs="Tahoma" w:hAnsi="Tahoma"/>
          <w:b/>
          <w:bCs/>
          <w:i w:val="false"/>
          <w:iCs w:val="false"/>
          <w:color w:val="1F4E79"/>
          <w:sz w:val="40"/>
          <w:szCs w:val="40"/>
          <w:rtl/>
        </w:rPr>
        <w:t xml:space="preserve">ملخص الأنماط المُلاحَظة</w:t>
      </w:r>
    </w:p>
    <w:p>
      <w:pPr>
        <w:pStyle w:val="ListParagraph"/>
        <w:numPr>
          <w:ilvl w:val="0"/>
          <w:numId w:val="2"/>
        </w:numPr>
        <w:bidi/>
        <w:spacing w:after="80" w:before="0"/>
        <w:jc w:val="right"/>
      </w:pPr>
      <w:r>
        <w:rPr>
          <w:rFonts w:ascii="Tahoma" w:cs="Tahoma" w:hAnsi="Tahoma"/>
          <w:b w:val="false"/>
          <w:bCs w:val="false"/>
          <w:i w:val="false"/>
          <w:iCs w:val="false"/>
          <w:color w:val="1A1A1A"/>
          <w:sz w:val="24"/>
          <w:szCs w:val="24"/>
          <w:rtl/>
        </w:rPr>
        <w:t xml:space="preserve">التعرف على الكيانات (NER): يميل معين بشكل ثابت إلى استخراج عدد أقل من الكيانات مقارنة بالمرجع، لا سيما في كشوفات اللاعبين الرياضية الطويلة والتصريحات السياسية الغنية بالأسماء.</w:t>
      </w:r>
    </w:p>
    <w:p>
      <w:pPr>
        <w:pStyle w:val="ListParagraph"/>
        <w:numPr>
          <w:ilvl w:val="0"/>
          <w:numId w:val="2"/>
        </w:numPr>
        <w:bidi/>
        <w:spacing w:after="80" w:before="0"/>
        <w:jc w:val="right"/>
      </w:pPr>
      <w:r>
        <w:rPr>
          <w:rFonts w:ascii="Tahoma" w:cs="Tahoma" w:hAnsi="Tahoma"/>
          <w:b w:val="false"/>
          <w:bCs w:val="false"/>
          <w:i w:val="false"/>
          <w:iCs w:val="false"/>
          <w:color w:val="1A1A1A"/>
          <w:sz w:val="24"/>
          <w:szCs w:val="24"/>
          <w:rtl/>
        </w:rPr>
        <w:t xml:space="preserve">التلخيص: جودة لغوية عالية مع سلامة في الأسلوب، لكن الملخصات عمومية في الغالب — تسقط التفاصيل المحددة (الأسماء والتواريخ والأرقام) أو تُستبدل بصياغات عامة.</w:t>
      </w:r>
    </w:p>
    <w:p>
      <w:pPr>
        <w:pStyle w:val="ListParagraph"/>
        <w:numPr>
          <w:ilvl w:val="0"/>
          <w:numId w:val="2"/>
        </w:numPr>
        <w:bidi/>
        <w:spacing w:after="80" w:before="0"/>
        <w:jc w:val="right"/>
      </w:pPr>
      <w:r>
        <w:rPr>
          <w:rFonts w:ascii="Tahoma" w:cs="Tahoma" w:hAnsi="Tahoma"/>
          <w:b w:val="false"/>
          <w:bCs w:val="false"/>
          <w:i w:val="false"/>
          <w:iCs w:val="false"/>
          <w:color w:val="1A1A1A"/>
          <w:sz w:val="24"/>
          <w:szCs w:val="24"/>
          <w:rtl/>
        </w:rPr>
        <w:t xml:space="preserve">الاستدلال اللغوي (NLI): دقيق في تصنيفات SUPPORTED و NOT_ENOUGH_INFO؛ نمط الخطأ الرئيسي هو تصنيف الادعاءات REFUTED على أنها SUPPORTED عند تطابق الصياغة السطحية.</w:t>
      </w:r>
    </w:p>
    <w:p>
      <w:pPr>
        <w:pStyle w:val="ListParagraph"/>
        <w:numPr>
          <w:ilvl w:val="0"/>
          <w:numId w:val="2"/>
        </w:numPr>
        <w:bidi/>
        <w:spacing w:after="80" w:before="0"/>
        <w:jc w:val="right"/>
      </w:pPr>
      <w:r>
        <w:rPr>
          <w:rFonts w:ascii="Tahoma" w:cs="Tahoma" w:hAnsi="Tahoma"/>
          <w:b w:val="false"/>
          <w:bCs w:val="false"/>
          <w:i w:val="false"/>
          <w:iCs w:val="false"/>
          <w:color w:val="1A1A1A"/>
          <w:sz w:val="24"/>
          <w:szCs w:val="24"/>
          <w:rtl/>
        </w:rPr>
        <w:t xml:space="preserve">الترجمة: الطلاقة العربية والأسلوب الفصيح قويّان؛ نمط الإخفاق الأبرز هو إضافة معلومات غير واردة في المصدر الإنجليزي، مما يُضعف معيار الأمانة (faithfulness).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2"/>
      </w:pBdr>
      <w:tabs>
        <w:tab w:val="right" w:pos="9360"/>
      </w:tabs>
      <w:bidi/>
      <w:spacing w:before="60"/>
    </w:pPr>
    <w:r>
      <w:rPr>
        <w:rFonts w:ascii="Tahoma" w:cs="Tahoma" w:hAnsi="Tahoma"/>
        <w:b w:val="false"/>
        <w:bCs w:val="false"/>
        <w:i w:val="false"/>
        <w:iCs w:val="false"/>
        <w:color w:val="595959"/>
        <w:sz w:val="18"/>
        <w:szCs w:val="18"/>
        <w:rtl/>
      </w:rPr>
      <w:t xml:space="preserve">أمثلة تقييم معين الذكي جنباً إلى جنب</w:t>
    </w:r>
    <w:r>
      <w:rPr>
        <w:rFonts w:ascii="Calibri" w:hAnsi="Calibri"/>
      </w:rPr>
      <w:t xml:space="preserve">	</w:t>
    </w:r>
    <w:r>
      <w:rPr>
        <w:rFonts w:ascii="Calibri" w:cs="Tahoma" w:hAnsi="Calibri"/>
        <w:b w:val="false"/>
        <w:bCs w:val="false"/>
        <w:i w:val="false"/>
        <w:iCs w:val="false"/>
        <w:color w:val="595959"/>
        <w:sz w:val="18"/>
        <w:szCs w:val="18"/>
      </w:rPr>
      <w:t xml:space="preserve">صفحة </w:t>
    </w:r>
    <w:r>
      <w:rPr>
        <w:rFonts w:ascii="Calibri" w:hAnsi="Calibri"/>
        <w:color w:val="595959"/>
        <w:sz w:val="18"/>
        <w:szCs w:val="18"/>
      </w:rPr>
      <w:fldChar w:fldCharType="begin"/>
      <w:instrText xml:space="preserve">PAGE</w:instrText>
      <w:fldChar w:fldCharType="separate"/>
      <w:fldChar w:fldCharType="end"/>
    </w:r>
    <w:r>
      <w:rPr>
        <w:rFonts w:ascii="Calibri" w:cs="Tahoma" w:hAnsi="Calibri"/>
        <w:b w:val="false"/>
        <w:bCs w:val="false"/>
        <w:i w:val="false"/>
        <w:iCs w:val="false"/>
        <w:color w:val="595959"/>
        <w:sz w:val="18"/>
        <w:szCs w:val="18"/>
      </w:rPr>
      <w:t xml:space="preserve"> / </w:t>
    </w:r>
    <w:r>
      <w:rPr>
        <w:rFonts w:ascii="Calibri" w:hAnsi="Calibri"/>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spacing w:after="40"/>
      <w:jc w:val="right"/>
    </w:pPr>
    <w:r>
      <w:rPr>
        <w:rFonts w:ascii="Tahoma" w:cs="Tahoma" w:hAnsi="Tahoma"/>
        <w:b/>
        <w:bCs/>
        <w:i w:val="false"/>
        <w:iCs w:val="false"/>
        <w:color w:val="1F4E79"/>
        <w:sz w:val="26"/>
        <w:szCs w:val="26"/>
        <w:rtl/>
      </w:rPr>
      <w:t xml:space="preserve">منصة تقييم نماذج اللغة العربية</w:t>
    </w:r>
  </w:p>
  <w:p>
    <w:pPr>
      <w:bidi/>
      <w:spacing w:after="0"/>
      <w:jc w:val="right"/>
    </w:pPr>
    <w:r>
      <w:rPr>
        <w:rFonts w:ascii="Tahoma" w:cs="Tahoma" w:hAnsi="Tahoma"/>
        <w:b w:val="false"/>
        <w:bCs w:val="false"/>
        <w:i w:val="false"/>
        <w:iCs w:val="false"/>
        <w:color w:val="595959"/>
        <w:sz w:val="20"/>
        <w:szCs w:val="20"/>
        <w:rtl/>
      </w:rPr>
      <w:t xml:space="preserve">تقييم مستقل لنموذج معين الذكي — أبريل ٢٠٢٦</w:t>
    </w:r>
  </w:p>
  <w:p>
    <w:pPr>
      <w:pBdr>
        <w:bottom w:val="single" w:color="C9A227" w:sz="12" w:space="2"/>
      </w:pBdr>
      <w:spacing w:after="0" w:before="60"/>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right"/>
      <w:pPr>
        <w:ind w:right="720" w:hanging="360"/>
      </w:pPr>
    </w:lvl>
  </w:abstractNum>
  <w:num w:numId="1">
    <w:abstractNumId w:val="1"/>
    <w:lvlOverride w:ilvl="0">
      <w:startOverride w:val="1"/>
    </w:lvlOverride>
  </w:num>
  <w:num w:numId="2">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4E79"/>
      <w:sz w:val="40"/>
      <w:szCs w:val="40"/>
    </w:rPr>
  </w:style>
  <w:style w:type="paragraph" w:styleId="Heading2">
    <w:name w:val="Heading 2"/>
    <w:basedOn w:val="Normal"/>
    <w:next w:val="Normal"/>
    <w:qFormat/>
    <w:pPr>
      <w:spacing w:after="140" w:before="280"/>
      <w:outlineLvl w:val="1"/>
    </w:pPr>
    <w:rPr>
      <w:rFonts w:ascii="Calibri" w:cs="Calibri" w:eastAsia="Calibri" w:hAnsi="Calibri"/>
      <w:b/>
      <w:bCs/>
      <w:color w:val="1F4E79"/>
      <w:sz w:val="32"/>
      <w:szCs w:val="32"/>
    </w:rPr>
  </w:style>
  <w:style w:type="paragraph" w:styleId="Heading3">
    <w:name w:val="Heading 3"/>
    <w:basedOn w:val="Normal"/>
    <w:next w:val="Normal"/>
    <w:qFormat/>
    <w:pPr>
      <w:spacing w:after="120" w:before="240"/>
      <w:outlineLvl w:val="2"/>
    </w:pPr>
    <w:rPr>
      <w:rFonts w:ascii="Calibri" w:cs="Calibri" w:eastAsia="Calibri" w:hAnsi="Calibri"/>
      <w:b/>
      <w:bCs/>
      <w:color w:val="2E75B6"/>
      <w:sz w:val="28"/>
      <w:szCs w:val="28"/>
    </w:rPr>
  </w:style>
  <w:style w:type="paragraph" w:styleId="Heading4">
    <w:name w:val="Heading 4"/>
    <w:basedOn w:val="Normal"/>
    <w:next w:val="Normal"/>
    <w:qFormat/>
    <w:pPr>
      <w:spacing w:after="100" w:before="200"/>
      <w:outlineLvl w:val="3"/>
    </w:pPr>
    <w:rPr>
      <w:rFonts w:ascii="Calibri" w:cs="Calibri" w:eastAsia="Calibri" w:hAnsi="Calibri"/>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2026-04-17T12:26:25.098Z</dcterms:created>
  <dcterms:modified xsi:type="dcterms:W3CDTF">2026-04-17T12:26:25.098Z</dcterms:modified>
</cp:coreProperties>
</file>

<file path=docProps/custom.xml><?xml version="1.0" encoding="utf-8"?>
<Properties xmlns="http://schemas.openxmlformats.org/officeDocument/2006/custom-properties" xmlns:vt="http://schemas.openxmlformats.org/officeDocument/2006/docPropsVTypes"/>
</file>