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bidi/>
        <w:spacing w:after="100"/>
        <w:jc w:val="center"/>
      </w:pPr>
      <w:r>
        <w:rPr>
          <w:rFonts w:ascii="Tahoma" w:cs="Tahoma" w:hAnsi="Tahoma"/>
          <w:b/>
          <w:bCs/>
          <w:i w:val="false"/>
          <w:iCs w:val="false"/>
          <w:color w:val="C9A227"/>
          <w:sz w:val="24"/>
          <w:szCs w:val="24"/>
          <w:rtl/>
        </w:rPr>
        <w:t xml:space="preserve">مرفق رقم ٤</w:t>
      </w:r>
    </w:p>
    <w:p>
      <w:pPr>
        <w:pBdr>
          <w:top w:val="single" w:color="1F4E79" w:sz="18" w:space="4"/>
        </w:pBdr>
        <w:spacing w:after="60" w:before="120"/>
        <w:jc w:val="center"/>
      </w:pPr>
      <w:r>
        <w:t xml:space="preserve"/>
      </w:r>
    </w:p>
    <w:p>
      <w:pPr>
        <w:bidi/>
        <w:spacing w:after="60"/>
        <w:jc w:val="center"/>
      </w:pPr>
      <w:r>
        <w:rPr>
          <w:rFonts w:ascii="Tahoma" w:cs="Tahoma" w:hAnsi="Tahoma"/>
          <w:b/>
          <w:bCs/>
          <w:i w:val="false"/>
          <w:iCs w:val="false"/>
          <w:color w:val="1F4E79"/>
          <w:sz w:val="56"/>
          <w:szCs w:val="56"/>
          <w:rtl/>
        </w:rPr>
        <w:t xml:space="preserve">فهرس مرفقات التقييم</w:t>
      </w:r>
    </w:p>
    <w:p>
      <w:pPr>
        <w:pBdr>
          <w:bottom w:val="single" w:color="1F4E79" w:sz="18" w:space="4"/>
        </w:pBdr>
        <w:spacing w:after="120"/>
        <w:jc w:val="center"/>
      </w:pPr>
      <w:r>
        <w:t xml:space="preserve"/>
      </w:r>
    </w:p>
    <w:p>
      <w:pPr>
        <w:bidi/>
        <w:spacing w:after="600"/>
        <w:jc w:val="center"/>
      </w:pPr>
      <w:r>
        <w:rPr>
          <w:rFonts w:ascii="Tahoma" w:cs="Tahoma" w:hAnsi="Tahoma"/>
          <w:b w:val="false"/>
          <w:bCs w:val="false"/>
          <w:i w:val="false"/>
          <w:iCs w:val="false"/>
          <w:color w:val="595959"/>
          <w:sz w:val="28"/>
          <w:szCs w:val="28"/>
          <w:rtl/>
        </w:rPr>
        <w:t xml:space="preserve">دليل رسمي بجميع مكونات حزمة التسليم</w:t>
      </w:r>
    </w:p>
    <w:p>
      <w:r>
        <w:t xml:space="preserve"/>
      </w:r>
    </w:p>
    <w:p>
      <w:r>
        <w:t xml:space="preserve"/>
      </w:r>
    </w:p>
    <w:p>
      <w:pPr>
        <w:bidi/>
        <w:spacing w:after="60"/>
        <w:jc w:val="center"/>
      </w:pPr>
      <w:r>
        <w:rPr>
          <w:rFonts w:ascii="Tahoma" w:cs="Tahoma" w:hAnsi="Tahoma"/>
          <w:b/>
          <w:bCs/>
          <w:i w:val="false"/>
          <w:iCs w:val="false"/>
          <w:color w:val="2E75B6"/>
          <w:sz w:val="24"/>
          <w:szCs w:val="24"/>
          <w:rtl/>
        </w:rPr>
        <w:t xml:space="preserve">التاريخ:  </w:t>
      </w: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١٧ أبريل ٢٠٢٦م</w:t>
      </w:r>
    </w:p>
    <w:p>
      <w:pPr>
        <w:bidi/>
        <w:spacing w:after="60"/>
        <w:jc w:val="center"/>
      </w:pPr>
      <w:r>
        <w:rPr>
          <w:rFonts w:ascii="Tahoma" w:cs="Tahoma" w:hAnsi="Tahoma"/>
          <w:b/>
          <w:bCs/>
          <w:i w:val="false"/>
          <w:iCs w:val="false"/>
          <w:color w:val="2E75B6"/>
          <w:sz w:val="24"/>
          <w:szCs w:val="24"/>
          <w:rtl/>
        </w:rPr>
        <w:t xml:space="preserve">الرقم المرجعي:  </w:t>
      </w: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ME/2026/001</w:t>
      </w:r>
    </w:p>
    <w:p>
      <w:pPr>
        <w:bidi/>
        <w:spacing w:after="60"/>
        <w:jc w:val="center"/>
      </w:pPr>
      <w:r>
        <w:rPr>
          <w:rFonts w:ascii="Tahoma" w:cs="Tahoma" w:hAnsi="Tahoma"/>
          <w:b/>
          <w:bCs/>
          <w:i w:val="false"/>
          <w:iCs w:val="false"/>
          <w:color w:val="2E75B6"/>
          <w:sz w:val="24"/>
          <w:szCs w:val="24"/>
          <w:rtl/>
        </w:rPr>
        <w:t xml:space="preserve">إعداد:  </w:t>
      </w: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فريق تقييم نماذج اللغة العربية</w:t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Tahoma" w:cs="Tahoma" w:hAnsi="Tahoma"/>
          <w:b/>
          <w:bCs/>
          <w:i w:val="false"/>
          <w:iCs w:val="false"/>
          <w:color w:val="1F4E79"/>
          <w:sz w:val="40"/>
          <w:szCs w:val="40"/>
          <w:rtl/>
        </w:rPr>
        <w:t xml:space="preserve">نظرة عامة</w:t>
      </w:r>
    </w:p>
    <w:p>
      <w:pPr>
        <w:bidi/>
        <w:spacing w:after="160" w:before="0" w:line="36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يحتوي هذا الفهرس على تفصيل رسمي لجميع مرفقات حزمة تقييم نموذج معين الذكي المُسلَّمة إلى الجهة الطالبة، مرتبةً حسب الأولوية مع وصف مختصر لكل مرفق والغرض منه.</w:t>
      </w:r>
    </w:p>
    <w:p>
      <w:pPr>
        <w:pStyle w:val="Heading2"/>
        <w:bidi/>
        <w:spacing w:after="160" w:before="240"/>
        <w:jc w:val="right"/>
      </w:pPr>
      <w:r>
        <w:rPr>
          <w:rFonts w:ascii="Tahoma" w:cs="Tahoma" w:hAnsi="Tahoma"/>
          <w:b/>
          <w:bCs/>
          <w:i w:val="false"/>
          <w:iCs w:val="false"/>
          <w:color w:val="1F4E79"/>
          <w:sz w:val="32"/>
          <w:szCs w:val="32"/>
          <w:rtl/>
        </w:rPr>
        <w:t xml:space="preserve">جدول المرفقات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900"/>
        <w:gridCol w:w="900"/>
        <w:gridCol w:w="37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اسم الملف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اللغة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الصيغة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الوصف الموجز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٠٠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00_خطاب_الرد_الرسمي_AR.docx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عربية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Word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الخطاب الرسمي للرد على طلب التقييم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٠١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01_Technical_Report_EN.docx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إنجليزية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Word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التقرير التقني الكامل بالإنجليزية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٠٢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02_Cross_Model_Comparison_EN.docx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إنجليزية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Word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تقرير المقارنة بين النماذج الأربعة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٠٣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03_Worked_Examples.docx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ثنائي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Word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خمسة أمثلة جنباً إلى جنب مع تعليقات الحَكم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٠٤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04_فهرس_المرفقات_AR.docx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عربية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Word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هذا المستند (الفهرس الرسمي للمرفقات)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٠٥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05_mueen_results_full.json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JSON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البيانات الخام الكاملة لمخرجات معين ودرجاتها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٠٦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06_comparison_data.csv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CSV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tl/>
              </w:rPr>
              <w:t xml:space="preserve">بيانات قابلة للقراءة الآلية للنماذج الأربعة</w:t>
            </w:r>
          </w:p>
        </w:tc>
      </w:tr>
    </w:tbl>
    <w:p>
      <w:pPr>
        <w:pStyle w:val="Heading1"/>
        <w:bidi/>
        <w:spacing w:after="160" w:before="360"/>
        <w:jc w:val="right"/>
      </w:pPr>
      <w:r>
        <w:rPr>
          <w:rFonts w:ascii="Tahoma" w:cs="Tahoma" w:hAnsi="Tahoma"/>
          <w:b/>
          <w:bCs/>
          <w:i w:val="false"/>
          <w:iCs w:val="false"/>
          <w:color w:val="1F4E79"/>
          <w:sz w:val="40"/>
          <w:szCs w:val="40"/>
          <w:rtl/>
        </w:rPr>
        <w:t xml:space="preserve">وصف تفصيلي لكل مرفق</w:t>
      </w:r>
    </w:p>
    <w:p>
      <w:pPr>
        <w:pStyle w:val="Heading2"/>
        <w:bidi/>
        <w:spacing w:after="160" w:before="240"/>
        <w:jc w:val="right"/>
      </w:pPr>
      <w:r>
        <w:rPr>
          <w:rFonts w:ascii="Tahoma" w:cs="Tahoma" w:hAnsi="Tahoma"/>
          <w:b/>
          <w:bCs/>
          <w:i w:val="false"/>
          <w:iCs w:val="false"/>
          <w:color w:val="1F4E79"/>
          <w:sz w:val="32"/>
          <w:szCs w:val="32"/>
          <w:rtl/>
        </w:rPr>
        <w:t xml:space="preserve">المرفق ٠١ — التقرير التقني الكامل</w:t>
      </w:r>
    </w:p>
    <w:p>
      <w:pPr>
        <w:bidi/>
        <w:spacing w:after="160" w:before="0" w:line="360"/>
        <w:jc w:val="right"/>
      </w:pPr>
      <w:r>
        <w:rPr>
          <w:rFonts w:ascii="Tahoma" w:cs="Tahoma" w:hAnsi="Tahoma"/>
          <w:b/>
          <w:bCs/>
          <w:i w:val="false"/>
          <w:iCs w:val="false"/>
          <w:color w:val="1A1A1A"/>
          <w:sz w:val="24"/>
          <w:szCs w:val="24"/>
          <w:rtl/>
        </w:rPr>
        <w:t xml:space="preserve">الملف: </w:t>
      </w: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01_Technical_Report_EN.docx</w:t>
      </w:r>
    </w:p>
    <w:p>
      <w:pPr>
        <w:bidi/>
        <w:spacing w:after="160" w:before="0" w:line="36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تقرير تقني شامل باللغة الإنجليزية يغطي:</w:t>
      </w:r>
    </w:p>
    <w:p>
      <w:pPr>
        <w:pStyle w:val="ListParagraph"/>
        <w:numPr>
          <w:ilvl w:val="0"/>
          <w:numId w:val="2"/>
        </w:numPr>
        <w:bidi/>
        <w:spacing w:after="8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الملخص التنفيذي وجدول الترتيب.</w:t>
      </w:r>
    </w:p>
    <w:p>
      <w:pPr>
        <w:pStyle w:val="ListParagraph"/>
        <w:numPr>
          <w:ilvl w:val="0"/>
          <w:numId w:val="2"/>
        </w:numPr>
        <w:bidi/>
        <w:spacing w:after="8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المنهجية الكاملة (البنية، المهام الأربع، معادلات التقييم).</w:t>
      </w:r>
    </w:p>
    <w:p>
      <w:pPr>
        <w:pStyle w:val="ListParagraph"/>
        <w:numPr>
          <w:ilvl w:val="0"/>
          <w:numId w:val="2"/>
        </w:numPr>
        <w:bidi/>
        <w:spacing w:after="8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النتائج التفصيلية لكل مهمة ولكل فئة لجميع النماذج الأربعة.</w:t>
      </w:r>
    </w:p>
    <w:p>
      <w:pPr>
        <w:pStyle w:val="ListParagraph"/>
        <w:numPr>
          <w:ilvl w:val="0"/>
          <w:numId w:val="2"/>
        </w:numPr>
        <w:bidi/>
        <w:spacing w:after="8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تحليل متعمّق لأداء معين (نقاط القوة، نقاط الضعف، أنماط الإخفاق).</w:t>
      </w:r>
    </w:p>
    <w:p>
      <w:pPr>
        <w:pStyle w:val="ListParagraph"/>
        <w:numPr>
          <w:ilvl w:val="0"/>
          <w:numId w:val="2"/>
        </w:numPr>
        <w:bidi/>
        <w:spacing w:after="8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توصيات مرتبة بحسب الأولوية لفريق تطوير نموذج معين.</w:t>
      </w:r>
    </w:p>
    <w:p>
      <w:pPr>
        <w:pStyle w:val="Heading2"/>
        <w:bidi/>
        <w:spacing w:after="160" w:before="240"/>
        <w:jc w:val="right"/>
      </w:pPr>
      <w:r>
        <w:rPr>
          <w:rFonts w:ascii="Tahoma" w:cs="Tahoma" w:hAnsi="Tahoma"/>
          <w:b/>
          <w:bCs/>
          <w:i w:val="false"/>
          <w:iCs w:val="false"/>
          <w:color w:val="1F4E79"/>
          <w:sz w:val="32"/>
          <w:szCs w:val="32"/>
          <w:rtl/>
        </w:rPr>
        <w:t xml:space="preserve">المرفق ٠٢ — جدول المقارنة الشامل</w:t>
      </w:r>
    </w:p>
    <w:p>
      <w:pPr>
        <w:bidi/>
        <w:spacing w:after="160" w:before="0" w:line="360"/>
        <w:jc w:val="right"/>
      </w:pPr>
      <w:r>
        <w:rPr>
          <w:rFonts w:ascii="Tahoma" w:cs="Tahoma" w:hAnsi="Tahoma"/>
          <w:b/>
          <w:bCs/>
          <w:i w:val="false"/>
          <w:iCs w:val="false"/>
          <w:color w:val="1A1A1A"/>
          <w:sz w:val="24"/>
          <w:szCs w:val="24"/>
          <w:rtl/>
        </w:rPr>
        <w:t xml:space="preserve">الملف: </w:t>
      </w: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02_Cross_Model_Comparison_EN.docx</w:t>
      </w:r>
    </w:p>
    <w:p>
      <w:pPr>
        <w:bidi/>
        <w:spacing w:after="160" w:before="0" w:line="36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مستند مستقل يقارن النماذج الأربعة على كامل مجموعة المقالات البالغة ٢٠٠ مقالة: Qwen 3.5 (٣٩٧ مليار معلمة)، DeepSeek Chat (V3)، Mistral Large، ومعين الذكي. يتضمن:</w:t>
      </w:r>
    </w:p>
    <w:p>
      <w:pPr>
        <w:pStyle w:val="ListParagraph"/>
        <w:numPr>
          <w:ilvl w:val="0"/>
          <w:numId w:val="2"/>
        </w:numPr>
        <w:bidi/>
        <w:spacing w:after="8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تفصيل نتائج كل مهمة على حدة.</w:t>
      </w:r>
    </w:p>
    <w:p>
      <w:pPr>
        <w:pStyle w:val="ListParagraph"/>
        <w:numPr>
          <w:ilvl w:val="0"/>
          <w:numId w:val="2"/>
        </w:numPr>
        <w:bidi/>
        <w:spacing w:after="8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تفصيل نتائج كل فئة على حدة.</w:t>
      </w:r>
    </w:p>
    <w:p>
      <w:pPr>
        <w:pStyle w:val="ListParagraph"/>
        <w:numPr>
          <w:ilvl w:val="0"/>
          <w:numId w:val="2"/>
        </w:numPr>
        <w:bidi/>
        <w:spacing w:after="8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تحليل ثبات التقييم بين جولة المئة مقالة وجولة المئتي مقالة.</w:t>
      </w:r>
    </w:p>
    <w:p>
      <w:pPr>
        <w:pStyle w:val="Heading2"/>
        <w:bidi/>
        <w:spacing w:after="160" w:before="240"/>
        <w:jc w:val="right"/>
      </w:pPr>
      <w:r>
        <w:rPr>
          <w:rFonts w:ascii="Tahoma" w:cs="Tahoma" w:hAnsi="Tahoma"/>
          <w:b/>
          <w:bCs/>
          <w:i w:val="false"/>
          <w:iCs w:val="false"/>
          <w:color w:val="1F4E79"/>
          <w:sz w:val="32"/>
          <w:szCs w:val="32"/>
          <w:rtl/>
        </w:rPr>
        <w:t xml:space="preserve">المرفق ٠٣ — أمثلة جنباً إلى جنب</w:t>
      </w:r>
    </w:p>
    <w:p>
      <w:pPr>
        <w:bidi/>
        <w:spacing w:after="160" w:before="0" w:line="360"/>
        <w:jc w:val="right"/>
      </w:pPr>
      <w:r>
        <w:rPr>
          <w:rFonts w:ascii="Tahoma" w:cs="Tahoma" w:hAnsi="Tahoma"/>
          <w:b/>
          <w:bCs/>
          <w:i w:val="false"/>
          <w:iCs w:val="false"/>
          <w:color w:val="1A1A1A"/>
          <w:sz w:val="24"/>
          <w:szCs w:val="24"/>
          <w:rtl/>
        </w:rPr>
        <w:t xml:space="preserve">الملف: </w:t>
      </w: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03_Worked_Examples.docx</w:t>
      </w:r>
    </w:p>
    <w:p>
      <w:pPr>
        <w:bidi/>
        <w:spacing w:after="160" w:before="0" w:line="36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خمسة أمثلة تقييمية حقيقية (مثال واحد لكل فئة، مُنتقى عند متوسط أداء معين في تلك الفئة). يعرض كل مثال:</w:t>
      </w:r>
    </w:p>
    <w:p>
      <w:pPr>
        <w:pStyle w:val="ListParagraph"/>
        <w:numPr>
          <w:ilvl w:val="0"/>
          <w:numId w:val="2"/>
        </w:numPr>
        <w:bidi/>
        <w:spacing w:after="8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مقتطف المقالة بالعربية.</w:t>
      </w:r>
    </w:p>
    <w:p>
      <w:pPr>
        <w:pStyle w:val="ListParagraph"/>
        <w:numPr>
          <w:ilvl w:val="0"/>
          <w:numId w:val="2"/>
        </w:numPr>
        <w:bidi/>
        <w:spacing w:after="8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مخرجات NER لمعين مقارنةً بمرجع Claude Opus.</w:t>
      </w:r>
    </w:p>
    <w:p>
      <w:pPr>
        <w:pStyle w:val="ListParagraph"/>
        <w:numPr>
          <w:ilvl w:val="0"/>
          <w:numId w:val="2"/>
        </w:numPr>
        <w:bidi/>
        <w:spacing w:after="8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ملخص معين مقارنةً بالمرجع مع معايير الحَكم.</w:t>
      </w:r>
    </w:p>
    <w:p>
      <w:pPr>
        <w:pStyle w:val="ListParagraph"/>
        <w:numPr>
          <w:ilvl w:val="0"/>
          <w:numId w:val="2"/>
        </w:numPr>
        <w:bidi/>
        <w:spacing w:after="8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تصنيفات NLI لمعين مقارنةً بالعلامات الصحيحة (لكل ادعاء).</w:t>
      </w:r>
    </w:p>
    <w:p>
      <w:pPr>
        <w:pStyle w:val="ListParagraph"/>
        <w:numPr>
          <w:ilvl w:val="0"/>
          <w:numId w:val="2"/>
        </w:numPr>
        <w:bidi/>
        <w:spacing w:after="8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ترجمة معين مقارنةً بالمرجع مع معايير الحَكم وتعليقاته.</w:t>
      </w:r>
    </w:p>
    <w:p>
      <w:pPr>
        <w:pStyle w:val="Heading2"/>
        <w:bidi/>
        <w:spacing w:after="160" w:before="240"/>
        <w:jc w:val="right"/>
      </w:pPr>
      <w:r>
        <w:rPr>
          <w:rFonts w:ascii="Tahoma" w:cs="Tahoma" w:hAnsi="Tahoma"/>
          <w:b/>
          <w:bCs/>
          <w:i w:val="false"/>
          <w:iCs w:val="false"/>
          <w:color w:val="1F4E79"/>
          <w:sz w:val="32"/>
          <w:szCs w:val="32"/>
          <w:rtl/>
        </w:rPr>
        <w:t xml:space="preserve">المرفق ٠٥ — البيانات الكاملة لمعين</w:t>
      </w:r>
    </w:p>
    <w:p>
      <w:pPr>
        <w:bidi/>
        <w:spacing w:after="160" w:before="0" w:line="360"/>
        <w:jc w:val="right"/>
      </w:pPr>
      <w:r>
        <w:rPr>
          <w:rFonts w:ascii="Tahoma" w:cs="Tahoma" w:hAnsi="Tahoma"/>
          <w:b/>
          <w:bCs/>
          <w:i w:val="false"/>
          <w:iCs w:val="false"/>
          <w:color w:val="1A1A1A"/>
          <w:sz w:val="24"/>
          <w:szCs w:val="24"/>
          <w:rtl/>
        </w:rPr>
        <w:t xml:space="preserve">الملف: </w:t>
      </w: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05_mueen_results_full.json</w:t>
      </w:r>
    </w:p>
    <w:p>
      <w:pPr>
        <w:bidi/>
        <w:spacing w:after="160" w:before="0" w:line="36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ملف JSON يحتوي على سجل واحد لكل مقالة مُقيَّمة متضمنًا: معرّف المقالة، الفئة، العنوان، درجات المهام الأربع، مخرجات معين الأربع، مخرجات المرجع الأربع (من Claude Opus)، وتعليقات الحَكم (GPT-5.2) على مهمتي التلخيص والترجمة. مناسب لإعادة التحليل أو المراجعة الخارجية.</w:t>
      </w:r>
    </w:p>
    <w:p>
      <w:pPr>
        <w:pStyle w:val="Heading2"/>
        <w:bidi/>
        <w:spacing w:after="160" w:before="240"/>
        <w:jc w:val="right"/>
      </w:pPr>
      <w:r>
        <w:rPr>
          <w:rFonts w:ascii="Tahoma" w:cs="Tahoma" w:hAnsi="Tahoma"/>
          <w:b/>
          <w:bCs/>
          <w:i w:val="false"/>
          <w:iCs w:val="false"/>
          <w:color w:val="1F4E79"/>
          <w:sz w:val="32"/>
          <w:szCs w:val="32"/>
          <w:rtl/>
        </w:rPr>
        <w:t xml:space="preserve">المرفق ٠٦ — بيانات المقارنة الآلية</w:t>
      </w:r>
    </w:p>
    <w:p>
      <w:pPr>
        <w:bidi/>
        <w:spacing w:after="160" w:before="0" w:line="360"/>
        <w:jc w:val="right"/>
      </w:pPr>
      <w:r>
        <w:rPr>
          <w:rFonts w:ascii="Tahoma" w:cs="Tahoma" w:hAnsi="Tahoma"/>
          <w:b/>
          <w:bCs/>
          <w:i w:val="false"/>
          <w:iCs w:val="false"/>
          <w:color w:val="1A1A1A"/>
          <w:sz w:val="24"/>
          <w:szCs w:val="24"/>
          <w:rtl/>
        </w:rPr>
        <w:t xml:space="preserve">الملف: </w:t>
      </w: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06_comparison_data.csv</w:t>
      </w:r>
    </w:p>
    <w:p>
      <w:pPr>
        <w:bidi/>
        <w:spacing w:after="160" w:before="0" w:line="36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ملف CSV يحوي صفاً واحداً لكل ثنائية (نموذج، مقالة) على النماذج الأربعة و ٢٠٠ مقالة. الأعمدة: model_name، article_id، category، ner_score، nli_score، summary_score، translation_score، overall_score. بإجمالي ~٨٠٠ صف. ترميز UTF-8 مع BOM لتوافقه مع Microsoft Excel.</w:t>
      </w:r>
    </w:p>
    <w:p>
      <w:pPr>
        <w:pStyle w:val="Heading2"/>
        <w:bidi/>
        <w:spacing w:after="160" w:before="240"/>
        <w:jc w:val="right"/>
      </w:pPr>
      <w:r>
        <w:rPr>
          <w:rFonts w:ascii="Tahoma" w:cs="Tahoma" w:hAnsi="Tahoma"/>
          <w:b/>
          <w:bCs/>
          <w:i w:val="false"/>
          <w:iCs w:val="false"/>
          <w:color w:val="1F4E79"/>
          <w:sz w:val="32"/>
          <w:szCs w:val="32"/>
          <w:rtl/>
        </w:rPr>
        <w:t xml:space="preserve">التحقق من سلامة الملفات</w:t>
      </w:r>
    </w:p>
    <w:p>
      <w:pPr>
        <w:bidi/>
        <w:spacing w:after="160" w:before="0" w:line="36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يمكن للجهة المستلمة التحقق من سلامة الملفات بحساب بصمة SHA-256 لكل ملف باستخدام الأمر التالي:</w:t>
      </w:r>
    </w:p>
    <w:p>
      <w:pPr>
        <w:shd w:fill="F2F6FB" w:color="auto" w:val="clear"/>
        <w:spacing w:after="120" w:before="80"/>
      </w:pPr>
      <w:r>
        <w:rPr>
          <w:rFonts w:ascii="Consolas" w:hAnsi="Consolas"/>
          <w:color w:val="1F4E79"/>
          <w:sz w:val="18"/>
          <w:szCs w:val="18"/>
        </w:rPr>
        <w:t xml:space="preserve">sha256sum 00_خطاب_الرد_الرسمي_AR.docx 01_Technical_Report_EN.docx 02_Cross_Model_Comparison_EN.docx 03_Worked_Examples.docx 04_فهرس_المرفقات_AR.docx 05_mueen_results_full.json 06_comparison_data.csv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360"/>
      </w:tabs>
      <w:bidi/>
      <w:spacing w:before="60"/>
    </w:pPr>
    <w:r>
      <w:rPr>
        <w:rFonts w:ascii="Tahoma" w:cs="Tahoma" w:hAnsi="Tahoma"/>
        <w:b w:val="false"/>
        <w:bCs w:val="false"/>
        <w:i w:val="false"/>
        <w:iCs w:val="false"/>
        <w:color w:val="595959"/>
        <w:sz w:val="18"/>
        <w:szCs w:val="18"/>
        <w:rtl/>
      </w:rPr>
      <w:t xml:space="preserve">فهرس مرفقات تقييم معين الذكي</w:t>
    </w:r>
    <w:r>
      <w:rPr>
        <w:rFonts w:ascii="Calibri" w:hAnsi="Calibri"/>
      </w:rPr>
      <w:t xml:space="preserve">	</w:t>
    </w:r>
    <w:r>
      <w:rPr>
        <w:rFonts w:ascii="Calibri" w:cs="Tahoma" w:hAnsi="Calibri"/>
        <w:b w:val="false"/>
        <w:bCs w:val="false"/>
        <w:i w:val="false"/>
        <w:iCs w:val="false"/>
        <w:color w:val="595959"/>
        <w:sz w:val="18"/>
        <w:szCs w:val="18"/>
      </w:rPr>
      <w:t xml:space="preserve">صفحة </w:t>
    </w:r>
    <w:r>
      <w:rPr>
        <w:rFonts w:ascii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Tahoma" w:hAnsi="Calibri"/>
        <w:b w:val="false"/>
        <w:bCs w:val="false"/>
        <w:i w:val="false"/>
        <w:iCs w:val="false"/>
        <w:color w:val="595959"/>
        <w:sz w:val="18"/>
        <w:szCs w:val="18"/>
      </w:rPr>
      <w:t xml:space="preserve"> / </w:t>
    </w:r>
    <w:r>
      <w:rPr>
        <w:rFonts w:ascii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40"/>
      <w:jc w:val="right"/>
    </w:pPr>
    <w:r>
      <w:rPr>
        <w:rFonts w:ascii="Tahoma" w:cs="Tahoma" w:hAnsi="Tahoma"/>
        <w:b/>
        <w:bCs/>
        <w:i w:val="false"/>
        <w:iCs w:val="false"/>
        <w:color w:val="1F4E79"/>
        <w:sz w:val="26"/>
        <w:szCs w:val="26"/>
        <w:rtl/>
      </w:rPr>
      <w:t xml:space="preserve">منصة تقييم نماذج اللغة العربية</w:t>
    </w:r>
  </w:p>
  <w:p>
    <w:pPr>
      <w:bidi/>
      <w:spacing w:after="0"/>
      <w:jc w:val="right"/>
    </w:pPr>
    <w:r>
      <w:rPr>
        <w:rFonts w:ascii="Tahoma" w:cs="Tahoma" w:hAnsi="Tahoma"/>
        <w:b w:val="false"/>
        <w:bCs w:val="false"/>
        <w:i w:val="false"/>
        <w:iCs w:val="false"/>
        <w:color w:val="595959"/>
        <w:sz w:val="20"/>
        <w:szCs w:val="20"/>
        <w:rtl/>
      </w:rPr>
      <w:t xml:space="preserve">تقييم مستقل لنموذج معين الذكي — أبريل ٢٠٢٦</w:t>
    </w:r>
  </w:p>
  <w:p>
    <w:pPr>
      <w:pBdr>
        <w:bottom w:val="single" w:color="C9A227" w:sz="12" w:space="2"/>
      </w:pBdr>
      <w:spacing w:after="0" w:before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2026-04-17T12:26:24.969Z</dcterms:created>
  <dcterms:modified xsi:type="dcterms:W3CDTF">2026-04-17T12:26:24.969Z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