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5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</w:t>
      </w:r>
      <w:r>
        <w:t xml:space="preserve"> </w:t>
      </w:r>
      <w:r>
        <w:t xml:space="preserve">6.</w:t>
      </w:r>
      <w:r>
        <w:t xml:space="preserve"> </w:t>
      </w:r>
      <w:r>
        <w:t xml:space="preserve">Задача</w:t>
      </w:r>
      <w:r>
        <w:t xml:space="preserve"> </w:t>
      </w:r>
      <w:r>
        <w:t xml:space="preserve">об</w:t>
      </w:r>
      <w:r>
        <w:t xml:space="preserve"> </w:t>
      </w:r>
      <w:r>
        <w:t xml:space="preserve">эпидемии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Наливайко</w:t>
      </w:r>
      <w:r>
        <w:t xml:space="preserve"> </w:t>
      </w:r>
      <w:r>
        <w:t xml:space="preserve">Сергей</w:t>
      </w:r>
      <w:r>
        <w:t xml:space="preserve"> </w:t>
      </w:r>
      <w:r>
        <w:t xml:space="preserve">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Научиться моделировать простейшую модель эпидемии.</w:t>
      </w:r>
    </w:p>
    <w:bookmarkEnd w:id="20"/>
    <w:bookmarkStart w:id="2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1" w:name="краткая-теоретическая-справка"/>
    <w:p>
      <w:pPr>
        <w:pStyle w:val="Heading2"/>
      </w:pPr>
      <w:r>
        <w:t xml:space="preserve">Краткая теоретическая справка</w:t>
      </w:r>
    </w:p>
    <w:p>
      <w:pPr>
        <w:pStyle w:val="FirstParagraph"/>
      </w:pPr>
      <w:r>
        <w:t xml:space="preserve">Рассмотрим простейшую модель эпидемии. Предположим, что некая популяция, состоящая из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особей, подразделяется на три группы. Первая группа - это восприимчивые к болезни, но пока здоровые особи, обозначим их через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 Вторая группа – это число инфицированных особей, которые также при этом являются распространителями инфекции, обозначим их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 А третья группа, обозначающаяся через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– это</w:t>
      </w:r>
      <w:r>
        <w:t xml:space="preserve"> </w:t>
      </w:r>
      <w:r>
        <w:t xml:space="preserve">здоровые особи с иммунитетом к болезни.</w:t>
      </w:r>
    </w:p>
    <w:p>
      <w:pPr>
        <w:pStyle w:val="BodyText"/>
      </w:pPr>
      <w:r>
        <w:t xml:space="preserve">До того, как число заболевших не превышает критического значения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считаем, что все больные изолированы и не заражают здоровых. Когда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тогда инфицирование способны заражать восприимчивых к болезни особей.</w:t>
      </w:r>
    </w:p>
    <w:p>
      <w:pPr>
        <w:pStyle w:val="BodyText"/>
      </w:pPr>
      <w:r>
        <w:t xml:space="preserve">Таким образом, скорость изменения числа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меняется по следующему закону: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S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  <m:r>
                      <m:t>S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I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R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Постоянные пропорциональности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,</w:t>
      </w:r>
      <w:r>
        <w:t xml:space="preserve"> </w:t>
      </w:r>
      <m:oMath>
        <m:r>
          <m:t>β</m:t>
        </m:r>
      </m:oMath>
      <w:r>
        <w:t xml:space="preserve">- это коэффициенты заболеваемости и выздоровления соответственно.</w:t>
      </w:r>
    </w:p>
    <w:bookmarkEnd w:id="21"/>
    <w:bookmarkStart w:id="22" w:name="формулировка-задачи.-вариант-45"/>
    <w:p>
      <w:pPr>
        <w:pStyle w:val="Heading2"/>
      </w:pPr>
      <w:r>
        <w:t xml:space="preserve">Формулировка задачи. Вариант 45</w:t>
      </w:r>
    </w:p>
    <w:p>
      <w:pPr>
        <w:pStyle w:val="FirstParagraph"/>
      </w:pPr>
      <w:r>
        <w:t xml:space="preserve">На одном острове вспыхнула эпидемия. Известно, что из всех проживающих на острове (</w:t>
      </w:r>
      <m:oMath>
        <m:r>
          <m:t>N</m:t>
        </m:r>
        <m:r>
          <m:rPr>
            <m:sty m:val="p"/>
          </m:rPr>
          <m:t>=</m:t>
        </m:r>
        <m:r>
          <m:t>6</m:t>
        </m:r>
        <m:r>
          <m:t>666</m:t>
        </m:r>
      </m:oMath>
      <w:r>
        <w:t xml:space="preserve">) в момент начала эпидемии (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) число заболевших людей (являющихся распространителями инфекции)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83</m:t>
        </m:r>
      </m:oMath>
      <w:r>
        <w:t xml:space="preserve">, А число здоровых людей с иммунитетом к болезни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 Таким образом, число людей восприимчивых к</w:t>
      </w:r>
      <w:r>
        <w:t xml:space="preserve"> </w:t>
      </w:r>
      <w:r>
        <w:t xml:space="preserve">болезни, но пока здоровых, в начальный момент времени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Постройте графики изменения числа особей в каждой из трех групп. Рассмотрите, как будет протекать эпидемия в случае:</w:t>
      </w:r>
    </w:p>
    <w:p>
      <w:pPr>
        <w:numPr>
          <w:ilvl w:val="0"/>
          <w:numId w:val="1001"/>
        </w:numPr>
      </w:pPr>
      <w:r>
        <w:t xml:space="preserve">Если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numPr>
          <w:ilvl w:val="0"/>
          <w:numId w:val="1001"/>
        </w:numPr>
      </w:pPr>
      <w:r>
        <w:t xml:space="preserve">Если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22"/>
    <w:bookmarkStart w:id="27" w:name="решение-задачи"/>
    <w:p>
      <w:pPr>
        <w:pStyle w:val="Heading2"/>
      </w:pPr>
      <w:r>
        <w:t xml:space="preserve">Решение задачи</w:t>
      </w:r>
    </w:p>
    <w:p>
      <w:pPr>
        <w:pStyle w:val="FirstParagraph"/>
      </w:pPr>
      <w:r>
        <w:t xml:space="preserve">Пусть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,</m:t>
        </m:r>
        <m:r>
          <m:t> </m:t>
        </m:r>
        <m:r>
          <m:t>β</m:t>
        </m:r>
        <m:r>
          <m:rPr>
            <m:sty m:val="p"/>
          </m:rPr>
          <m:t>=</m:t>
        </m:r>
        <m:r>
          <m:t>0.02</m:t>
        </m:r>
      </m:oMath>
      <w:r>
        <w:t xml:space="preserve">. Нам известны параметры: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6666</m:t>
          </m:r>
          <m:r>
            <m:rPr>
              <m:sty m:val="p"/>
            </m:rPr>
            <m:t>,</m:t>
          </m:r>
          <m:r>
            <m:t> </m:t>
          </m:r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I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83</m:t>
          </m:r>
          <m:r>
            <m:rPr>
              <m:sty m:val="p"/>
            </m:rPr>
            <m:t>,</m:t>
          </m:r>
          <m:r>
            <m:t> </m:t>
          </m:r>
          <m:r>
            <m:t>R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2"/>
        </w:numPr>
        <w:pStyle w:val="Compact"/>
      </w:pPr>
      <w:r>
        <w:t xml:space="preserve">Составим систему ДУ: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S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I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R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β</m:t>
                    </m:r>
                    <m:r>
                      <m:t>I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Напишем программный код для первого случая. Получим график для второго случая (рис. 1).</w:t>
      </w:r>
    </w:p>
    <w:p>
      <w:pPr>
        <w:pStyle w:val="SourceCode"/>
      </w:pPr>
      <w:r>
        <w:rPr>
          <w:rStyle w:val="VerbatimChar"/>
        </w:rPr>
        <w:t xml:space="preserve">using Plots </w:t>
      </w:r>
      <w:r>
        <w:br/>
      </w:r>
      <w:r>
        <w:rPr>
          <w:rStyle w:val="VerbatimChar"/>
        </w:rPr>
        <w:t xml:space="preserve">using DifferentialEquations</w:t>
      </w:r>
      <w:r>
        <w:br/>
      </w:r>
      <w:r>
        <w:rPr>
          <w:rStyle w:val="VerbatimChar"/>
        </w:rPr>
        <w:t xml:space="preserve">pyplot();</w:t>
      </w:r>
      <w:r>
        <w:br/>
      </w:r>
      <w:r>
        <w:br/>
      </w:r>
      <w:r>
        <w:rPr>
          <w:rStyle w:val="VerbatimChar"/>
        </w:rPr>
        <w:t xml:space="preserve">N = 6666;</w:t>
      </w:r>
      <w:r>
        <w:br/>
      </w:r>
      <w:r>
        <w:rPr>
          <w:rStyle w:val="VerbatimChar"/>
        </w:rPr>
        <w:t xml:space="preserve">a = 0.01;</w:t>
      </w:r>
      <w:r>
        <w:br/>
      </w:r>
      <w:r>
        <w:rPr>
          <w:rStyle w:val="VerbatimChar"/>
        </w:rPr>
        <w:t xml:space="preserve">b = 0.02;</w:t>
      </w:r>
      <w:r>
        <w:br/>
      </w:r>
      <w:r>
        <w:rPr>
          <w:rStyle w:val="VerbatimChar"/>
        </w:rPr>
        <w:t xml:space="preserve">I0 = 83;</w:t>
      </w:r>
      <w:r>
        <w:br/>
      </w:r>
      <w:r>
        <w:rPr>
          <w:rStyle w:val="VerbatimChar"/>
        </w:rPr>
        <w:t xml:space="preserve">R0 = 6;</w:t>
      </w:r>
      <w:r>
        <w:br/>
      </w:r>
      <w:r>
        <w:rPr>
          <w:rStyle w:val="VerbatimChar"/>
        </w:rPr>
        <w:t xml:space="preserve">S0 = N - I0 - R0;</w:t>
      </w:r>
      <w:r>
        <w:br/>
      </w:r>
      <w:r>
        <w:rPr>
          <w:rStyle w:val="VerbatimChar"/>
        </w:rPr>
        <w:t xml:space="preserve">t = (0, 200);</w:t>
      </w:r>
      <w:r>
        <w:br/>
      </w:r>
      <w:r>
        <w:rPr>
          <w:rStyle w:val="VerbatimChar"/>
        </w:rPr>
        <w:t xml:space="preserve">p = [a,b];</w:t>
      </w:r>
      <w:r>
        <w:br/>
      </w:r>
      <w:r>
        <w:rPr>
          <w:rStyle w:val="VerbatimChar"/>
        </w:rPr>
        <w:t xml:space="preserve">x0 = [S0, I0, R0];</w:t>
      </w:r>
      <w:r>
        <w:br/>
      </w:r>
      <w:r>
        <w:rPr>
          <w:rStyle w:val="VerbatimChar"/>
        </w:rPr>
        <w:t xml:space="preserve">step = 0.01;</w:t>
      </w:r>
      <w:r>
        <w:br/>
      </w:r>
      <w:r>
        <w:br/>
      </w:r>
      <w:r>
        <w:rPr>
          <w:rStyle w:val="VerbatimChar"/>
        </w:rPr>
        <w:t xml:space="preserve">function syst1(dx, x, p, t)</w:t>
      </w:r>
      <w:r>
        <w:br/>
      </w:r>
      <w:r>
        <w:rPr>
          <w:rStyle w:val="VerbatimChar"/>
        </w:rPr>
        <w:t xml:space="preserve">      a, b = p;</w:t>
      </w:r>
      <w:r>
        <w:br/>
      </w:r>
      <w:r>
        <w:rPr>
          <w:rStyle w:val="VerbatimChar"/>
        </w:rPr>
        <w:t xml:space="preserve">      dx[1] = 0;</w:t>
      </w:r>
      <w:r>
        <w:br/>
      </w:r>
      <w:r>
        <w:rPr>
          <w:rStyle w:val="VerbatimChar"/>
        </w:rPr>
        <w:t xml:space="preserve">      dx[2] = -b * x[2];</w:t>
      </w:r>
      <w:r>
        <w:br/>
      </w:r>
      <w:r>
        <w:rPr>
          <w:rStyle w:val="VerbatimChar"/>
        </w:rPr>
        <w:t xml:space="preserve">      dx[3] = b * x[2];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prob = ODEProblem(syst1, x0, t, p);</w:t>
      </w:r>
      <w:r>
        <w:br/>
      </w:r>
      <w:r>
        <w:rPr>
          <w:rStyle w:val="VerbatimChar"/>
        </w:rPr>
        <w:t xml:space="preserve">sol = solve(prob, saveat = step);</w:t>
      </w:r>
      <w:r>
        <w:br/>
      </w:r>
      <w:r>
        <w:rPr>
          <w:rStyle w:val="VerbatimChar"/>
        </w:rPr>
        <w:t xml:space="preserve">plot(sol, xlabel = "t", ylabel = "population", labels = ["S(t)" "I(t)" "R(t)"])</w:t>
      </w:r>
      <w:r>
        <w:br/>
      </w:r>
      <w:r>
        <w:rPr>
          <w:rStyle w:val="VerbatimChar"/>
        </w:rPr>
        <w:t xml:space="preserve">title!("1й случай")</w:t>
      </w:r>
    </w:p>
    <w:p>
      <w:pPr>
        <w:pStyle w:val="CaptionedFigure"/>
      </w:pPr>
      <w:bookmarkStart w:id="24" w:name="fig:001"/>
      <w:r>
        <w:drawing>
          <wp:inline>
            <wp:extent cx="5334000" cy="4772170"/>
            <wp:effectExtent b="0" l="0" r="0" t="0"/>
            <wp:docPr descr="Figure 1: Динамика изменения числа людей в каждой из трех групп для первого случая" title="" id="1" name="Picture"/>
            <a:graphic>
              <a:graphicData uri="http://schemas.openxmlformats.org/drawingml/2006/picture">
                <pic:pic>
                  <pic:nvPicPr>
                    <pic:cNvPr descr="screens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2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Figure 1: Динамика изменения числа людей в каждой из трех групп для первого случая</w:t>
      </w:r>
    </w:p>
    <w:p>
      <w:pPr>
        <w:numPr>
          <w:ilvl w:val="0"/>
          <w:numId w:val="1003"/>
        </w:numPr>
        <w:pStyle w:val="Compact"/>
      </w:pPr>
      <w:r>
        <w:t xml:space="preserve">Составим систему ДУ: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S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  <m:r>
                      <m:t>S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I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R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β</m:t>
                    </m:r>
                    <m:r>
                      <m:t>I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Напишем программный код для второго случая. Получим график для первого случая (рис. 2).</w:t>
      </w:r>
    </w:p>
    <w:p>
      <w:pPr>
        <w:pStyle w:val="SourceCode"/>
      </w:pPr>
      <w:r>
        <w:rPr>
          <w:rStyle w:val="VerbatimChar"/>
        </w:rPr>
        <w:t xml:space="preserve">using Plots </w:t>
      </w:r>
      <w:r>
        <w:br/>
      </w:r>
      <w:r>
        <w:rPr>
          <w:rStyle w:val="VerbatimChar"/>
        </w:rPr>
        <w:t xml:space="preserve">using DifferentialEquations</w:t>
      </w:r>
      <w:r>
        <w:br/>
      </w:r>
      <w:r>
        <w:rPr>
          <w:rStyle w:val="VerbatimChar"/>
        </w:rPr>
        <w:t xml:space="preserve">pyplot();</w:t>
      </w:r>
      <w:r>
        <w:br/>
      </w:r>
      <w:r>
        <w:br/>
      </w:r>
      <w:r>
        <w:rPr>
          <w:rStyle w:val="VerbatimChar"/>
        </w:rPr>
        <w:t xml:space="preserve">N = 6666;</w:t>
      </w:r>
      <w:r>
        <w:br/>
      </w:r>
      <w:r>
        <w:rPr>
          <w:rStyle w:val="VerbatimChar"/>
        </w:rPr>
        <w:t xml:space="preserve">a = 0.01;</w:t>
      </w:r>
      <w:r>
        <w:br/>
      </w:r>
      <w:r>
        <w:rPr>
          <w:rStyle w:val="VerbatimChar"/>
        </w:rPr>
        <w:t xml:space="preserve">b = 0.02;</w:t>
      </w:r>
      <w:r>
        <w:br/>
      </w:r>
      <w:r>
        <w:rPr>
          <w:rStyle w:val="VerbatimChar"/>
        </w:rPr>
        <w:t xml:space="preserve">I0 = 83;</w:t>
      </w:r>
      <w:r>
        <w:br/>
      </w:r>
      <w:r>
        <w:rPr>
          <w:rStyle w:val="VerbatimChar"/>
        </w:rPr>
        <w:t xml:space="preserve">R0 = 6;</w:t>
      </w:r>
      <w:r>
        <w:br/>
      </w:r>
      <w:r>
        <w:rPr>
          <w:rStyle w:val="VerbatimChar"/>
        </w:rPr>
        <w:t xml:space="preserve">S0 = N - I0 - R0;</w:t>
      </w:r>
      <w:r>
        <w:br/>
      </w:r>
      <w:r>
        <w:rPr>
          <w:rStyle w:val="VerbatimChar"/>
        </w:rPr>
        <w:t xml:space="preserve">t = (0, 200);</w:t>
      </w:r>
      <w:r>
        <w:br/>
      </w:r>
      <w:r>
        <w:rPr>
          <w:rStyle w:val="VerbatimChar"/>
        </w:rPr>
        <w:t xml:space="preserve">p = [a,b];</w:t>
      </w:r>
      <w:r>
        <w:br/>
      </w:r>
      <w:r>
        <w:rPr>
          <w:rStyle w:val="VerbatimChar"/>
        </w:rPr>
        <w:t xml:space="preserve">x0 = [S0, I0, R0];</w:t>
      </w:r>
      <w:r>
        <w:br/>
      </w:r>
      <w:r>
        <w:rPr>
          <w:rStyle w:val="VerbatimChar"/>
        </w:rPr>
        <w:t xml:space="preserve">step = 0.01;</w:t>
      </w:r>
      <w:r>
        <w:br/>
      </w:r>
      <w:r>
        <w:br/>
      </w:r>
      <w:r>
        <w:rPr>
          <w:rStyle w:val="VerbatimChar"/>
        </w:rPr>
        <w:t xml:space="preserve">function syst1(dx, x, p, t)</w:t>
      </w:r>
      <w:r>
        <w:br/>
      </w:r>
      <w:r>
        <w:rPr>
          <w:rStyle w:val="VerbatimChar"/>
        </w:rPr>
        <w:t xml:space="preserve">      a, b = p;</w:t>
      </w:r>
      <w:r>
        <w:br/>
      </w:r>
      <w:r>
        <w:rPr>
          <w:rStyle w:val="VerbatimChar"/>
        </w:rPr>
        <w:t xml:space="preserve">      dx[1] = -a * x[1];</w:t>
      </w:r>
      <w:r>
        <w:br/>
      </w:r>
      <w:r>
        <w:rPr>
          <w:rStyle w:val="VerbatimChar"/>
        </w:rPr>
        <w:t xml:space="preserve">      dx[2] = a * x[1] - b * x[2];</w:t>
      </w:r>
      <w:r>
        <w:br/>
      </w:r>
      <w:r>
        <w:rPr>
          <w:rStyle w:val="VerbatimChar"/>
        </w:rPr>
        <w:t xml:space="preserve">      dx[3] = b * x[2];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prob = ODEProblem(syst1, x0, t, p);</w:t>
      </w:r>
      <w:r>
        <w:br/>
      </w:r>
      <w:r>
        <w:rPr>
          <w:rStyle w:val="VerbatimChar"/>
        </w:rPr>
        <w:t xml:space="preserve">sol = solve(prob, saveat = step);</w:t>
      </w:r>
      <w:r>
        <w:br/>
      </w:r>
      <w:r>
        <w:rPr>
          <w:rStyle w:val="VerbatimChar"/>
        </w:rPr>
        <w:t xml:space="preserve">plot(sol, xlabel = "t", ylabel = "population", labels = ["S(t)" "I(t)" "R(t)"])</w:t>
      </w:r>
      <w:r>
        <w:br/>
      </w:r>
      <w:r>
        <w:rPr>
          <w:rStyle w:val="VerbatimChar"/>
        </w:rPr>
        <w:t xml:space="preserve">title!("2й случай")</w:t>
      </w:r>
    </w:p>
    <w:p>
      <w:pPr>
        <w:pStyle w:val="CaptionedFigure"/>
      </w:pPr>
      <w:bookmarkStart w:id="26" w:name="fig:002"/>
      <w:r>
        <w:drawing>
          <wp:inline>
            <wp:extent cx="5334000" cy="3556000"/>
            <wp:effectExtent b="0" l="0" r="0" t="0"/>
            <wp:docPr descr="Figure 2: Динамика изменения числа людей в каждой из трех групп для второго случая" title="" id="1" name="Picture"/>
            <a:graphic>
              <a:graphicData uri="http://schemas.openxmlformats.org/drawingml/2006/picture">
                <pic:pic>
                  <pic:nvPicPr>
                    <pic:cNvPr descr="screens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Figure 2: Динамика изменения числа людей в каждой из трех групп для второго случая</w:t>
      </w:r>
    </w:p>
    <w:bookmarkEnd w:id="27"/>
    <w:bookmarkEnd w:id="28"/>
    <w:bookmarkStart w:id="29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лабораторной работы мы научились моделировать простейшую модель эпидемии.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71315dca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5" Target="media/rId25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6. Задача об эпидемии</dc:title>
  <dc:creator>Наливайко Сергей Максимович</dc:creator>
  <dc:language>ru-RU</dc:language>
  <cp:keywords/>
  <dcterms:created xsi:type="dcterms:W3CDTF">2021-03-16T08:20:06Z</dcterms:created>
  <dcterms:modified xsi:type="dcterms:W3CDTF">2021-03-16T08:20:06Z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ocumentclass">
    <vt:lpwstr>scrreprt</vt:lpwstr>
  </property>
  <property fmtid="{D5CDD505-2E9C-101B-9397-08002B2CF9AE}" pid="14" name="eqLabels">
    <vt:lpwstr>arabic</vt:lpwstr>
  </property>
  <property fmtid="{D5CDD505-2E9C-101B-9397-08002B2CF9AE}" pid="15" name="eqnPrefix">
    <vt:lpwstr/>
  </property>
  <property fmtid="{D5CDD505-2E9C-101B-9397-08002B2CF9AE}" pid="16" name="eqnPrefixTemplate">
    <vt:lpwstr>p i</vt:lpwstr>
  </property>
  <property fmtid="{D5CDD505-2E9C-101B-9397-08002B2CF9AE}" pid="17" name="figLabels">
    <vt:lpwstr>arabic</vt:lpwstr>
  </property>
  <property fmtid="{D5CDD505-2E9C-101B-9397-08002B2CF9AE}" pid="18" name="figPrefix">
    <vt:lpwstr/>
  </property>
  <property fmtid="{D5CDD505-2E9C-101B-9397-08002B2CF9AE}" pid="19" name="figPrefixTemplate">
    <vt:lpwstr>p i</vt:lpwstr>
  </property>
  <property fmtid="{D5CDD505-2E9C-101B-9397-08002B2CF9AE}" pid="20" name="figureTemplate">
    <vt:lpwstr>figureTitle ititleDelim t</vt:lpwstr>
  </property>
  <property fmtid="{D5CDD505-2E9C-101B-9397-08002B2CF9AE}" pid="21" name="figureTitle">
    <vt:lpwstr>Figure</vt:lpwstr>
  </property>
  <property fmtid="{D5CDD505-2E9C-101B-9397-08002B2CF9AE}" pid="22" name="fontsize">
    <vt:lpwstr>12pt</vt:lpwstr>
  </property>
  <property fmtid="{D5CDD505-2E9C-101B-9397-08002B2CF9AE}" pid="23" name="header-includes">
    <vt:lpwstr/>
  </property>
  <property fmtid="{D5CDD505-2E9C-101B-9397-08002B2CF9AE}" pid="24" name="indent">
    <vt:lpwstr>True</vt:lpwstr>
  </property>
  <property fmtid="{D5CDD505-2E9C-101B-9397-08002B2CF9AE}" pid="25" name="lastDelim">
    <vt:lpwstr>, </vt:lpwstr>
  </property>
  <property fmtid="{D5CDD505-2E9C-101B-9397-08002B2CF9AE}" pid="26" name="linestretch">
    <vt:lpwstr>1.5</vt:lpwstr>
  </property>
  <property fmtid="{D5CDD505-2E9C-101B-9397-08002B2CF9AE}" pid="27" name="linkReferences">
    <vt:lpwstr>False</vt:lpwstr>
  </property>
  <property fmtid="{D5CDD505-2E9C-101B-9397-08002B2CF9AE}" pid="28" name="listingTemplate">
    <vt:lpwstr>listingTitle ititleDelim t</vt:lpwstr>
  </property>
  <property fmtid="{D5CDD505-2E9C-101B-9397-08002B2CF9AE}" pid="29" name="listingTitle">
    <vt:lpwstr>Listing</vt:lpwstr>
  </property>
  <property fmtid="{D5CDD505-2E9C-101B-9397-08002B2CF9AE}" pid="30" name="listings">
    <vt:lpwstr>False</vt:lpwstr>
  </property>
  <property fmtid="{D5CDD505-2E9C-101B-9397-08002B2CF9AE}" pid="31" name="lof">
    <vt:lpwstr>False</vt:lpwstr>
  </property>
  <property fmtid="{D5CDD505-2E9C-101B-9397-08002B2CF9AE}" pid="32" name="lofTitle">
    <vt:lpwstr>List of Figures</vt:lpwstr>
  </property>
  <property fmtid="{D5CDD505-2E9C-101B-9397-08002B2CF9AE}" pid="33" name="lolTitle">
    <vt:lpwstr>List of Listings</vt:lpwstr>
  </property>
  <property fmtid="{D5CDD505-2E9C-101B-9397-08002B2CF9AE}" pid="34" name="lot">
    <vt:lpwstr>False</vt:lpwstr>
  </property>
  <property fmtid="{D5CDD505-2E9C-101B-9397-08002B2CF9AE}" pid="35" name="lotTitle">
    <vt:lpwstr>List of Tables</vt:lpwstr>
  </property>
  <property fmtid="{D5CDD505-2E9C-101B-9397-08002B2CF9AE}" pid="36" name="lstLabels">
    <vt:lpwstr>arabic</vt:lpwstr>
  </property>
  <property fmtid="{D5CDD505-2E9C-101B-9397-08002B2CF9AE}" pid="37" name="lstPrefix">
    <vt:lpwstr/>
  </property>
  <property fmtid="{D5CDD505-2E9C-101B-9397-08002B2CF9AE}" pid="38" name="lstPrefixTemplate">
    <vt:lpwstr>p i</vt:lpwstr>
  </property>
  <property fmtid="{D5CDD505-2E9C-101B-9397-08002B2CF9AE}" pid="39" name="mainfont">
    <vt:lpwstr>PT Serif</vt:lpwstr>
  </property>
  <property fmtid="{D5CDD505-2E9C-101B-9397-08002B2CF9AE}" pid="40" name="mainfontoptions">
    <vt:lpwstr>Ligatures=TeX</vt:lpwstr>
  </property>
  <property fmtid="{D5CDD505-2E9C-101B-9397-08002B2CF9AE}" pid="41" name="monofont">
    <vt:lpwstr>PT Mono</vt:lpwstr>
  </property>
  <property fmtid="{D5CDD505-2E9C-101B-9397-08002B2CF9AE}" pid="42" name="monofontoptions">
    <vt:lpwstr>Scale=MatchLowercase</vt:lpwstr>
  </property>
  <property fmtid="{D5CDD505-2E9C-101B-9397-08002B2CF9AE}" pid="43" name="nameInLink">
    <vt:lpwstr>False</vt:lpwstr>
  </property>
  <property fmtid="{D5CDD505-2E9C-101B-9397-08002B2CF9AE}" pid="44" name="numberSections">
    <vt:lpwstr>False</vt:lpwstr>
  </property>
  <property fmtid="{D5CDD505-2E9C-101B-9397-08002B2CF9AE}" pid="45" name="pairDelim">
    <vt:lpwstr>, </vt:lpwstr>
  </property>
  <property fmtid="{D5CDD505-2E9C-101B-9397-08002B2CF9AE}" pid="46" name="papersize">
    <vt:lpwstr>a4paper</vt:lpwstr>
  </property>
  <property fmtid="{D5CDD505-2E9C-101B-9397-08002B2CF9AE}" pid="47" name="pdf-engine">
    <vt:lpwstr>lualatex</vt:lpwstr>
  </property>
  <property fmtid="{D5CDD505-2E9C-101B-9397-08002B2CF9AE}" pid="48" name="polyglossia-lang">
    <vt:lpwstr>russian</vt:lpwstr>
  </property>
  <property fmtid="{D5CDD505-2E9C-101B-9397-08002B2CF9AE}" pid="49" name="polyglossia-otherlangs">
    <vt:lpwstr>english</vt:lpwstr>
  </property>
  <property fmtid="{D5CDD505-2E9C-101B-9397-08002B2CF9AE}" pid="50" name="rangeDelim">
    <vt:lpwstr>-</vt:lpwstr>
  </property>
  <property fmtid="{D5CDD505-2E9C-101B-9397-08002B2CF9AE}" pid="51" name="refDelim">
    <vt:lpwstr>, </vt:lpwstr>
  </property>
  <property fmtid="{D5CDD505-2E9C-101B-9397-08002B2CF9AE}" pid="52" name="refIndexTemplate">
    <vt:lpwstr>isuf</vt:lpwstr>
  </property>
  <property fmtid="{D5CDD505-2E9C-101B-9397-08002B2CF9AE}" pid="53" name="romanfont">
    <vt:lpwstr>PT Serif</vt:lpwstr>
  </property>
  <property fmtid="{D5CDD505-2E9C-101B-9397-08002B2CF9AE}" pid="54" name="romanfontoptions">
    <vt:lpwstr>Ligatures=TeX</vt:lpwstr>
  </property>
  <property fmtid="{D5CDD505-2E9C-101B-9397-08002B2CF9AE}" pid="55" name="sansfont">
    <vt:lpwstr>PT Sans</vt:lpwstr>
  </property>
  <property fmtid="{D5CDD505-2E9C-101B-9397-08002B2CF9AE}" pid="56" name="sansfontoptions">
    <vt:lpwstr>Ligatures=TeX,Scale=MatchLowercase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дисциплина: Математическое моделирование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 t</vt:lpwstr>
  </property>
  <property fmtid="{D5CDD505-2E9C-101B-9397-08002B2CF9AE}" pid="71" name="tableTitle">
    <vt:lpwstr>Table</vt:lpwstr>
  </property>
  <property fmtid="{D5CDD505-2E9C-101B-9397-08002B2CF9AE}" pid="72" name="tblLabels">
    <vt:lpwstr>arabic</vt:lpwstr>
  </property>
  <property fmtid="{D5CDD505-2E9C-101B-9397-08002B2CF9AE}" pid="73" name="tblPrefix">
    <vt:lpwstr/>
  </property>
  <property fmtid="{D5CDD505-2E9C-101B-9397-08002B2CF9AE}" pid="74" name="tblPrefixTemplate">
    <vt:lpwstr>p i</vt:lpwstr>
  </property>
  <property fmtid="{D5CDD505-2E9C-101B-9397-08002B2CF9AE}" pid="75" name="titleDelim">
    <vt:lpwstr>:</vt:lpwstr>
  </property>
  <property fmtid="{D5CDD505-2E9C-101B-9397-08002B2CF9AE}" pid="76" name="toc">
    <vt:lpwstr>True</vt:lpwstr>
  </property>
  <property fmtid="{D5CDD505-2E9C-101B-9397-08002B2CF9AE}" pid="77" name="toc-title">
    <vt:lpwstr>Содержание</vt:lpwstr>
  </property>
  <property fmtid="{D5CDD505-2E9C-101B-9397-08002B2CF9AE}" pid="78" name="toc_depth">
    <vt:lpwstr>2</vt:lpwstr>
  </property>
</Properties>
</file>