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Design Phase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Proposed Solution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 Name:</w:t>
      </w:r>
      <w:r w:rsidDel="00000000" w:rsidR="00000000" w:rsidRPr="00000000">
        <w:rPr>
          <w:rFonts w:ascii="Google Sans" w:cs="Google Sans" w:eastAsia="Google Sans" w:hAnsi="Google Sans"/>
          <w:color w:val="1f1f1f"/>
          <w:rtl w:val="0"/>
        </w:rPr>
        <w:t xml:space="preserve"> Import Data Using Transform Maps (Spreadsheet)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solution introduces an automated, scalable, and reliable data ingestion system leveraging an </w:t>
      </w:r>
      <w:r w:rsidDel="00000000" w:rsidR="00000000" w:rsidRPr="00000000">
        <w:rPr>
          <w:rFonts w:ascii="Google Sans" w:cs="Google Sans" w:eastAsia="Google Sans" w:hAnsi="Google Sans"/>
          <w:b w:val="1"/>
          <w:bCs w:val="1"/>
          <w:color w:val="1f1f1f"/>
          <w:rtl w:val="0"/>
        </w:rPr>
        <w:t xml:space="preserve">Import Set and Transform Map Engine</w:t>
      </w:r>
      <w:r w:rsidDel="00000000" w:rsidR="00000000" w:rsidRPr="00000000">
        <w:rPr>
          <w:rFonts w:ascii="Google Sans" w:cs="Google Sans" w:eastAsia="Google Sans" w:hAnsi="Google Sans"/>
          <w:color w:val="1f1f1f"/>
          <w:rtl w:val="0"/>
        </w:rPr>
        <w:t xml:space="preserve">. This solution eliminates the manual effort and error-prone nature of re-keying spreadsheet records into centralized target database tables. By staging incoming spreadsheet files (.xlsx or .csv) in an intermediate layer before applying strict transform mapping rules, the system ensures high data accuracy, automated record deduplication, and full operational traceability.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Core Features &amp; System Capabilities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Spreadsheet File Parsing: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Supports uploading standard Microsoft Excel (.xlsx) and Comma-Separated Values (.csv) formats. The engine automatically parses headers and creates corresponding fields in a temporary staging area.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Intermediate Staging Layer (Import Set 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Acts as an isolated sandbox holding uploaded raw data before committing to production tables. This prevents bad, incomplete, or corrupted records from affecting target system data.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Flexible Field Mapping &amp; Transformation Rules:</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Auto-Map Matching:</w:t>
      </w:r>
      <w:r w:rsidDel="00000000" w:rsidR="00000000" w:rsidRPr="00000000">
        <w:rPr>
          <w:rFonts w:ascii="Google Sans" w:cs="Google Sans" w:eastAsia="Google Sans" w:hAnsi="Google Sans"/>
          <w:color w:val="1f1f1f"/>
          <w:rtl w:val="0"/>
        </w:rPr>
        <w:t xml:space="preserve"> Automatically matches source spreadsheet column names to destination table fields when names match.</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Mapping Assist:</w:t>
      </w:r>
      <w:r w:rsidDel="00000000" w:rsidR="00000000" w:rsidRPr="00000000">
        <w:rPr>
          <w:rFonts w:ascii="Google Sans" w:cs="Google Sans" w:eastAsia="Google Sans" w:hAnsi="Google Sans"/>
          <w:color w:val="1f1f1f"/>
          <w:rtl w:val="0"/>
        </w:rPr>
        <w:t xml:space="preserve"> Provides a graphical interface to map custom spreadsheet headers to target table fields.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Transform Scripts:</w:t>
      </w:r>
      <w:r w:rsidDel="00000000" w:rsidR="00000000" w:rsidRPr="00000000">
        <w:rPr>
          <w:rFonts w:ascii="Google Sans" w:cs="Google Sans" w:eastAsia="Google Sans" w:hAnsi="Google Sans"/>
          <w:color w:val="1f1f1f"/>
          <w:rtl w:val="0"/>
        </w:rPr>
        <w:t xml:space="preserve"> Enables custom JavaScript logic (e.g., onBefore, onAfter) to cleanse, format, or calculate values dynamically during the import process.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Smart Deduplication via Coalesce Fields: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Allows administrators to set unique identifier fields (such as </w:t>
      </w:r>
      <w:r w:rsidDel="00000000" w:rsidR="00000000" w:rsidRPr="00000000">
        <w:rPr>
          <w:rFonts w:ascii="Google Sans" w:cs="Google Sans" w:eastAsia="Google Sans" w:hAnsi="Google Sans"/>
          <w:i w:val="1"/>
          <w:iCs w:val="1"/>
          <w:color w:val="1f1f1f"/>
          <w:rtl w:val="0"/>
        </w:rPr>
        <w:t xml:space="preserve">Employee ID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Email</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Asset Number</w:t>
      </w:r>
      <w:r w:rsidDel="00000000" w:rsidR="00000000" w:rsidRPr="00000000">
        <w:rPr>
          <w:rFonts w:ascii="Google Sans" w:cs="Google Sans" w:eastAsia="Google Sans" w:hAnsi="Google Sans"/>
          <w:color w:val="1f1f1f"/>
          <w:rtl w:val="0"/>
        </w:rPr>
        <w:t xml:space="preserve">) as Coalesce = True.</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If a matching value exists in the target table, the system </w:t>
      </w:r>
      <w:r w:rsidDel="00000000" w:rsidR="00000000" w:rsidRPr="00000000">
        <w:rPr>
          <w:rFonts w:ascii="Google Sans" w:cs="Google Sans" w:eastAsia="Google Sans" w:hAnsi="Google Sans"/>
          <w:b w:val="1"/>
          <w:bCs w:val="1"/>
          <w:color w:val="1f1f1f"/>
          <w:rtl w:val="0"/>
        </w:rPr>
        <w:t xml:space="preserve">updates</w:t>
      </w:r>
      <w:r w:rsidDel="00000000" w:rsidR="00000000" w:rsidRPr="00000000">
        <w:rPr>
          <w:rFonts w:ascii="Google Sans" w:cs="Google Sans" w:eastAsia="Google Sans" w:hAnsi="Google Sans"/>
          <w:color w:val="1f1f1f"/>
          <w:rtl w:val="0"/>
        </w:rPr>
        <w:t xml:space="preserve"> the existing record.</w:t>
      </w:r>
    </w:p>
    <w:p w:rsidR="00000000" w:rsidDel="00000000" w:rsidP="00000000" w:rsidRDefault="00000000" w:rsidRPr="00000000" w14:paraId="0000000F">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If no match exists, a </w:t>
      </w:r>
      <w:r w:rsidDel="00000000" w:rsidR="00000000" w:rsidRPr="00000000">
        <w:rPr>
          <w:rFonts w:ascii="Google Sans" w:cs="Google Sans" w:eastAsia="Google Sans" w:hAnsi="Google Sans"/>
          <w:b w:val="1"/>
          <w:bCs w:val="1"/>
          <w:color w:val="1f1f1f"/>
          <w:rtl w:val="0"/>
        </w:rPr>
        <w:t xml:space="preserve">new record</w:t>
      </w:r>
      <w:r w:rsidDel="00000000" w:rsidR="00000000" w:rsidRPr="00000000">
        <w:rPr>
          <w:rFonts w:ascii="Google Sans" w:cs="Google Sans" w:eastAsia="Google Sans" w:hAnsi="Google Sans"/>
          <w:color w:val="1f1f1f"/>
          <w:rtl w:val="0"/>
        </w:rPr>
        <w:t xml:space="preserve"> is inserted.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Auditability &amp; Execution Logging: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Generates comprehensive import set logs detailing inserted rows, updated rows, ignored rows, and error records for instant troubleshooting.</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Proposed End-to-End Workflow</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Source File Upload: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user or system administrator uploads the source spreadsheet containing bulk data.</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Import Set Generation: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platform creates an intermediate Import Set Table (staging table) and populates it with raw spreadsheet data.</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Transform Map Configuration &amp; Execution: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system applies pre-configured field mappings, runs transform scripts, and checks Coalesce key rules.</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Target Table Commit: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Processed and validated records are safely committed to the destination database table, and an execution summary log is generated.</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Expected Benefits &amp; Outcomes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 Reduction in Processing Time:</w:t>
      </w:r>
      <w:r w:rsidDel="00000000" w:rsidR="00000000" w:rsidRPr="00000000">
        <w:rPr>
          <w:rFonts w:ascii="Google Sans" w:cs="Google Sans" w:eastAsia="Google Sans" w:hAnsi="Google Sans"/>
          <w:color w:val="1f1f1f"/>
          <w:rtl w:val="0"/>
        </w:rPr>
        <w:t xml:space="preserve"> Eliminates hours of manual data entry for large datasets.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100% Schema Accuracy:</w:t>
      </w:r>
      <w:r w:rsidDel="00000000" w:rsidR="00000000" w:rsidRPr="00000000">
        <w:rPr>
          <w:rFonts w:ascii="Google Sans" w:cs="Google Sans" w:eastAsia="Google Sans" w:hAnsi="Google Sans"/>
          <w:color w:val="1f1f1f"/>
          <w:rtl w:val="0"/>
        </w:rPr>
        <w:t xml:space="preserve"> Direct mapping prevents data placement errors across fields.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 Record Duplication:</w:t>
      </w:r>
      <w:r w:rsidDel="00000000" w:rsidR="00000000" w:rsidRPr="00000000">
        <w:rPr>
          <w:rFonts w:ascii="Google Sans" w:cs="Google Sans" w:eastAsia="Google Sans" w:hAnsi="Google Sans"/>
          <w:color w:val="1f1f1f"/>
          <w:rtl w:val="0"/>
        </w:rPr>
        <w:t xml:space="preserve"> Coalesce logic maintains single-source-of-truth database integrity.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