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75.9999942779541" w:lineRule="auto"/>
        <w:rPr>
          <w:rFonts w:ascii="Google Sans" w:cs="Google Sans" w:eastAsia="Google Sans" w:hAnsi="Google Sans"/>
          <w:color w:val="1f1f1f"/>
        </w:rPr>
      </w:pP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Project Design Phase</w:t>
      </w:r>
    </w:p>
    <w:p w:rsidR="00000000" w:rsidDel="00000000" w:rsidP="00000000" w:rsidRDefault="00000000" w:rsidRPr="00000000" w14:paraId="00000002">
      <w:pPr>
        <w:pStyle w:val="Heading2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75.9999942779541" w:lineRule="auto"/>
        <w:rPr>
          <w:rFonts w:ascii="Google Sans" w:cs="Google Sans" w:eastAsia="Google Sans" w:hAnsi="Google Sans"/>
          <w:color w:val="1f1f1f"/>
        </w:rPr>
      </w:pP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Solution Architecture</w:t>
      </w:r>
    </w:p>
    <w:p w:rsidR="00000000" w:rsidDel="00000000" w:rsidP="00000000" w:rsidRDefault="00000000" w:rsidRPr="00000000" w14:paraId="0000000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7.5" w:line="275.9999942779541" w:lineRule="auto"/>
        <w:rPr>
          <w:rFonts w:ascii="Google Sans" w:cs="Google Sans" w:eastAsia="Google Sans" w:hAnsi="Google Sans"/>
          <w:color w:val="1f1f1f"/>
        </w:rPr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f1f1f"/>
          <w:rtl w:val="0"/>
        </w:rPr>
        <w:t xml:space="preserve">Project Name: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 Import Data Using Transform Maps (Spreadsheet)</w:t>
      </w:r>
    </w:p>
    <w:p w:rsidR="00000000" w:rsidDel="00000000" w:rsidP="00000000" w:rsidRDefault="00000000" w:rsidRPr="00000000" w14:paraId="00000004">
      <w:pPr>
        <w:pStyle w:val="Heading3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75.9999942779541" w:lineRule="auto"/>
        <w:rPr>
          <w:rFonts w:ascii="Google Sans" w:cs="Google Sans" w:eastAsia="Google Sans" w:hAnsi="Google Sans"/>
          <w:color w:val="1f1f1f"/>
        </w:rPr>
      </w:pP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Solution Architecture:</w:t>
      </w:r>
    </w:p>
    <w:p w:rsidR="00000000" w:rsidDel="00000000" w:rsidP="00000000" w:rsidRDefault="00000000" w:rsidRPr="00000000" w14:paraId="0000000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line="275.9999942779541" w:lineRule="auto"/>
        <w:rPr>
          <w:rFonts w:ascii="Google Sans" w:cs="Google Sans" w:eastAsia="Google Sans" w:hAnsi="Google Sans"/>
          <w:color w:val="1f1f1f"/>
        </w:rPr>
      </w:pP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Solution architecture is a complex process – with many sub-processes – that bridges the gap between business problems and technology solutions. Its goals are to:</w:t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line="275.9999942779541" w:lineRule="auto"/>
        <w:ind w:left="465" w:hanging="360"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f1f1f"/>
          <w:rtl w:val="0"/>
        </w:rPr>
        <w:t xml:space="preserve">Find the best tech solution to solve existing business problems: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 Automate and streamline bulk data ingestion by uploading external spreadsheet records (Excel/CSV) directly into target database tables, eliminating human error and manual data entry.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beforeAutospacing="0" w:line="275.9999942779541" w:lineRule="auto"/>
        <w:ind w:left="465" w:hanging="360"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f1f1f"/>
          <w:rtl w:val="0"/>
        </w:rPr>
        <w:t xml:space="preserve">Describe the structure, characteristics, behavior, and other aspects of the software to project stakeholders: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 Establish a clear data ingestion pipeline starting from raw file upload through staging tables, transformation rules, and final target record population.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beforeAutospacing="0" w:line="275.9999942779541" w:lineRule="auto"/>
        <w:ind w:left="465" w:hanging="360"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f1f1f"/>
          <w:rtl w:val="0"/>
        </w:rPr>
        <w:t xml:space="preserve">Define features, development phases, and solution requirements: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 Configure field-to-field mapping rules, identify Coalesce unique identifiers to prevent record duplication, and set up transformation logic for data consistency.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beforeAutospacing="0" w:line="275.9999942779541" w:lineRule="auto"/>
        <w:ind w:left="465" w:hanging="360"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f1f1f"/>
          <w:rtl w:val="0"/>
        </w:rPr>
        <w:t xml:space="preserve">Provide specifications according to which the solution is defined, managed, and delivered: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 Detail logging mechanisms, staging table cleanup, error handling, and security role access required for execution.</w:t>
      </w:r>
    </w:p>
    <w:p w:rsidR="00000000" w:rsidDel="00000000" w:rsidP="00000000" w:rsidRDefault="00000000" w:rsidRPr="00000000" w14:paraId="0000000A">
      <w:pPr>
        <w:pStyle w:val="Heading3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120" w:line="275.9999942779541" w:lineRule="auto"/>
        <w:rPr>
          <w:rFonts w:ascii="Google Sans" w:cs="Google Sans" w:eastAsia="Google Sans" w:hAnsi="Google Sans"/>
          <w:color w:val="1f1f1f"/>
        </w:rPr>
      </w:pP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Solution Architecture Diagram:</w:t>
      </w:r>
    </w:p>
    <w:p w:rsidR="00000000" w:rsidDel="00000000" w:rsidP="00000000" w:rsidRDefault="00000000" w:rsidRPr="00000000" w14:paraId="0000000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55" w:line="275.9999942779541" w:lineRule="auto"/>
        <w:rPr>
          <w:rFonts w:ascii="Google Sans" w:cs="Google Sans" w:eastAsia="Google Sans" w:hAnsi="Google Sans"/>
          <w:color w:val="1f1f1f"/>
        </w:rPr>
      </w:pP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+----------------------------------------------------------------------------------------------------+</w:t>
        <w:br w:type="textWrapping"/>
        <w:t xml:space="preserve">|                                      SOLUTION ARCHITECTURE DATA FLOW                                |</w:t>
        <w:br w:type="textWrapping"/>
        <w:t xml:space="preserve">+----------------------------------------------------------------------------------------------------+</w:t>
        <w:br w:type="textWrapping"/>
        <w:br w:type="textWrapping"/>
        <w:t xml:space="preserve">  [ Raw Data Source ]             [ Staging Layer ]               [ Logic Layer ]           [ Target Database ]</w:t>
        <w:br w:type="textWrapping"/>
        <w:t xml:space="preserve">+---------------------+        +---------------------+        +---------------------+     +---------------------+</w:t>
        <w:br w:type="textWrapping"/>
        <w:t xml:space="preserve">|                     |        |                     |        |                     |     |                     |</w:t>
        <w:br w:type="textWrapping"/>
        <w:t xml:space="preserve">|  Spreadsheet File   | -----&gt; |  Import Set Table   | -----&gt; |    Transform Map    | --&gt; |    Target Table     |</w:t>
        <w:br w:type="textWrapping"/>
        <w:t xml:space="preserve">|   (.xlsx / .csv)    |        |  (Temporary Store)  |        |  (Mapping &amp; Logic)  |     | (Database Records)  |</w:t>
        <w:br w:type="textWrapping"/>
        <w:t xml:space="preserve">|                     |        |                     |        |                     |     |                     |</w:t>
        <w:br w:type="textWrapping"/>
        <w:t xml:space="preserve">+---------------------+        +---------------------+        +---------------------+     +---------------------+</w:t>
        <w:br w:type="textWrapping"/>
        <w:t xml:space="preserve">                                                                         |</w:t>
        <w:br w:type="textWrapping"/>
        <w:t xml:space="preserve">                                                                         v</w:t>
        <w:br w:type="textWrapping"/>
        <w:t xml:space="preserve">                                                              +---------------------+</w:t>
        <w:br w:type="textWrapping"/>
        <w:t xml:space="preserve">                                                              |  Coalesce Key Check |</w:t>
        <w:br w:type="textWrapping"/>
        <w:t xml:space="preserve">                                                              |  (Match -&gt; Update)  |</w:t>
        <w:br w:type="textWrapping"/>
        <w:t xml:space="preserve">                                                              | (No Match -&gt; Insert)|</w:t>
        <w:br w:type="textWrapping"/>
        <w:t xml:space="preserve">                                                              +---------------------+</w:t>
        <w:br w:type="textWrapping"/>
      </w:r>
    </w:p>
    <w:p w:rsidR="00000000" w:rsidDel="00000000" w:rsidP="00000000" w:rsidRDefault="00000000" w:rsidRPr="00000000" w14:paraId="0000000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7.5" w:line="275.9999942779541" w:lineRule="auto"/>
        <w:rPr>
          <w:rFonts w:ascii="Google Sans" w:cs="Google Sans" w:eastAsia="Google Sans" w:hAnsi="Google Sans"/>
          <w:i w:val="1"/>
          <w:iCs w:val="1"/>
          <w:color w:val="1f1f1f"/>
        </w:rPr>
      </w:pPr>
      <w:r w:rsidDel="00000000" w:rsidR="00000000" w:rsidRPr="00000000">
        <w:rPr>
          <w:rFonts w:ascii="Google Sans" w:cs="Google Sans" w:eastAsia="Google Sans" w:hAnsi="Google Sans"/>
          <w:i w:val="1"/>
          <w:iCs w:val="1"/>
          <w:color w:val="1f1f1f"/>
          <w:rtl w:val="0"/>
        </w:rPr>
        <w:t xml:space="preserve">Figure 1: Architecture and data flow of the Import Data Using Transform Maps (Spreadsheet) process</w:t>
      </w:r>
    </w:p>
    <w:p w:rsidR="00000000" w:rsidDel="00000000" w:rsidP="00000000" w:rsidRDefault="00000000" w:rsidRPr="00000000" w14:paraId="0000000D">
      <w:pPr>
        <w:pStyle w:val="Heading3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75.9999942779541" w:lineRule="auto"/>
        <w:rPr>
          <w:rFonts w:ascii="Google Sans" w:cs="Google Sans" w:eastAsia="Google Sans" w:hAnsi="Google Sans"/>
          <w:color w:val="1f1f1f"/>
        </w:rPr>
      </w:pP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Process Workflow &amp; Technical Specification:</w:t>
      </w:r>
    </w:p>
    <w:p w:rsidR="00000000" w:rsidDel="00000000" w:rsidP="00000000" w:rsidRDefault="00000000" w:rsidRPr="00000000" w14:paraId="0000000E">
      <w:pPr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line="275.9999942779541" w:lineRule="auto"/>
        <w:ind w:left="480" w:hanging="360"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f1f1f"/>
          <w:rtl w:val="0"/>
        </w:rPr>
        <w:t xml:space="preserve">Data Source Setup:</w:t>
      </w:r>
    </w:p>
    <w:p w:rsidR="00000000" w:rsidDel="00000000" w:rsidP="00000000" w:rsidRDefault="00000000" w:rsidRPr="00000000" w14:paraId="0000000F">
      <w:pPr>
        <w:numPr>
          <w:ilvl w:val="1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line="275.9999942779541" w:lineRule="auto"/>
        <w:ind w:left="885" w:hanging="360"/>
      </w:pP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User uploads the external Excel or CSV file containing raw records.</w:t>
      </w:r>
    </w:p>
    <w:p w:rsidR="00000000" w:rsidDel="00000000" w:rsidP="00000000" w:rsidRDefault="00000000" w:rsidRPr="00000000" w14:paraId="00000010">
      <w:pPr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beforeAutospacing="0" w:line="275.9999942779541" w:lineRule="auto"/>
        <w:ind w:left="480" w:hanging="360"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f1f1f"/>
          <w:rtl w:val="0"/>
        </w:rPr>
        <w:t xml:space="preserve">Import Set Staging:</w:t>
      </w:r>
    </w:p>
    <w:p w:rsidR="00000000" w:rsidDel="00000000" w:rsidP="00000000" w:rsidRDefault="00000000" w:rsidRPr="00000000" w14:paraId="00000011">
      <w:pPr>
        <w:numPr>
          <w:ilvl w:val="1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line="275.9999942779541" w:lineRule="auto"/>
        <w:ind w:left="885" w:hanging="360"/>
      </w:pP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The platform automatically builds an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f1f1f"/>
          <w:rtl w:val="0"/>
        </w:rPr>
        <w:t xml:space="preserve">Import Set Table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 (Staging Table) mirroring the structure of the uploaded file columns.</w:t>
      </w:r>
    </w:p>
    <w:p w:rsidR="00000000" w:rsidDel="00000000" w:rsidP="00000000" w:rsidRDefault="00000000" w:rsidRPr="00000000" w14:paraId="00000012">
      <w:pPr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beforeAutospacing="0" w:line="275.9999942779541" w:lineRule="auto"/>
        <w:ind w:left="480" w:hanging="360"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f1f1f"/>
          <w:rtl w:val="0"/>
        </w:rPr>
        <w:t xml:space="preserve">Transform Map Configuration:</w:t>
      </w:r>
    </w:p>
    <w:p w:rsidR="00000000" w:rsidDel="00000000" w:rsidP="00000000" w:rsidRDefault="00000000" w:rsidRPr="00000000" w14:paraId="00000013">
      <w:pPr>
        <w:numPr>
          <w:ilvl w:val="1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line="275.9999942779541" w:lineRule="auto"/>
        <w:ind w:left="885" w:hanging="360"/>
      </w:pP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Source fields are mapped to destination fields on the target table using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f1f1f"/>
          <w:rtl w:val="0"/>
        </w:rPr>
        <w:t xml:space="preserve">Auto-Map Matching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 or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f1f1f"/>
          <w:rtl w:val="0"/>
        </w:rPr>
        <w:t xml:space="preserve">Mapping Assist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.</w:t>
      </w:r>
    </w:p>
    <w:p w:rsidR="00000000" w:rsidDel="00000000" w:rsidP="00000000" w:rsidRDefault="00000000" w:rsidRPr="00000000" w14:paraId="00000014">
      <w:pPr>
        <w:numPr>
          <w:ilvl w:val="1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beforeAutospacing="0" w:line="275.9999942779541" w:lineRule="auto"/>
        <w:ind w:left="885" w:hanging="360"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f1f1f"/>
          <w:rtl w:val="0"/>
        </w:rPr>
        <w:t xml:space="preserve">Coalesce Configuration: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 A specific field (e.g., </w:t>
      </w:r>
      <w:r w:rsidDel="00000000" w:rsidR="00000000" w:rsidRPr="00000000">
        <w:rPr>
          <w:rFonts w:ascii="Google Sans" w:cs="Google Sans" w:eastAsia="Google Sans" w:hAnsi="Google Sans"/>
          <w:i w:val="1"/>
          <w:iCs w:val="1"/>
          <w:color w:val="1f1f1f"/>
          <w:rtl w:val="0"/>
        </w:rPr>
        <w:t xml:space="preserve">User ID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, </w:t>
      </w:r>
      <w:r w:rsidDel="00000000" w:rsidR="00000000" w:rsidRPr="00000000">
        <w:rPr>
          <w:rFonts w:ascii="Google Sans" w:cs="Google Sans" w:eastAsia="Google Sans" w:hAnsi="Google Sans"/>
          <w:i w:val="1"/>
          <w:iCs w:val="1"/>
          <w:color w:val="1f1f1f"/>
          <w:rtl w:val="0"/>
        </w:rPr>
        <w:t xml:space="preserve">Email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, </w:t>
      </w:r>
      <w:r w:rsidDel="00000000" w:rsidR="00000000" w:rsidRPr="00000000">
        <w:rPr>
          <w:rFonts w:ascii="Google Sans" w:cs="Google Sans" w:eastAsia="Google Sans" w:hAnsi="Google Sans"/>
          <w:i w:val="1"/>
          <w:iCs w:val="1"/>
          <w:color w:val="1f1f1f"/>
          <w:rtl w:val="0"/>
        </w:rPr>
        <w:t xml:space="preserve">Asset Code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) is set to Coalesce = True to enforce deduplication (updating existing records if a match is found, or inserting new ones if no match exists).</w:t>
      </w:r>
    </w:p>
    <w:p w:rsidR="00000000" w:rsidDel="00000000" w:rsidP="00000000" w:rsidRDefault="00000000" w:rsidRPr="00000000" w14:paraId="00000015">
      <w:pPr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beforeAutospacing="0" w:line="275.9999942779541" w:lineRule="auto"/>
        <w:ind w:left="480" w:hanging="360"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f1f1f"/>
          <w:rtl w:val="0"/>
        </w:rPr>
        <w:t xml:space="preserve">Target Table Execution:</w:t>
      </w:r>
    </w:p>
    <w:p w:rsidR="00000000" w:rsidDel="00000000" w:rsidP="00000000" w:rsidRDefault="00000000" w:rsidRPr="00000000" w14:paraId="00000016">
      <w:pPr>
        <w:numPr>
          <w:ilvl w:val="1"/>
          <w:numId w:val="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line="275.9999942779541" w:lineRule="auto"/>
        <w:ind w:left="885" w:hanging="360"/>
      </w:pP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The transform engine processes each row from the staging table, executes business rules/scripts, and commits the cleansed records into the destination table.</w:t>
      </w:r>
    </w:p>
    <w:sectPr>
      <w:pgSz w:h="15840" w:w="12240" w:orient="portrait"/>
      <w:pgMar w:bottom="1440" w:top="1440" w:left="1440" w:right="1440" w:header="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Georgia"/>
  <w:font w:name="Google Sans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465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2">
    <w:lvl w:ilvl="0">
      <w:start w:val="1"/>
      <w:numFmt w:val="decimal"/>
      <w:lvlText w:val="%1."/>
      <w:lvlJc w:val="left"/>
      <w:pPr>
        <w:ind w:left="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○"/>
      <w:lvlJc w:val="left"/>
      <w:pPr>
        <w:ind w:left="885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3">
    <w:lvl w:ilvl="0">
      <w:start w:val="1"/>
      <w:numFmt w:val="decimal"/>
      <w:lvlText w:val="%1."/>
      <w:lvlJc w:val="left"/>
      <w:pPr>
        <w:ind w:left="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○"/>
      <w:lvlJc w:val="left"/>
      <w:pPr>
        <w:ind w:left="885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4">
    <w:lvl w:ilvl="0">
      <w:start w:val="1"/>
      <w:numFmt w:val="decimal"/>
      <w:lvlText w:val="%1."/>
      <w:lvlJc w:val="left"/>
      <w:pPr>
        <w:ind w:left="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○"/>
      <w:lvlJc w:val="left"/>
      <w:pPr>
        <w:ind w:left="885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5">
    <w:lvl w:ilvl="0">
      <w:start w:val="1"/>
      <w:numFmt w:val="decimal"/>
      <w:lvlText w:val="%1."/>
      <w:lvlJc w:val="left"/>
      <w:pPr>
        <w:ind w:left="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○"/>
      <w:lvlJc w:val="left"/>
      <w:pPr>
        <w:ind w:left="885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6">
    <w:lvl w:ilvl="0">
      <w:start w:val="1"/>
      <w:numFmt w:val="decimal"/>
      <w:lvlText w:val="%1."/>
      <w:lvlJc w:val="left"/>
      <w:pPr>
        <w:ind w:left="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○"/>
      <w:lvlJc w:val="left"/>
      <w:pPr>
        <w:ind w:left="885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</w:rPr>
    </w:rPrDefault>
    <w:pPrDefault>
      <w:pPr>
        <w:widowControl w:val="0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240" w:before="240" w:lineRule="auto"/>
    </w:pPr>
    <w:rPr>
      <w:b w:val="1"/>
      <w:bCs w:val="1"/>
      <w:i w:val="0"/>
      <w:iCs w:val="0"/>
      <w:sz w:val="48"/>
      <w:szCs w:val="48"/>
    </w:rPr>
  </w:style>
  <w:style w:type="paragraph" w:styleId="Heading2">
    <w:name w:val="heading 2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225" w:before="225" w:lineRule="auto"/>
    </w:pPr>
    <w:rPr>
      <w:b w:val="1"/>
      <w:bCs w:val="1"/>
      <w:i w:val="0"/>
      <w:iCs w:val="0"/>
      <w:sz w:val="36"/>
      <w:szCs w:val="36"/>
    </w:rPr>
  </w:style>
  <w:style w:type="paragraph" w:styleId="Heading3">
    <w:name w:val="heading 3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240" w:before="240" w:lineRule="auto"/>
    </w:pPr>
    <w:rPr>
      <w:b w:val="1"/>
      <w:bCs w:val="1"/>
      <w:i w:val="0"/>
      <w:iCs w:val="0"/>
      <w:sz w:val="28"/>
      <w:szCs w:val="28"/>
    </w:rPr>
  </w:style>
  <w:style w:type="paragraph" w:styleId="Heading4">
    <w:name w:val="heading 4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255" w:before="255" w:lineRule="auto"/>
    </w:pPr>
    <w:rPr>
      <w:b w:val="1"/>
      <w:bCs w:val="1"/>
      <w:i w:val="0"/>
      <w:iCs w:val="0"/>
      <w:sz w:val="24"/>
      <w:szCs w:val="24"/>
    </w:rPr>
  </w:style>
  <w:style w:type="paragraph" w:styleId="Heading5">
    <w:name w:val="heading 5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255" w:before="255" w:lineRule="auto"/>
    </w:pPr>
    <w:rPr>
      <w:b w:val="1"/>
      <w:bCs w:val="1"/>
      <w:i w:val="0"/>
      <w:iCs w:val="0"/>
      <w:sz w:val="18"/>
      <w:szCs w:val="18"/>
    </w:rPr>
  </w:style>
  <w:style w:type="paragraph" w:styleId="Heading6">
    <w:name w:val="heading 6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360" w:before="360" w:lineRule="auto"/>
    </w:pPr>
    <w:rPr>
      <w:b w:val="1"/>
      <w:bCs w:val="1"/>
      <w:i w:val="0"/>
      <w:iCs w:val="0"/>
      <w:sz w:val="16"/>
      <w:szCs w:val="16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GoogleSans-regular.ttf"/><Relationship Id="rId2" Type="http://schemas.openxmlformats.org/officeDocument/2006/relationships/font" Target="fonts/GoogleSans-bold.ttf"/><Relationship Id="rId3" Type="http://schemas.openxmlformats.org/officeDocument/2006/relationships/font" Target="fonts/GoogleSans-italic.ttf"/><Relationship Id="rId4" Type="http://schemas.openxmlformats.org/officeDocument/2006/relationships/font" Target="fonts/GoogleSans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