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odwhyva0570o" w:id="0"/>
      <w:bookmarkEnd w:id="0"/>
      <w:r w:rsidDel="00000000" w:rsidR="00000000" w:rsidRPr="00000000">
        <w:rPr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a1jxvdcw0bp1" w:id="1"/>
      <w:bookmarkEnd w:id="1"/>
      <w:r w:rsidDel="00000000" w:rsidR="00000000" w:rsidRPr="00000000">
        <w:rPr>
          <w:rtl w:val="0"/>
        </w:rPr>
        <w:t xml:space="preserve">Functional Requirements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Following are the functional requirements of the proposed solution.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e2e8f0" w:space="0" w:sz="8" w:val="single"/>
          <w:insideV w:color="e2e8f0" w:space="0" w:sz="8" w:val="single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Sub Requirement (Story / Sub-Task)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Source &amp; Import Set Configuration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* Load external spreadsheet files (CSV, XLSX) into ServiceNow staging tables. * Auto-detect file format, delimiter, and header rows during creation. * Support file attachments and direct server file upload methods.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Transform Mapping &amp; Field Mapping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* Map staging columns directly to target table fields using 'Auto Map Matching Fields'. * Support manual custom field mapping and source-to-target field pairing. * Define Coalesce fields (e.g., Email, Sys ID, Serial Number) to update existing records or prevent duplicates.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Scripted Transformation &amp; Logic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* Execute OnBefore scripts to validate data and format field types (dates, phone numbers, choices). * Execute OnAfter scripts to perform post-import updates or record links. * Support dynamic reference field lookup using source values.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Quality, Logging &amp; Error Handling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* Capture detailed import logs for inserted, updated, skipped, and error rows. * Provide roll-back capabilities for failed import set runs. * Enforce mandatory field checks and reject invalid spreadsheet rows without halting the entire batch.</w:t>
            </w:r>
          </w:p>
        </w:tc>
      </w:tr>
    </w:tbl>
    <w:p w:rsidR="00000000" w:rsidDel="00000000" w:rsidP="00000000" w:rsidRDefault="00000000" w:rsidRPr="00000000" w14:paraId="00000014">
      <w:pPr>
        <w:pStyle w:val="Heading1"/>
        <w:rPr/>
      </w:pPr>
      <w:bookmarkStart w:colFirst="0" w:colLast="0" w:name="_1t3psr2w7ac9" w:id="2"/>
      <w:bookmarkEnd w:id="2"/>
      <w:r w:rsidDel="00000000" w:rsidR="00000000" w:rsidRPr="00000000">
        <w:rPr>
          <w:rtl w:val="0"/>
        </w:rPr>
        <w:t xml:space="preserve">Non-Functional Requirements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Following are the non-functional requirements of the proposed solution.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e2e8f0" w:space="0" w:sz="8" w:val="single"/>
          <w:insideV w:color="e2e8f0" w:space="0" w:sz="8" w:val="single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Non-Functional Requirement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The data import and mapping interface should be intuitive with automated field matching. Transform Maps should provide clear mapping feedback and detailed execution logs for easy troubleshooting.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Import operations must enforce ServiceNow Access Control Lists (ACLs) and role-based permissions (admin, import_admin). Sensitive data in spreadsheets must be handled securely without plain-text exposure in logs.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Transform Maps and scripts must execute consistently across system updates without failing. The system should gracefully handle null/empty values, unexpected special characters, and missing fields.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Import processing should be optimized for speed, transforming up to 10,000 staging records in under 2 minutes. Batch processing and index utilization should ensure no system lag during execution.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The Import Set and Transform Map engine must maintain 99.9% availability on the ServiceNow platform with zero downtime caused by script/mapping execution errors.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Scalability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The solution must support large-scale enterprise data imports (100k+ rows) and be easily reusable for multiple target tables (User, Asset, Incident, CMDB) with minimal configuration changes.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anrope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4"/>
        <w:szCs w:val="24"/>
        <w:lang w:val="en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Manrope" w:cs="Manrope" w:eastAsia="Manrope" w:hAnsi="Manrope"/>
      <w:b w:val="1"/>
      <w:bCs w:val="1"/>
      <w:i w:val="0"/>
      <w:iCs w:val="0"/>
      <w:color w:val="1e293b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Manrope" w:cs="Manrope" w:eastAsia="Manrope" w:hAnsi="Manrope"/>
      <w:b w:val="1"/>
      <w:bCs w:val="1"/>
      <w:i w:val="0"/>
      <w:iCs w:val="0"/>
      <w:color w:val="334155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Manrope" w:cs="Manrope" w:eastAsia="Manrope" w:hAnsi="Manrope"/>
      <w:b w:val="1"/>
      <w:bCs w:val="1"/>
      <w:i w:val="0"/>
      <w:iCs w:val="0"/>
      <w:color w:val="475569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Manrope" w:cs="Manrope" w:eastAsia="Manrope" w:hAnsi="Manrope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4"/>
        <w:szCs w:val="24"/>
      </w:rPr>
      <w:tcPr>
        <w:shd w:fill="f8fafc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4"/>
        <w:szCs w:val="24"/>
      </w:rPr>
      <w:tcPr>
        <w:shd w:fill="f8fafc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Manrope-regular.ttf"/><Relationship Id="rId6" Type="http://schemas.openxmlformats.org/officeDocument/2006/relationships/font" Target="fonts/Manrope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