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kq0npoow63k0" w:id="0"/>
      <w:bookmarkEnd w:id="0"/>
      <w:r w:rsidDel="00000000" w:rsidR="00000000" w:rsidRPr="00000000">
        <w:rPr>
          <w:rtl w:val="0"/>
        </w:rPr>
        <w:t xml:space="preserve">Customer Journey Map: Import Data Using Transform Maps (Spreadsheet)</w:t>
      </w:r>
    </w:p>
    <w:p w:rsidR="00000000" w:rsidDel="00000000" w:rsidP="00000000" w:rsidRDefault="00000000" w:rsidRPr="00000000" w14:paraId="00000002">
      <w:pPr>
        <w:pStyle w:val="Heading1"/>
        <w:rPr/>
      </w:pPr>
      <w:bookmarkStart w:colFirst="0" w:colLast="0" w:name="_mpfbt6ejgm4w" w:id="1"/>
      <w:bookmarkEnd w:id="1"/>
      <w:r w:rsidDel="00000000" w:rsidR="00000000" w:rsidRPr="00000000">
        <w:rPr>
          <w:rtl w:val="0"/>
        </w:rPr>
        <w:t xml:space="preserve">Overview &amp; Context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This document outlines the end-to-end user experience for technical stakeholders performing bulk data operations within an enterprise environment.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Scenario</w:t>
      </w:r>
      <w:r w:rsidDel="00000000" w:rsidR="00000000" w:rsidRPr="00000000">
        <w:rPr>
          <w:rtl w:val="0"/>
        </w:rPr>
        <w:t xml:space="preserve">: Importing legacy spreadsheet data (e.g., CSV/XLSX user/asset records) into ServiceNow / Enterprise System using Data Sources, Import Sets, and Transform Maps.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Research Basis</w:t>
      </w:r>
      <w:r w:rsidDel="00000000" w:rsidR="00000000" w:rsidRPr="00000000">
        <w:rPr>
          <w:rtl w:val="0"/>
        </w:rPr>
        <w:t xml:space="preserve">: Best practices for ServiceNow data integration, system administration workflows, and user feedback from data analysts and system admins.</w:t>
      </w:r>
    </w:p>
    <w:p w:rsidR="00000000" w:rsidDel="00000000" w:rsidP="00000000" w:rsidRDefault="00000000" w:rsidRPr="00000000" w14:paraId="00000007">
      <w:pPr>
        <w:pStyle w:val="Heading1"/>
        <w:rPr/>
      </w:pPr>
      <w:bookmarkStart w:colFirst="0" w:colLast="0" w:name="_1xyix2lkjhpm" w:id="2"/>
      <w:bookmarkEnd w:id="2"/>
      <w:r w:rsidDel="00000000" w:rsidR="00000000" w:rsidRPr="00000000">
        <w:rPr>
          <w:rtl w:val="0"/>
        </w:rPr>
        <w:t xml:space="preserve">1. Journey Stages Framework</w:t>
      </w:r>
    </w:p>
    <w:tbl>
      <w:tblPr>
        <w:tblStyle w:val="Table1"/>
        <w:tblW w:w="24500.0" w:type="dxa"/>
        <w:jc w:val="left"/>
        <w:tblBorders>
          <w:top w:color="cfd8dc" w:space="0" w:sz="8" w:val="single"/>
          <w:left w:color="000000" w:space="0" w:sz="0" w:val="nil"/>
          <w:bottom w:color="cfd8dc" w:space="0" w:sz="8" w:val="single"/>
          <w:right w:color="000000" w:space="0" w:sz="0" w:val="nil"/>
          <w:insideH w:color="eceff1" w:space="0" w:sz="8" w:val="single"/>
          <w:insideV w:color="eceff1" w:space="0" w:sz="8" w:val="single"/>
        </w:tblBorders>
        <w:tblLayout w:type="fixed"/>
        <w:tblLook w:val="0620"/>
      </w:tblPr>
      <w:tblGrid>
        <w:gridCol w:w="3500"/>
        <w:gridCol w:w="3500"/>
        <w:gridCol w:w="3500"/>
        <w:gridCol w:w="3500"/>
        <w:gridCol w:w="3500"/>
        <w:gridCol w:w="3500"/>
        <w:gridCol w:w="3500"/>
        <w:tblGridChange w:id="0">
          <w:tblGrid>
            <w:gridCol w:w="3500"/>
            <w:gridCol w:w="3500"/>
            <w:gridCol w:w="3500"/>
            <w:gridCol w:w="3500"/>
            <w:gridCol w:w="3500"/>
            <w:gridCol w:w="3500"/>
            <w:gridCol w:w="3500"/>
          </w:tblGrid>
        </w:tblGridChange>
      </w:tblGrid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Journey Stage</w:t>
            </w:r>
          </w:p>
        </w:tc>
        <w:tc>
          <w:tcPr/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  <w:t xml:space="preserve">Objective</w:t>
            </w:r>
          </w:p>
        </w:tc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User Actions &amp; Steps</w:t>
            </w:r>
          </w:p>
        </w:tc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Touchpoints &amp; Tools</w:t>
            </w:r>
          </w:p>
        </w:tc>
        <w:tc>
          <w:tcPr/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  <w:t xml:space="preserve">Positive Experiences</w:t>
            </w:r>
          </w:p>
        </w:tc>
        <w:tc>
          <w:tcPr/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Pain Points / Negative Aspects</w:t>
            </w:r>
          </w:p>
        </w:tc>
        <w:tc>
          <w:tcPr/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Area of Responsibility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1. Entice (Preparation &amp; Setup)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Identify data import requirements and prepare raw spreadsheet files.</w:t>
            </w:r>
          </w:p>
        </w:tc>
        <w:tc>
          <w:tcPr/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* Define target tables and fields. * Clean spreadsheet data (headers, formats, nulls). * Download data template.</w:t>
            </w:r>
          </w:p>
        </w:tc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* MS Excel / Google Sheets * Data Dictionary * System Admin Console</w:t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Clear data structure guidelines and available templates.</w:t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Inconsistent data formatting, missing required columns, messy legacy data.</w:t>
            </w:r>
          </w:p>
        </w:tc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Data Analyst / Business Lead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2. Enter (Staging &amp; Data Source Configuration)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Load raw spreadsheet into the staging table (Import Set).</w:t>
            </w:r>
          </w:p>
        </w:tc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* Navigate to System Import Sets. * Create new Data Source. * Upload spreadsheet file and test connection.</w:t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* ServiceNow Data Sources module * Import Set Table * File Uploader</w:t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Fast upload speed and automatic staging table schema creation.</w:t>
            </w:r>
          </w:p>
        </w:tc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Upload limits, incorrect encoding, file format mismatch errors.</w:t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System Administrator / Integration Developer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3. Engage (Transform Map Creation &amp; Field Mapping)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Create Transform Map and map staging columns to target fields.</w:t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* Create new Transform Map. * Define Target Table. * Run 'Auto Map Matching Fields' or manually map fields. * Set Coalesce fields (unique identifiers).</w:t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* Transform Map Editor * Field Maps List * Coalesce Settings</w:t>
            </w:r>
          </w:p>
        </w:tc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Auto-mapping handles exact header matches seamlessly.</w:t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Mapping complex fields (Reference, Choice list conversions), missing script logic.</w:t>
            </w:r>
          </w:p>
        </w:tc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Integration Developer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4. Exit (Transform Execution &amp; Validation)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Run transformation and import data into target table.</w:t>
            </w:r>
          </w:p>
        </w:tc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* Execute Transform. * Monitor Import Log and Progress bar. * Validate inserted/updated records in target table.</w:t>
            </w:r>
          </w:p>
        </w:tc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* Transform Execution Page * Import Set Run Logs * Target Table List View</w:t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High-speed processing, clear completion status and record counts.</w:t>
            </w:r>
          </w:p>
        </w:tc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Transformation errors, duplicate creation if coalesce isn't configured properly.</w:t>
            </w:r>
          </w:p>
        </w:tc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System Administrator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5. Extend (Post-Import Maintenance &amp; Automation)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Review logs, handle errors, and schedule recurring imports.</w:t>
            </w:r>
          </w:p>
        </w:tc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* Check error logs for failed rows. * Correct data and re-run transform for failed items. * Schedule automated recurring import jobs.</w:t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* Import Log Viewer * Scheduled Data Sources * Email Notifications</w:t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Easy re-running of failed rows, automation capabilities for future imports.</w:t>
            </w:r>
          </w:p>
        </w:tc>
        <w:tc>
          <w:tcPr/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Hard-to-decode error messages, manual data cleanup needed for rejected records.</w:t>
            </w:r>
          </w:p>
        </w:tc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System Administrator / Operations</w:t>
            </w:r>
          </w:p>
        </w:tc>
      </w:tr>
    </w:tbl>
    <w:p w:rsidR="00000000" w:rsidDel="00000000" w:rsidP="00000000" w:rsidRDefault="00000000" w:rsidRPr="00000000" w14:paraId="00000032">
      <w:pPr>
        <w:pStyle w:val="Heading1"/>
        <w:rPr/>
      </w:pPr>
      <w:bookmarkStart w:colFirst="0" w:colLast="0" w:name="_82xtaivgm4pf" w:id="3"/>
      <w:bookmarkEnd w:id="3"/>
      <w:r w:rsidDel="00000000" w:rsidR="00000000" w:rsidRPr="00000000">
        <w:rPr>
          <w:rtl w:val="0"/>
        </w:rPr>
        <w:t xml:space="preserve">2. Key Takeaways &amp; Recommendations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To ensure a seamless data migration and minimize system overhead, the following best practices should be implemented by the </w:t>
      </w:r>
      <w:r w:rsidDel="00000000" w:rsidR="00000000" w:rsidRPr="00000000">
        <w:rPr>
          <w:color w:val="000000"/>
          <w:rtl w:val="0"/>
        </w:rPr>
        <w:t xml:space="preserve">Person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Always set Coalesce fields</w:t>
      </w:r>
      <w:r w:rsidDel="00000000" w:rsidR="00000000" w:rsidRPr="00000000">
        <w:rPr>
          <w:rtl w:val="0"/>
        </w:rPr>
        <w:t xml:space="preserve">: Prevents duplicate records by matching unique identifiers (e.g., Email, Sys ID, Serial Number) during import.</w:t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Pre-clean Spreadsheet Data</w:t>
      </w:r>
      <w:r w:rsidDel="00000000" w:rsidR="00000000" w:rsidRPr="00000000">
        <w:rPr>
          <w:rtl w:val="0"/>
        </w:rPr>
        <w:t xml:space="preserve">: Cleaning date formats, choice fields, and mandatory values before upload prevents script errors during transformation.</w:t>
      </w:r>
    </w:p>
    <w:p w:rsidR="00000000" w:rsidDel="00000000" w:rsidP="00000000" w:rsidRDefault="00000000" w:rsidRPr="00000000" w14:paraId="00000037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Use Transform Scripts for Complex Logic</w:t>
      </w:r>
      <w:r w:rsidDel="00000000" w:rsidR="00000000" w:rsidRPr="00000000">
        <w:rPr>
          <w:rtl w:val="0"/>
        </w:rPr>
        <w:t xml:space="preserve">: Implement OnBefore or OnAfter scripts for field transformations that require dynamic lookups or custom business logic.</w:t>
      </w:r>
    </w:p>
    <w:p w:rsidR="00000000" w:rsidDel="00000000" w:rsidP="00000000" w:rsidRDefault="00000000" w:rsidRPr="00000000" w14:paraId="00000038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Review Transformation Logs</w:t>
      </w:r>
      <w:r w:rsidDel="00000000" w:rsidR="00000000" w:rsidRPr="00000000">
        <w:rPr>
          <w:rtl w:val="0"/>
        </w:rPr>
        <w:t xml:space="preserve">: Always verify the "Error" and "Ignored" counts in the Import Set Row table before confirming the project as complete on </w:t>
      </w:r>
      <w:r w:rsidDel="00000000" w:rsidR="00000000" w:rsidRPr="00000000">
        <w:rPr>
          <w:color w:val="000000"/>
          <w:rtl w:val="0"/>
        </w:rPr>
        <w:t xml:space="preserve">Date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For further technical documentation, please refer to the internal architectural guidelines: </w:t>
      </w:r>
      <w:r w:rsidDel="00000000" w:rsidR="00000000" w:rsidRPr="00000000">
        <w:rPr>
          <w:rtl w:val="0"/>
        </w:rPr>
        <w:t xml:space="preserve">File</w:t>
      </w:r>
      <w:r w:rsidDel="00000000" w:rsidR="00000000" w:rsidRPr="00000000">
        <w:rPr>
          <w:rtl w:val="0"/>
        </w:rPr>
        <w:t xml:space="preserve">.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Int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Montserrat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Inter" w:cs="Inter" w:eastAsia="Inter" w:hAnsi="Inter"/>
        <w:color w:val="333333"/>
        <w:sz w:val="24"/>
        <w:szCs w:val="24"/>
        <w:lang w:val="en"/>
      </w:rPr>
    </w:rPrDefault>
    <w:pPrDefault>
      <w:pPr>
        <w:spacing w:line="3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="288" w:lineRule="auto"/>
    </w:pPr>
    <w:rPr>
      <w:rFonts w:ascii="Montserrat" w:cs="Montserrat" w:eastAsia="Montserrat" w:hAnsi="Montserrat"/>
      <w:b w:val="1"/>
      <w:bCs w:val="1"/>
      <w:i w:val="0"/>
      <w:iCs w:val="0"/>
      <w:color w:val="263238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="288" w:lineRule="auto"/>
    </w:pPr>
    <w:rPr>
      <w:rFonts w:ascii="Montserrat" w:cs="Montserrat" w:eastAsia="Montserrat" w:hAnsi="Montserrat"/>
      <w:b w:val="1"/>
      <w:bCs w:val="1"/>
      <w:i w:val="0"/>
      <w:iCs w:val="0"/>
      <w:color w:val="455a64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="288" w:lineRule="auto"/>
    </w:pPr>
    <w:rPr>
      <w:rFonts w:ascii="Montserrat" w:cs="Montserrat" w:eastAsia="Montserrat" w:hAnsi="Montserrat"/>
      <w:b w:val="1"/>
      <w:bCs w:val="1"/>
      <w:i w:val="0"/>
      <w:iCs w:val="0"/>
      <w:color w:val="546e7a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="240" w:lineRule="auto"/>
    </w:pPr>
    <w:rPr>
      <w:rFonts w:ascii="Montserrat" w:cs="Montserrat" w:eastAsia="Montserrat" w:hAnsi="Montserrat"/>
      <w:b w:val="1"/>
      <w:bCs w:val="1"/>
      <w:i w:val="0"/>
      <w:iCs w:val="0"/>
      <w:color w:val="263238"/>
      <w:sz w:val="44"/>
      <w:szCs w:val="44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="288" w:lineRule="auto"/>
    </w:pPr>
    <w:rPr>
      <w:rFonts w:ascii="Inter" w:cs="Inter" w:eastAsia="Inter" w:hAnsi="Inter"/>
      <w:b w:val="0"/>
      <w:bCs w:val="0"/>
      <w:i w:val="1"/>
      <w:iCs w:val="1"/>
      <w:color w:val="607d8b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160.0" w:type="dxa"/>
        <w:left w:w="160.0" w:type="dxa"/>
        <w:bottom w:w="160.0" w:type="dxa"/>
        <w:right w:w="160.0" w:type="dxa"/>
      </w:tblCellMar>
    </w:tblPr>
    <w:tcPr>
      <w:shd w:fill="ffffff" w:val="clear"/>
      <w:vAlign w:val="top"/>
    </w:tcPr>
    <w:tblStylePr w:type="firstRow">
      <w:rPr>
        <w:rFonts w:ascii="Montserrat" w:cs="Montserrat" w:eastAsia="Montserrat" w:hAnsi="Montserrat"/>
        <w:b w:val="1"/>
        <w:bCs w:val="1"/>
        <w:i w:val="0"/>
        <w:iCs w:val="0"/>
        <w:color w:val="263238"/>
        <w:sz w:val="22"/>
        <w:szCs w:val="22"/>
      </w:rPr>
      <w:tcPr>
        <w:shd w:fill="f5f7f8" w:val="clear"/>
        <w:vAlign w:val="center"/>
      </w:tcPr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Inter-regular.ttf"/><Relationship Id="rId2" Type="http://schemas.openxmlformats.org/officeDocument/2006/relationships/font" Target="fonts/Inter-bold.ttf"/><Relationship Id="rId3" Type="http://schemas.openxmlformats.org/officeDocument/2006/relationships/font" Target="fonts/Inter-italic.ttf"/><Relationship Id="rId4" Type="http://schemas.openxmlformats.org/officeDocument/2006/relationships/font" Target="fonts/Inter-boldItalic.ttf"/><Relationship Id="rId5" Type="http://schemas.openxmlformats.org/officeDocument/2006/relationships/font" Target="fonts/Montserrat-regular.ttf"/><Relationship Id="rId6" Type="http://schemas.openxmlformats.org/officeDocument/2006/relationships/font" Target="fonts/Montserrat-bold.ttf"/><Relationship Id="rId7" Type="http://schemas.openxmlformats.org/officeDocument/2006/relationships/font" Target="fonts/Montserrat-italic.ttf"/><Relationship Id="rId8" Type="http://schemas.openxmlformats.org/officeDocument/2006/relationships/font" Target="fonts/Montserra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