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rcef9j0gxt1" w:id="0"/>
      <w:bookmarkEnd w:id="0"/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bfx6og7i3az" w:id="1"/>
      <w:bookmarkEnd w:id="1"/>
      <w:r w:rsidDel="00000000" w:rsidR="00000000" w:rsidRPr="00000000">
        <w:rPr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1v4t9syb0ze" w:id="2"/>
      <w:bookmarkEnd w:id="2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1: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Data Source / Import Set Form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Transform Map / Field Maps Console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 Log Viewer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2: Staging &amp; Mapping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 Set Table (sys_import_set)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Transform Map Engine (sys_transform_map)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Field Mapping Rules (sys_transform_entry)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3: Server-Side Processing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OnBefore / OnAfter Transform Scripts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Coalesce Field Engine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GlideRecord &amp; GlideElement API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4: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ServiceNow Cloud Instance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Personal Developer Instance (PDI)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5: Data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Target Tables (sys_user, alm_asset, incident)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Staging Tables (u_imp_*)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sys_import_set_run / sys_import_set_row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6: External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Attachment / FTP / MID Server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REST / SOAP Integration Endpoints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36c7n9qx1xno" w:id="3"/>
      <w:bookmarkEnd w:id="3"/>
      <w:r w:rsidDel="00000000" w:rsidR="00000000" w:rsidRPr="00000000">
        <w:rPr>
          <w:rtl w:val="0"/>
        </w:rPr>
        <w:t xml:space="preserve">Technical Documentation — Technology Stack &amp; Application Characteristics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7t4ni8tddbu" w:id="4"/>
      <w:bookmarkEnd w:id="4"/>
      <w:r w:rsidDel="00000000" w:rsidR="00000000" w:rsidRPr="00000000">
        <w:rPr>
          <w:rtl w:val="0"/>
        </w:rPr>
        <w:t xml:space="preserve">Table-1: Technology Stack Components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 Staging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Import Set Table Staging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ServiceNow Import Set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Transform Map Field Mapping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ServiceNow Transform Map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OnBefore / OnAfter Scripts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JavaScript / GlideRecord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Coalesce Matching Rules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Unique Key Matching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Target Tables (sys_user, alm_asset)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MySQL / ServiceNow 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sys_transform_map, sys_transform_entry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ServiceNow Cloud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Raw Spreadsheet File Attachment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sys_attachment / Cloud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Email Notifications / Logs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Automated Data Import Feed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REST / SOAP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Predictive Field Mapping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ServiceNow AI / Predictive Intelligence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ServiceNow Cloud PDI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Web Browser / ServiceNow Platform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yo3kkcxck1m" w:id="5"/>
      <w:bookmarkEnd w:id="5"/>
      <w:r w:rsidDel="00000000" w:rsidR="00000000" w:rsidRPr="00000000">
        <w:rPr>
          <w:rtl w:val="0"/>
        </w:rPr>
        <w:t xml:space="preserve">Table-2: Application Characteristics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Utilizes open-source libraries and frameworks for extensibility; supports community-driven integrations and modular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 (RBAC), encrypted data transmission via HTTPS, audit logging, and input validation to ensure data protection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Designed with modular microservices approach; supports horizontal scaling and load balancing for growing user demand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99.9% uptime target with redundant cloud infrastructure and automated failover mechanisms for continuous service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1.2"/>
      <w:szCs w:val="31.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