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E95EF" w14:textId="77777777" w:rsidR="001C15C6" w:rsidRDefault="00000000">
      <w:pPr>
        <w:pStyle w:val="Heading1"/>
        <w:spacing w:before="0" w:after="120" w:line="275" w:lineRule="auto"/>
        <w:rPr>
          <w:rFonts w:ascii="Google Sans" w:eastAsia="Google Sans" w:hAnsi="Google Sans" w:cs="Google Sans"/>
          <w:color w:val="1F1F1F"/>
        </w:rPr>
      </w:pPr>
      <w:r>
        <w:rPr>
          <w:rFonts w:ascii="Google Sans" w:eastAsia="Google Sans" w:hAnsi="Google Sans" w:cs="Google Sans"/>
          <w:color w:val="1F1F1F"/>
        </w:rPr>
        <w:t>Project Design Phase</w:t>
      </w:r>
    </w:p>
    <w:tbl>
      <w:tblPr>
        <w:tblpPr w:leftFromText="180" w:rightFromText="180" w:vertAnchor="page" w:horzAnchor="margin" w:tblpY="3436"/>
        <w:tblW w:w="9850" w:type="dxa"/>
        <w:tblCellMar>
          <w:top w:w="15" w:type="dxa"/>
          <w:left w:w="15" w:type="dxa"/>
          <w:bottom w:w="15" w:type="dxa"/>
          <w:right w:w="15" w:type="dxa"/>
        </w:tblCellMar>
        <w:tblLook w:val="04A0" w:firstRow="1" w:lastRow="0" w:firstColumn="1" w:lastColumn="0" w:noHBand="0" w:noVBand="1"/>
      </w:tblPr>
      <w:tblGrid>
        <w:gridCol w:w="2503"/>
        <w:gridCol w:w="7347"/>
      </w:tblGrid>
      <w:tr w:rsidR="001C15C6" w:rsidRPr="00491CA6" w14:paraId="0676FA14" w14:textId="77777777" w:rsidTr="005466D7">
        <w:trPr>
          <w:trHeight w:val="69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3ADCE6" w14:textId="77777777" w:rsidR="001C15C6" w:rsidRPr="00491CA6" w:rsidRDefault="001C15C6" w:rsidP="005466D7">
            <w:pPr>
              <w:spacing w:after="240"/>
              <w:rPr>
                <w:bCs/>
                <w:color w:val="000000" w:themeColor="text1"/>
                <w:sz w:val="32"/>
              </w:rPr>
            </w:pPr>
            <w:r w:rsidRPr="00491CA6">
              <w:rPr>
                <w:bCs/>
                <w:color w:val="000000" w:themeColor="text1"/>
                <w:sz w:val="32"/>
              </w:rPr>
              <w:t>Date</w:t>
            </w:r>
          </w:p>
        </w:tc>
        <w:tc>
          <w:tcPr>
            <w:tcW w:w="7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392CC3" w14:textId="77777777" w:rsidR="001C15C6" w:rsidRPr="00491CA6" w:rsidRDefault="001C15C6" w:rsidP="005466D7">
            <w:pPr>
              <w:spacing w:after="240"/>
              <w:rPr>
                <w:bCs/>
                <w:color w:val="000000" w:themeColor="text1"/>
                <w:sz w:val="32"/>
              </w:rPr>
            </w:pPr>
            <w:r w:rsidRPr="00491CA6">
              <w:rPr>
                <w:bCs/>
                <w:color w:val="000000" w:themeColor="text1"/>
                <w:sz w:val="32"/>
              </w:rPr>
              <w:t>3</w:t>
            </w:r>
            <w:r>
              <w:rPr>
                <w:bCs/>
                <w:color w:val="000000" w:themeColor="text1"/>
                <w:sz w:val="32"/>
              </w:rPr>
              <w:t>0</w:t>
            </w:r>
            <w:r w:rsidRPr="00491CA6">
              <w:rPr>
                <w:bCs/>
                <w:color w:val="000000" w:themeColor="text1"/>
                <w:sz w:val="32"/>
              </w:rPr>
              <w:t xml:space="preserve"> </w:t>
            </w:r>
            <w:r>
              <w:rPr>
                <w:bCs/>
                <w:color w:val="000000" w:themeColor="text1"/>
                <w:sz w:val="32"/>
              </w:rPr>
              <w:t>SEPTEMBER</w:t>
            </w:r>
            <w:r w:rsidRPr="00491CA6">
              <w:rPr>
                <w:bCs/>
                <w:color w:val="000000" w:themeColor="text1"/>
                <w:sz w:val="32"/>
              </w:rPr>
              <w:t xml:space="preserve"> 202</w:t>
            </w:r>
            <w:r>
              <w:rPr>
                <w:bCs/>
                <w:color w:val="000000" w:themeColor="text1"/>
                <w:sz w:val="32"/>
              </w:rPr>
              <w:t>6</w:t>
            </w:r>
          </w:p>
        </w:tc>
      </w:tr>
      <w:tr w:rsidR="001C15C6" w:rsidRPr="00491CA6" w14:paraId="30684D3D" w14:textId="77777777" w:rsidTr="005466D7">
        <w:trPr>
          <w:trHeight w:val="68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647E73" w14:textId="77777777" w:rsidR="001C15C6" w:rsidRPr="00491CA6" w:rsidRDefault="001C15C6" w:rsidP="005466D7">
            <w:pPr>
              <w:spacing w:after="240"/>
              <w:rPr>
                <w:bCs/>
                <w:color w:val="000000" w:themeColor="text1"/>
                <w:sz w:val="32"/>
              </w:rPr>
            </w:pPr>
            <w:r w:rsidRPr="00491CA6">
              <w:rPr>
                <w:bCs/>
                <w:color w:val="000000" w:themeColor="text1"/>
                <w:sz w:val="32"/>
              </w:rPr>
              <w:t>Team ID</w:t>
            </w:r>
          </w:p>
        </w:tc>
        <w:tc>
          <w:tcPr>
            <w:tcW w:w="7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53C98F" w14:textId="5E029C6B" w:rsidR="001C15C6" w:rsidRPr="00491CA6" w:rsidRDefault="00F84BBE" w:rsidP="005466D7">
            <w:pPr>
              <w:spacing w:after="240"/>
              <w:rPr>
                <w:bCs/>
                <w:color w:val="000000" w:themeColor="text1"/>
                <w:sz w:val="32"/>
              </w:rPr>
            </w:pPr>
            <w:r w:rsidRPr="00F84BBE">
              <w:rPr>
                <w:bCs/>
                <w:color w:val="000000" w:themeColor="text1"/>
                <w:sz w:val="32"/>
              </w:rPr>
              <w:t>6ab277cdba33564c8ba151a5</w:t>
            </w:r>
          </w:p>
        </w:tc>
      </w:tr>
      <w:tr w:rsidR="001C15C6" w:rsidRPr="00491CA6" w14:paraId="1A7C6CC4" w14:textId="77777777" w:rsidTr="005466D7">
        <w:trPr>
          <w:trHeight w:val="69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67F248" w14:textId="77777777" w:rsidR="001C15C6" w:rsidRPr="00491CA6" w:rsidRDefault="001C15C6" w:rsidP="005466D7">
            <w:pPr>
              <w:spacing w:after="240"/>
              <w:rPr>
                <w:bCs/>
                <w:color w:val="000000" w:themeColor="text1"/>
                <w:sz w:val="32"/>
              </w:rPr>
            </w:pPr>
            <w:r w:rsidRPr="00491CA6">
              <w:rPr>
                <w:bCs/>
                <w:color w:val="000000" w:themeColor="text1"/>
                <w:sz w:val="32"/>
              </w:rPr>
              <w:t>Project Name</w:t>
            </w:r>
          </w:p>
        </w:tc>
        <w:tc>
          <w:tcPr>
            <w:tcW w:w="7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C674D2" w14:textId="77777777" w:rsidR="001C15C6" w:rsidRPr="00491CA6" w:rsidRDefault="001C15C6" w:rsidP="005466D7">
            <w:pPr>
              <w:spacing w:after="240"/>
              <w:rPr>
                <w:b/>
                <w:bCs/>
                <w:color w:val="000000" w:themeColor="text1"/>
                <w:sz w:val="32"/>
              </w:rPr>
            </w:pPr>
            <w:r w:rsidRPr="00491CA6">
              <w:rPr>
                <w:b/>
                <w:bCs/>
                <w:color w:val="000000" w:themeColor="text1"/>
                <w:sz w:val="32"/>
              </w:rPr>
              <w:t>Import Data using Transform Maps (Spreadsheet)</w:t>
            </w:r>
          </w:p>
        </w:tc>
      </w:tr>
      <w:tr w:rsidR="001C15C6" w:rsidRPr="00491CA6" w14:paraId="63D528E6" w14:textId="77777777" w:rsidTr="005466D7">
        <w:trPr>
          <w:trHeight w:val="68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6551D4" w14:textId="77777777" w:rsidR="001C15C6" w:rsidRPr="00491CA6" w:rsidRDefault="001C15C6" w:rsidP="005466D7">
            <w:pPr>
              <w:spacing w:after="240"/>
              <w:rPr>
                <w:bCs/>
                <w:color w:val="000000" w:themeColor="text1"/>
                <w:sz w:val="32"/>
              </w:rPr>
            </w:pPr>
            <w:r w:rsidRPr="00491CA6">
              <w:rPr>
                <w:bCs/>
                <w:color w:val="000000" w:themeColor="text1"/>
                <w:sz w:val="32"/>
              </w:rPr>
              <w:t>Maximum Marks</w:t>
            </w:r>
          </w:p>
        </w:tc>
        <w:tc>
          <w:tcPr>
            <w:tcW w:w="7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00F573" w14:textId="77777777" w:rsidR="001C15C6" w:rsidRPr="00491CA6" w:rsidRDefault="001C15C6" w:rsidP="005466D7">
            <w:pPr>
              <w:spacing w:after="240"/>
              <w:rPr>
                <w:bCs/>
                <w:color w:val="000000" w:themeColor="text1"/>
                <w:sz w:val="32"/>
              </w:rPr>
            </w:pPr>
            <w:r w:rsidRPr="00491CA6">
              <w:rPr>
                <w:bCs/>
                <w:color w:val="000000" w:themeColor="text1"/>
                <w:sz w:val="32"/>
              </w:rPr>
              <w:t>4 Marks</w:t>
            </w:r>
          </w:p>
        </w:tc>
      </w:tr>
    </w:tbl>
    <w:p w14:paraId="00000001" w14:textId="1D4BC76E" w:rsidR="00511EF9" w:rsidRDefault="00511EF9">
      <w:pPr>
        <w:pStyle w:val="Heading1"/>
        <w:spacing w:before="0" w:after="120" w:line="275" w:lineRule="auto"/>
        <w:rPr>
          <w:rFonts w:ascii="Google Sans" w:eastAsia="Google Sans" w:hAnsi="Google Sans" w:cs="Google Sans"/>
          <w:color w:val="1F1F1F"/>
        </w:rPr>
      </w:pPr>
    </w:p>
    <w:p w14:paraId="00000002" w14:textId="77777777" w:rsidR="00511EF9" w:rsidRDefault="0000000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Module 2: Proposed Solution</w:t>
      </w:r>
    </w:p>
    <w:p w14:paraId="00000003" w14:textId="77777777" w:rsidR="00511EF9" w:rsidRDefault="00000000">
      <w:pPr>
        <w:pBdr>
          <w:top w:val="nil"/>
          <w:left w:val="nil"/>
          <w:bottom w:val="nil"/>
          <w:right w:val="nil"/>
          <w:between w:val="nil"/>
        </w:pBdr>
        <w:spacing w:after="187" w:line="275" w:lineRule="auto"/>
        <w:rPr>
          <w:rFonts w:ascii="Google Sans" w:eastAsia="Google Sans" w:hAnsi="Google Sans" w:cs="Google Sans"/>
          <w:color w:val="1F1F1F"/>
        </w:rPr>
      </w:pPr>
      <w:r>
        <w:rPr>
          <w:rFonts w:ascii="Google Sans" w:eastAsia="Google Sans" w:hAnsi="Google Sans" w:cs="Google Sans"/>
          <w:b/>
          <w:bCs/>
          <w:color w:val="1F1F1F"/>
        </w:rPr>
        <w:t>Project Name:</w:t>
      </w:r>
      <w:r>
        <w:rPr>
          <w:rFonts w:ascii="Google Sans" w:eastAsia="Google Sans" w:hAnsi="Google Sans" w:cs="Google Sans"/>
          <w:color w:val="1F1F1F"/>
        </w:rPr>
        <w:t xml:space="preserve"> Import Data Using Transform Maps (Spreadsheet)</w:t>
      </w:r>
    </w:p>
    <w:p w14:paraId="00000004" w14:textId="77777777" w:rsidR="00511EF9"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1. Executive Summary</w:t>
      </w:r>
    </w:p>
    <w:p w14:paraId="00000005" w14:textId="77777777" w:rsidR="00511EF9" w:rsidRDefault="00000000">
      <w:pPr>
        <w:pBdr>
          <w:top w:val="nil"/>
          <w:left w:val="nil"/>
          <w:bottom w:val="nil"/>
          <w:right w:val="nil"/>
          <w:between w:val="nil"/>
        </w:pBdr>
        <w:spacing w:after="187" w:line="275" w:lineRule="auto"/>
        <w:rPr>
          <w:rFonts w:ascii="Google Sans" w:eastAsia="Google Sans" w:hAnsi="Google Sans" w:cs="Google Sans"/>
          <w:color w:val="1F1F1F"/>
        </w:rPr>
      </w:pPr>
      <w:r>
        <w:rPr>
          <w:rFonts w:ascii="Google Sans" w:eastAsia="Google Sans" w:hAnsi="Google Sans" w:cs="Google Sans"/>
          <w:color w:val="1F1F1F"/>
        </w:rPr>
        <w:t xml:space="preserve">The proposed solution introduces an automated, scalable, and reliable data ingestion system leveraging an </w:t>
      </w:r>
      <w:r>
        <w:rPr>
          <w:rFonts w:ascii="Google Sans" w:eastAsia="Google Sans" w:hAnsi="Google Sans" w:cs="Google Sans"/>
          <w:b/>
          <w:bCs/>
          <w:color w:val="1F1F1F"/>
        </w:rPr>
        <w:t>Import Set and Transform Map Engine</w:t>
      </w:r>
      <w:r>
        <w:rPr>
          <w:rFonts w:ascii="Google Sans" w:eastAsia="Google Sans" w:hAnsi="Google Sans" w:cs="Google Sans"/>
          <w:color w:val="1F1F1F"/>
        </w:rPr>
        <w:t>. This solution eliminates the manual effort and error-prone nature of re-keying spreadsheet records into centralized target database tables. By staging incoming spreadsheet files (.xlsx or .csv) in an intermediate layer before applying strict transform mapping rules, the system ensures high data accuracy, automated record deduplication, and full operational traceability.</w:t>
      </w:r>
    </w:p>
    <w:p w14:paraId="00000006" w14:textId="77777777" w:rsidR="00511EF9"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2. Core Features &amp; System Capabilities</w:t>
      </w:r>
    </w:p>
    <w:p w14:paraId="00000007" w14:textId="77777777" w:rsidR="00511EF9"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Automated Spreadsheet File Parsing:</w:t>
      </w:r>
      <w:r>
        <w:rPr>
          <w:color w:val="000000"/>
        </w:rPr>
        <w:br/>
      </w:r>
      <w:r>
        <w:rPr>
          <w:rFonts w:ascii="Google Sans" w:eastAsia="Google Sans" w:hAnsi="Google Sans" w:cs="Google Sans"/>
          <w:color w:val="1F1F1F"/>
        </w:rPr>
        <w:t>Supports uploading standard Microsoft Excel (.xlsx) and Comma-Separated Values (.csv) formats. The engine automatically parses headers and creates corresponding fields in a temporary staging area.</w:t>
      </w:r>
    </w:p>
    <w:p w14:paraId="00000008" w14:textId="77777777" w:rsidR="00511EF9"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Intermediate Staging Layer (Import Set Table):</w:t>
      </w:r>
      <w:r>
        <w:rPr>
          <w:color w:val="000000"/>
        </w:rPr>
        <w:br/>
      </w:r>
      <w:r>
        <w:rPr>
          <w:rFonts w:ascii="Google Sans" w:eastAsia="Google Sans" w:hAnsi="Google Sans" w:cs="Google Sans"/>
          <w:color w:val="1F1F1F"/>
        </w:rPr>
        <w:t>Acts as an isolated sandbox holding uploaded raw data before committing to production tables. This prevents bad, incomplete, or corrupted records from affecting target system data.</w:t>
      </w:r>
    </w:p>
    <w:p w14:paraId="00000009" w14:textId="77777777" w:rsidR="00511EF9"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Flexible Field Mapping &amp; Transformation Rules:</w:t>
      </w:r>
    </w:p>
    <w:p w14:paraId="0000000A" w14:textId="77777777" w:rsidR="00511EF9" w:rsidRDefault="00000000">
      <w:pPr>
        <w:numPr>
          <w:ilvl w:val="1"/>
          <w:numId w:val="2"/>
        </w:numPr>
        <w:pBdr>
          <w:top w:val="nil"/>
          <w:left w:val="nil"/>
          <w:bottom w:val="nil"/>
          <w:right w:val="nil"/>
          <w:between w:val="nil"/>
        </w:pBdr>
        <w:spacing w:line="275" w:lineRule="auto"/>
      </w:pPr>
      <w:r>
        <w:rPr>
          <w:rFonts w:ascii="Google Sans" w:eastAsia="Google Sans" w:hAnsi="Google Sans" w:cs="Google Sans"/>
          <w:b/>
          <w:bCs/>
          <w:color w:val="1F1F1F"/>
        </w:rPr>
        <w:t>Auto-Map Matching:</w:t>
      </w:r>
      <w:r>
        <w:rPr>
          <w:rFonts w:ascii="Google Sans" w:eastAsia="Google Sans" w:hAnsi="Google Sans" w:cs="Google Sans"/>
          <w:color w:val="1F1F1F"/>
        </w:rPr>
        <w:t xml:space="preserve"> Automatically matches source spreadsheet column names to </w:t>
      </w:r>
      <w:r>
        <w:rPr>
          <w:rFonts w:ascii="Google Sans" w:eastAsia="Google Sans" w:hAnsi="Google Sans" w:cs="Google Sans"/>
          <w:color w:val="1F1F1F"/>
        </w:rPr>
        <w:lastRenderedPageBreak/>
        <w:t>destination table fields when names match.</w:t>
      </w:r>
    </w:p>
    <w:p w14:paraId="0000000B" w14:textId="77777777" w:rsidR="00511EF9" w:rsidRDefault="00000000">
      <w:pPr>
        <w:numPr>
          <w:ilvl w:val="1"/>
          <w:numId w:val="2"/>
        </w:numPr>
        <w:pBdr>
          <w:top w:val="nil"/>
          <w:left w:val="nil"/>
          <w:bottom w:val="nil"/>
          <w:right w:val="nil"/>
          <w:between w:val="nil"/>
        </w:pBdr>
        <w:spacing w:line="275" w:lineRule="auto"/>
      </w:pPr>
      <w:r>
        <w:rPr>
          <w:rFonts w:ascii="Google Sans" w:eastAsia="Google Sans" w:hAnsi="Google Sans" w:cs="Google Sans"/>
          <w:b/>
          <w:bCs/>
          <w:color w:val="1F1F1F"/>
        </w:rPr>
        <w:t>Mapping Assist:</w:t>
      </w:r>
      <w:r>
        <w:rPr>
          <w:rFonts w:ascii="Google Sans" w:eastAsia="Google Sans" w:hAnsi="Google Sans" w:cs="Google Sans"/>
          <w:color w:val="1F1F1F"/>
        </w:rPr>
        <w:t xml:space="preserve"> Provides a graphical interface to map custom spreadsheet headers to target table fields.</w:t>
      </w:r>
    </w:p>
    <w:p w14:paraId="0000000C" w14:textId="77777777" w:rsidR="00511EF9" w:rsidRDefault="00000000">
      <w:pPr>
        <w:numPr>
          <w:ilvl w:val="1"/>
          <w:numId w:val="2"/>
        </w:numPr>
        <w:pBdr>
          <w:top w:val="nil"/>
          <w:left w:val="nil"/>
          <w:bottom w:val="nil"/>
          <w:right w:val="nil"/>
          <w:between w:val="nil"/>
        </w:pBdr>
        <w:spacing w:line="275" w:lineRule="auto"/>
      </w:pPr>
      <w:r>
        <w:rPr>
          <w:rFonts w:ascii="Google Sans" w:eastAsia="Google Sans" w:hAnsi="Google Sans" w:cs="Google Sans"/>
          <w:b/>
          <w:bCs/>
          <w:color w:val="1F1F1F"/>
        </w:rPr>
        <w:t>Transform Scripts:</w:t>
      </w:r>
      <w:r>
        <w:rPr>
          <w:rFonts w:ascii="Google Sans" w:eastAsia="Google Sans" w:hAnsi="Google Sans" w:cs="Google Sans"/>
          <w:color w:val="1F1F1F"/>
        </w:rPr>
        <w:t xml:space="preserve"> Enables custom JavaScript logic (e.g., onBefore, onAfter) to cleanse, format, or calculate values dynamically during the import process.</w:t>
      </w:r>
    </w:p>
    <w:p w14:paraId="0000000D" w14:textId="77777777" w:rsidR="00511EF9"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Smart Deduplication via Coalesce Fields:</w:t>
      </w:r>
      <w:r>
        <w:rPr>
          <w:color w:val="000000"/>
        </w:rPr>
        <w:br/>
      </w:r>
      <w:r>
        <w:rPr>
          <w:rFonts w:ascii="Google Sans" w:eastAsia="Google Sans" w:hAnsi="Google Sans" w:cs="Google Sans"/>
          <w:color w:val="1F1F1F"/>
        </w:rPr>
        <w:t xml:space="preserve">Allows administrators to set unique identifier fields (such as </w:t>
      </w:r>
      <w:r>
        <w:rPr>
          <w:rFonts w:ascii="Google Sans" w:eastAsia="Google Sans" w:hAnsi="Google Sans" w:cs="Google Sans"/>
          <w:i/>
          <w:iCs/>
          <w:color w:val="1F1F1F"/>
        </w:rPr>
        <w:t>Employee ID</w:t>
      </w:r>
      <w:r>
        <w:rPr>
          <w:rFonts w:ascii="Google Sans" w:eastAsia="Google Sans" w:hAnsi="Google Sans" w:cs="Google Sans"/>
          <w:color w:val="1F1F1F"/>
        </w:rPr>
        <w:t xml:space="preserve">, </w:t>
      </w:r>
      <w:r>
        <w:rPr>
          <w:rFonts w:ascii="Google Sans" w:eastAsia="Google Sans" w:hAnsi="Google Sans" w:cs="Google Sans"/>
          <w:i/>
          <w:iCs/>
          <w:color w:val="1F1F1F"/>
        </w:rPr>
        <w:t>Email</w:t>
      </w:r>
      <w:r>
        <w:rPr>
          <w:rFonts w:ascii="Google Sans" w:eastAsia="Google Sans" w:hAnsi="Google Sans" w:cs="Google Sans"/>
          <w:color w:val="1F1F1F"/>
        </w:rPr>
        <w:t xml:space="preserve">, or </w:t>
      </w:r>
      <w:r>
        <w:rPr>
          <w:rFonts w:ascii="Google Sans" w:eastAsia="Google Sans" w:hAnsi="Google Sans" w:cs="Google Sans"/>
          <w:i/>
          <w:iCs/>
          <w:color w:val="1F1F1F"/>
        </w:rPr>
        <w:t>Asset Number</w:t>
      </w:r>
      <w:r>
        <w:rPr>
          <w:rFonts w:ascii="Google Sans" w:eastAsia="Google Sans" w:hAnsi="Google Sans" w:cs="Google Sans"/>
          <w:color w:val="1F1F1F"/>
        </w:rPr>
        <w:t>) as Coalesce = True.</w:t>
      </w:r>
    </w:p>
    <w:p w14:paraId="0000000E" w14:textId="77777777" w:rsidR="00511EF9" w:rsidRDefault="00000000">
      <w:pPr>
        <w:numPr>
          <w:ilvl w:val="1"/>
          <w:numId w:val="3"/>
        </w:numPr>
        <w:pBdr>
          <w:top w:val="nil"/>
          <w:left w:val="nil"/>
          <w:bottom w:val="nil"/>
          <w:right w:val="nil"/>
          <w:between w:val="nil"/>
        </w:pBdr>
        <w:spacing w:line="275" w:lineRule="auto"/>
      </w:pPr>
      <w:r>
        <w:rPr>
          <w:rFonts w:ascii="Google Sans" w:eastAsia="Google Sans" w:hAnsi="Google Sans" w:cs="Google Sans"/>
          <w:color w:val="1F1F1F"/>
        </w:rPr>
        <w:t xml:space="preserve">If a matching value exists in the target table, the system </w:t>
      </w:r>
      <w:r>
        <w:rPr>
          <w:rFonts w:ascii="Google Sans" w:eastAsia="Google Sans" w:hAnsi="Google Sans" w:cs="Google Sans"/>
          <w:b/>
          <w:bCs/>
          <w:color w:val="1F1F1F"/>
        </w:rPr>
        <w:t>updates</w:t>
      </w:r>
      <w:r>
        <w:rPr>
          <w:rFonts w:ascii="Google Sans" w:eastAsia="Google Sans" w:hAnsi="Google Sans" w:cs="Google Sans"/>
          <w:color w:val="1F1F1F"/>
        </w:rPr>
        <w:t xml:space="preserve"> the existing record.</w:t>
      </w:r>
    </w:p>
    <w:p w14:paraId="0000000F" w14:textId="77777777" w:rsidR="00511EF9" w:rsidRDefault="00000000">
      <w:pPr>
        <w:numPr>
          <w:ilvl w:val="1"/>
          <w:numId w:val="3"/>
        </w:numPr>
        <w:pBdr>
          <w:top w:val="nil"/>
          <w:left w:val="nil"/>
          <w:bottom w:val="nil"/>
          <w:right w:val="nil"/>
          <w:between w:val="nil"/>
        </w:pBdr>
        <w:spacing w:line="275" w:lineRule="auto"/>
      </w:pPr>
      <w:r>
        <w:rPr>
          <w:rFonts w:ascii="Google Sans" w:eastAsia="Google Sans" w:hAnsi="Google Sans" w:cs="Google Sans"/>
          <w:color w:val="1F1F1F"/>
        </w:rPr>
        <w:t xml:space="preserve">If no match exists, a </w:t>
      </w:r>
      <w:r>
        <w:rPr>
          <w:rFonts w:ascii="Google Sans" w:eastAsia="Google Sans" w:hAnsi="Google Sans" w:cs="Google Sans"/>
          <w:b/>
          <w:bCs/>
          <w:color w:val="1F1F1F"/>
        </w:rPr>
        <w:t>new record</w:t>
      </w:r>
      <w:r>
        <w:rPr>
          <w:rFonts w:ascii="Google Sans" w:eastAsia="Google Sans" w:hAnsi="Google Sans" w:cs="Google Sans"/>
          <w:color w:val="1F1F1F"/>
        </w:rPr>
        <w:t xml:space="preserve"> is inserted.</w:t>
      </w:r>
    </w:p>
    <w:p w14:paraId="00000010" w14:textId="77777777" w:rsidR="00511EF9" w:rsidRDefault="00000000">
      <w:pPr>
        <w:numPr>
          <w:ilvl w:val="0"/>
          <w:numId w:val="1"/>
        </w:numPr>
        <w:pBdr>
          <w:top w:val="nil"/>
          <w:left w:val="nil"/>
          <w:bottom w:val="nil"/>
          <w:right w:val="nil"/>
          <w:between w:val="nil"/>
        </w:pBdr>
        <w:spacing w:after="120" w:line="275" w:lineRule="auto"/>
      </w:pPr>
      <w:r>
        <w:rPr>
          <w:rFonts w:ascii="Google Sans" w:eastAsia="Google Sans" w:hAnsi="Google Sans" w:cs="Google Sans"/>
          <w:b/>
          <w:bCs/>
          <w:color w:val="1F1F1F"/>
        </w:rPr>
        <w:t>Auditability &amp; Execution Logging:</w:t>
      </w:r>
      <w:r>
        <w:rPr>
          <w:color w:val="000000"/>
        </w:rPr>
        <w:br/>
      </w:r>
      <w:r>
        <w:rPr>
          <w:rFonts w:ascii="Google Sans" w:eastAsia="Google Sans" w:hAnsi="Google Sans" w:cs="Google Sans"/>
          <w:color w:val="1F1F1F"/>
        </w:rPr>
        <w:t>Generates comprehensive import set logs detailing inserted rows, updated rows, ignored rows, and error records for instant troubleshooting.</w:t>
      </w:r>
    </w:p>
    <w:p w14:paraId="00000011" w14:textId="77777777" w:rsidR="00511EF9"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3. Proposed End-to-End Workflow</w:t>
      </w:r>
    </w:p>
    <w:p w14:paraId="00000012" w14:textId="77777777" w:rsidR="00511EF9"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t>Source File Upload:</w:t>
      </w:r>
      <w:r>
        <w:rPr>
          <w:color w:val="000000"/>
        </w:rPr>
        <w:br/>
      </w:r>
      <w:r>
        <w:rPr>
          <w:rFonts w:ascii="Google Sans" w:eastAsia="Google Sans" w:hAnsi="Google Sans" w:cs="Google Sans"/>
          <w:color w:val="1F1F1F"/>
        </w:rPr>
        <w:t>The user or system administrator uploads the source spreadsheet containing bulk data.</w:t>
      </w:r>
    </w:p>
    <w:p w14:paraId="00000013" w14:textId="77777777" w:rsidR="00511EF9"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t>Import Set Generation:</w:t>
      </w:r>
      <w:r>
        <w:rPr>
          <w:color w:val="000000"/>
        </w:rPr>
        <w:br/>
      </w:r>
      <w:r>
        <w:rPr>
          <w:rFonts w:ascii="Google Sans" w:eastAsia="Google Sans" w:hAnsi="Google Sans" w:cs="Google Sans"/>
          <w:color w:val="1F1F1F"/>
        </w:rPr>
        <w:t>The platform creates an intermediate Import Set Table (staging table) and populates it with raw spreadsheet data.</w:t>
      </w:r>
    </w:p>
    <w:p w14:paraId="00000014" w14:textId="77777777" w:rsidR="00511EF9" w:rsidRDefault="00000000">
      <w:pPr>
        <w:numPr>
          <w:ilvl w:val="0"/>
          <w:numId w:val="4"/>
        </w:numPr>
        <w:pBdr>
          <w:top w:val="nil"/>
          <w:left w:val="nil"/>
          <w:bottom w:val="nil"/>
          <w:right w:val="nil"/>
          <w:between w:val="nil"/>
        </w:pBdr>
        <w:spacing w:line="275" w:lineRule="auto"/>
      </w:pPr>
      <w:r>
        <w:rPr>
          <w:rFonts w:ascii="Google Sans" w:eastAsia="Google Sans" w:hAnsi="Google Sans" w:cs="Google Sans"/>
          <w:b/>
          <w:bCs/>
          <w:color w:val="1F1F1F"/>
        </w:rPr>
        <w:t>Transform Map Configuration &amp; Execution:</w:t>
      </w:r>
      <w:r>
        <w:rPr>
          <w:color w:val="000000"/>
        </w:rPr>
        <w:br/>
      </w:r>
      <w:r>
        <w:rPr>
          <w:rFonts w:ascii="Google Sans" w:eastAsia="Google Sans" w:hAnsi="Google Sans" w:cs="Google Sans"/>
          <w:color w:val="1F1F1F"/>
        </w:rPr>
        <w:t>The system applies pre-configured field mappings, runs transform scripts, and checks Coalesce key rules.</w:t>
      </w:r>
    </w:p>
    <w:p w14:paraId="00000015" w14:textId="77777777" w:rsidR="00511EF9" w:rsidRDefault="00000000">
      <w:pPr>
        <w:numPr>
          <w:ilvl w:val="0"/>
          <w:numId w:val="4"/>
        </w:numPr>
        <w:pBdr>
          <w:top w:val="nil"/>
          <w:left w:val="nil"/>
          <w:bottom w:val="nil"/>
          <w:right w:val="nil"/>
          <w:between w:val="nil"/>
        </w:pBdr>
        <w:spacing w:after="120" w:line="275" w:lineRule="auto"/>
      </w:pPr>
      <w:r>
        <w:rPr>
          <w:rFonts w:ascii="Google Sans" w:eastAsia="Google Sans" w:hAnsi="Google Sans" w:cs="Google Sans"/>
          <w:b/>
          <w:bCs/>
          <w:color w:val="1F1F1F"/>
        </w:rPr>
        <w:t>Target Table Commit:</w:t>
      </w:r>
      <w:r>
        <w:rPr>
          <w:color w:val="000000"/>
        </w:rPr>
        <w:br/>
      </w:r>
      <w:r>
        <w:rPr>
          <w:rFonts w:ascii="Google Sans" w:eastAsia="Google Sans" w:hAnsi="Google Sans" w:cs="Google Sans"/>
          <w:color w:val="1F1F1F"/>
        </w:rPr>
        <w:t>Processed and validated records are safely committed to the destination database table, and an execution summary log is generated.</w:t>
      </w:r>
    </w:p>
    <w:p w14:paraId="00000016" w14:textId="77777777" w:rsidR="00511EF9" w:rsidRDefault="00000000">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4. Expected Benefits &amp; Outcomes</w:t>
      </w:r>
    </w:p>
    <w:p w14:paraId="00000017" w14:textId="77777777" w:rsidR="00511EF9" w:rsidRDefault="00000000">
      <w:pPr>
        <w:numPr>
          <w:ilvl w:val="0"/>
          <w:numId w:val="5"/>
        </w:numPr>
        <w:pBdr>
          <w:top w:val="nil"/>
          <w:left w:val="nil"/>
          <w:bottom w:val="nil"/>
          <w:right w:val="nil"/>
          <w:between w:val="nil"/>
        </w:pBdr>
        <w:spacing w:line="275" w:lineRule="auto"/>
      </w:pPr>
      <w:r>
        <w:rPr>
          <w:rFonts w:ascii="Google Sans" w:eastAsia="Google Sans" w:hAnsi="Google Sans" w:cs="Google Sans"/>
          <w:b/>
          <w:bCs/>
          <w:color w:val="1F1F1F"/>
        </w:rPr>
        <w:t>80%+ Reduction in Processing Time:</w:t>
      </w:r>
      <w:r>
        <w:rPr>
          <w:rFonts w:ascii="Google Sans" w:eastAsia="Google Sans" w:hAnsi="Google Sans" w:cs="Google Sans"/>
          <w:color w:val="1F1F1F"/>
        </w:rPr>
        <w:t xml:space="preserve"> Eliminates hours of manual data entry for large datasets.</w:t>
      </w:r>
    </w:p>
    <w:p w14:paraId="00000018" w14:textId="77777777" w:rsidR="00511EF9" w:rsidRDefault="00000000">
      <w:pPr>
        <w:numPr>
          <w:ilvl w:val="0"/>
          <w:numId w:val="5"/>
        </w:numPr>
        <w:pBdr>
          <w:top w:val="nil"/>
          <w:left w:val="nil"/>
          <w:bottom w:val="nil"/>
          <w:right w:val="nil"/>
          <w:between w:val="nil"/>
        </w:pBdr>
        <w:spacing w:line="275" w:lineRule="auto"/>
      </w:pPr>
      <w:r>
        <w:rPr>
          <w:rFonts w:ascii="Google Sans" w:eastAsia="Google Sans" w:hAnsi="Google Sans" w:cs="Google Sans"/>
          <w:b/>
          <w:bCs/>
          <w:color w:val="1F1F1F"/>
        </w:rPr>
        <w:t>100% Schema Accuracy:</w:t>
      </w:r>
      <w:r>
        <w:rPr>
          <w:rFonts w:ascii="Google Sans" w:eastAsia="Google Sans" w:hAnsi="Google Sans" w:cs="Google Sans"/>
          <w:color w:val="1F1F1F"/>
        </w:rPr>
        <w:t xml:space="preserve"> Direct mapping prevents data placement errors across fields.</w:t>
      </w:r>
    </w:p>
    <w:p w14:paraId="00000019" w14:textId="77777777" w:rsidR="00511EF9" w:rsidRDefault="00000000">
      <w:pPr>
        <w:numPr>
          <w:ilvl w:val="0"/>
          <w:numId w:val="5"/>
        </w:numPr>
        <w:pBdr>
          <w:top w:val="nil"/>
          <w:left w:val="nil"/>
          <w:bottom w:val="nil"/>
          <w:right w:val="nil"/>
          <w:between w:val="nil"/>
        </w:pBdr>
        <w:spacing w:after="120" w:line="275" w:lineRule="auto"/>
      </w:pPr>
      <w:r>
        <w:rPr>
          <w:rFonts w:ascii="Google Sans" w:eastAsia="Google Sans" w:hAnsi="Google Sans" w:cs="Google Sans"/>
          <w:b/>
          <w:bCs/>
          <w:color w:val="1F1F1F"/>
        </w:rPr>
        <w:t>Zero Record Duplication:</w:t>
      </w:r>
      <w:r>
        <w:rPr>
          <w:rFonts w:ascii="Google Sans" w:eastAsia="Google Sans" w:hAnsi="Google Sans" w:cs="Google Sans"/>
          <w:color w:val="1F1F1F"/>
        </w:rPr>
        <w:t xml:space="preserve"> Coalesce logic maintains single-source-of-truth database integrity.</w:t>
      </w:r>
    </w:p>
    <w:sectPr w:rsidR="00511EF9">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0EE5472-0192-451D-B905-5D0C6951BEDE}"/>
  </w:font>
  <w:font w:name="Google Sans">
    <w:charset w:val="00"/>
    <w:family w:val="auto"/>
    <w:pitch w:val="default"/>
    <w:embedRegular r:id="rId2" w:fontKey="{1E7DA823-7BC3-461F-9868-FF75D2B63499}"/>
    <w:embedBold r:id="rId3" w:fontKey="{A7C95A77-B4AC-40E0-B978-5B6093F9F986}"/>
    <w:embedItalic r:id="rId4" w:fontKey="{F4BAA811-1329-4959-9A54-13BF313828FE}"/>
  </w:font>
  <w:font w:name="Calibri">
    <w:panose1 w:val="020F0502020204030204"/>
    <w:charset w:val="00"/>
    <w:family w:val="swiss"/>
    <w:pitch w:val="variable"/>
    <w:sig w:usb0="E4002EFF" w:usb1="C200247B" w:usb2="00000009" w:usb3="00000000" w:csb0="000001FF" w:csb1="00000000"/>
    <w:embedRegular r:id="rId5" w:fontKey="{0004E9B7-6AFA-4065-B301-B40A1C9C4C64}"/>
  </w:font>
  <w:font w:name="Cambria">
    <w:panose1 w:val="02040503050406030204"/>
    <w:charset w:val="00"/>
    <w:family w:val="roman"/>
    <w:pitch w:val="variable"/>
    <w:sig w:usb0="E00006FF" w:usb1="420024FF" w:usb2="02000000" w:usb3="00000000" w:csb0="0000019F" w:csb1="00000000"/>
    <w:embedRegular r:id="rId6" w:fontKey="{6EF80767-D07A-4894-843B-E34D99037C1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A06FE"/>
    <w:multiLevelType w:val="multilevel"/>
    <w:tmpl w:val="BAA27F6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C2B5B5B"/>
    <w:multiLevelType w:val="multilevel"/>
    <w:tmpl w:val="D6B6A4D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F060ECC"/>
    <w:multiLevelType w:val="multilevel"/>
    <w:tmpl w:val="960CD3E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58BC5BCC"/>
    <w:multiLevelType w:val="multilevel"/>
    <w:tmpl w:val="E84AEEB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5DAB2950"/>
    <w:multiLevelType w:val="multilevel"/>
    <w:tmpl w:val="3F60D5A2"/>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910505799">
    <w:abstractNumId w:val="3"/>
  </w:num>
  <w:num w:numId="2" w16cid:durableId="1762406252">
    <w:abstractNumId w:val="2"/>
  </w:num>
  <w:num w:numId="3" w16cid:durableId="2071610076">
    <w:abstractNumId w:val="1"/>
  </w:num>
  <w:num w:numId="4" w16cid:durableId="1631327574">
    <w:abstractNumId w:val="4"/>
  </w:num>
  <w:num w:numId="5" w16cid:durableId="564535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EF9"/>
    <w:rsid w:val="001C15C6"/>
    <w:rsid w:val="00511EF9"/>
    <w:rsid w:val="007030EE"/>
    <w:rsid w:val="00A4571B"/>
    <w:rsid w:val="00F84B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EC215"/>
  <w15:docId w15:val="{DD422192-8ED9-421A-9BD1-A73321D13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456</Words>
  <Characters>2604</Characters>
  <Application>Microsoft Office Word</Application>
  <DocSecurity>0</DocSecurity>
  <Lines>21</Lines>
  <Paragraphs>6</Paragraphs>
  <ScaleCrop>false</ScaleCrop>
  <Company/>
  <LinksUpToDate>false</LinksUpToDate>
  <CharactersWithSpaces>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S0910707</cp:lastModifiedBy>
  <cp:revision>3</cp:revision>
  <dcterms:created xsi:type="dcterms:W3CDTF">2026-09-30T05:17:00Z</dcterms:created>
  <dcterms:modified xsi:type="dcterms:W3CDTF">2026-09-30T05:30:00Z</dcterms:modified>
</cp:coreProperties>
</file>