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NOISY-LE-SEC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1/ Analyse générale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2/ Election municipale 2020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3/ Election régionale 2021</w:t>
        <w:br w:type="textWrapping"/>
        <w:t xml:space="preserve">4/ Membres conseil municipal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Plus grosse ville de la circonscription en nombre d'habitants, avec de gros enjeux sur la densification et de nombreux travaux en cours ou en prévision pour l’arrivée de 5 projets de transports (Train Express Nord, prolongement du T1, ligne 5 du métro, ligne 11..).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Une tradition communiste ancrée, avec une gestion communiste jusqu’au début des années 2000. Des alternances et des conflits à gauche, jusqu’à une prise de la mairie par la droite en 2010. Un PC qui s’est renouvelé depuis, jusqu’à sa reprise de la ville aux dernières élections 2020.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Une section PCF assez ouvertement en désaccord avec la ligne Roussel et qui ne fera pas la présidentielle ou à minima.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EELV plutôt à gauche et proche de Bayou, qui s'entendent avec la gestion communiste locale, mais dont une partie des cadres aurait voté Jadot sur un aspect défense de l’appareil.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Une France Insoumise relativement faible et un peu morcelée qui a réussi tout de même à s'inscrire dans la majorité municipale pour certain.es.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maire qui n’a a priori aucune hostilités notoire avec ses partenaires sur la ville, qui sera a priori bien accueilli niveau FI, même à Bondy, qui a une très bonne implantation locale.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ELECTION MUNICIPALE 2020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209550</wp:posOffset>
            </wp:positionV>
            <wp:extent cx="3600450" cy="34480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36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PREMIER TOUR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voit bien que la forte implantation du PC sur la ville a joué, pour arriver à faire près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33% dès le 1er tour avec 2425 voix, pendant que l’alliance FI/Vert faisait 12,9% avec 934 voix.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noter en comparaison, c’est quasiment le double des voix pour Sabine sur la ville au 1er tour des législatives. La liste d’un ex PS Jean-Paul Lefebvre fait 11,5%, passé à GRS ensuite, il est aujourd’hui proche de Montebourg.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333375</wp:posOffset>
            </wp:positionV>
            <wp:extent cx="3600450" cy="27908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337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SECOND TOUR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 très bon report de voix en faveur d’Olivier Sarrabeyrouse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sa capacité à avoir également une bonne progression d’entre deux tour,  montre bien la possibilité d’un bloc majoritaire local PC / Verts / FI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Avec un total gauche à 60% si l’on prend les 7% de la candidature maintenu de Lefebvre.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ELECTION REGIONALE 2021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152896</wp:posOffset>
            </wp:positionV>
            <wp:extent cx="4443413" cy="4219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1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PREMIER TOUR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 seulement 23% des votants, donc une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bstention extrêmement élevée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Clémentine arrive à être en tête avec l’alliance FI-PC,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27% et 1.200 voix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Soit plus que le PS et les Verts réunis.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1919288</wp:posOffset>
            </wp:positionH>
            <wp:positionV relativeFrom="paragraph">
              <wp:posOffset>142875</wp:posOffset>
            </wp:positionV>
            <wp:extent cx="4395788" cy="2790825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SECOND TOUR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Une union de la gauche qui, derrière Bayou, sera majoritaire de très peu cependant, mais qui se reporte très bien.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CONSEIL MUNICIPAL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4705350</wp:posOffset>
            </wp:positionV>
            <wp:extent cx="5610225" cy="448151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81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4586288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44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Ecologie solidarité (FI, EELV, Génération.s, citoyen.ne.s) 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EELV : Anne DEO, Patrick LASCOUX,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 : Florent LACAILLE, Françoise CELATI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Generation.s : Baptiste GERBIER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Citoyen.ne.s : Dominique BUSSON, Naima MOKRI, Anne RAYNAL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Olivier SARABEYROUSE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Pascale LABBE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Samy BESSAOU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Samia FETTAL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Bruno MARTINEZ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Julie GRUNEBAUM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Monique GASCOIN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Jean-Luc LE COROLLER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Samia SEHOUANE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Zakaria BENHAMRA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Wiam BERHOUMA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Philippe BOUAZIZ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Fatoumata BINTOU CAMARA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Serena YAHMI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Timothée GAUTHIEROT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Sandrine LOUET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Elhadj Mahmoud BA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Hakima LOUNIS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Gilles THOMAS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valérie GOBERTIERE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Albert PRISSETTE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Lahoucin EL BATAH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Corinne BORD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Medy LABIDI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François RONGET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Charlotte LE PROVOST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