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D0DF6" w14:textId="3BFEEF6E" w:rsidR="00DA6DC3" w:rsidRPr="00335C63" w:rsidRDefault="00000000">
      <w:pPr>
        <w:pStyle w:val="Title"/>
        <w:spacing w:after="60"/>
        <w:rPr>
          <w:sz w:val="48"/>
          <w:szCs w:val="48"/>
        </w:rPr>
      </w:pPr>
      <w:r w:rsidRPr="00335C63">
        <w:rPr>
          <w:sz w:val="48"/>
          <w:szCs w:val="48"/>
        </w:rPr>
        <w:t xml:space="preserve">HEO NEO </w:t>
      </w:r>
      <w:r w:rsidR="00141C43">
        <w:rPr>
          <w:sz w:val="48"/>
          <w:szCs w:val="48"/>
        </w:rPr>
        <w:t>Surveying</w:t>
      </w:r>
      <w:r w:rsidRPr="00335C63">
        <w:rPr>
          <w:sz w:val="48"/>
          <w:szCs w:val="48"/>
        </w:rPr>
        <w:t xml:space="preserve"> Mission</w:t>
      </w:r>
    </w:p>
    <w:p w14:paraId="026D7AED" w14:textId="77777777" w:rsidR="00DA6DC3" w:rsidRPr="00F65811" w:rsidRDefault="00000000">
      <w:pPr>
        <w:spacing w:after="260"/>
        <w:rPr>
          <w:rFonts w:ascii="29LT Adir" w:hAnsi="29LT Adir" w:cs="29LT Adir"/>
        </w:rPr>
      </w:pPr>
      <w:r w:rsidRPr="00F65811">
        <w:rPr>
          <w:rFonts w:ascii="29LT Adir" w:hAnsi="29LT Adir" w:cs="29LT Adir"/>
          <w:color w:val="555555"/>
        </w:rPr>
        <w:t>Mission Objectives • Near-Earth Object Monitoring Benchmark Study • August 2026</w:t>
      </w:r>
    </w:p>
    <w:p w14:paraId="3D118095" w14:textId="77777777" w:rsidR="00DA6DC3" w:rsidRPr="00335C63" w:rsidRDefault="00000000">
      <w:pPr>
        <w:pBdr>
          <w:bottom w:val="single" w:sz="4" w:space="4" w:color="AAAAAA"/>
        </w:pBdr>
        <w:spacing w:before="340" w:after="150"/>
        <w:rPr>
          <w:sz w:val="22"/>
          <w:szCs w:val="22"/>
        </w:rPr>
      </w:pPr>
      <w:r w:rsidRPr="00335C63">
        <w:rPr>
          <w:rFonts w:ascii="29LT Adir" w:eastAsia="29LT Adir" w:hAnsi="29LT Adir" w:cs="29LT Adir"/>
          <w:color w:val="1F2A44"/>
          <w:sz w:val="32"/>
          <w:szCs w:val="32"/>
        </w:rPr>
        <w:t>1. Mission Rationale</w:t>
      </w:r>
    </w:p>
    <w:p w14:paraId="637EAD98" w14:textId="77777777" w:rsidR="00DA6DC3" w:rsidRPr="00F65811" w:rsidRDefault="00000000">
      <w:pPr>
        <w:spacing w:before="240" w:after="90"/>
        <w:rPr>
          <w:color w:val="006C92"/>
          <w:sz w:val="24"/>
          <w:szCs w:val="24"/>
        </w:rPr>
      </w:pPr>
      <w:r w:rsidRPr="00F65811">
        <w:rPr>
          <w:rFonts w:ascii="29LT Adir" w:eastAsia="29LT Adir" w:hAnsi="29LT Adir" w:cs="29LT Adir"/>
          <w:color w:val="006C92"/>
          <w:sz w:val="24"/>
          <w:szCs w:val="24"/>
        </w:rPr>
        <w:t>1.1 The unaddressed regime</w:t>
      </w:r>
    </w:p>
    <w:p w14:paraId="0DD68C6B" w14:textId="131DFEA0" w:rsidR="00DA6DC3" w:rsidRPr="00053029" w:rsidRDefault="00000000" w:rsidP="00D32877">
      <w:pPr>
        <w:spacing w:after="140"/>
        <w:jc w:val="both"/>
        <w:rPr>
          <w:sz w:val="18"/>
          <w:szCs w:val="18"/>
        </w:rPr>
      </w:pPr>
      <w:r w:rsidRPr="00053029">
        <w:rPr>
          <w:sz w:val="18"/>
          <w:szCs w:val="18"/>
        </w:rPr>
        <w:t xml:space="preserve">A benchmark of approximately </w:t>
      </w:r>
      <w:r w:rsidR="004852B1" w:rsidRPr="00053029">
        <w:rPr>
          <w:sz w:val="18"/>
          <w:szCs w:val="18"/>
        </w:rPr>
        <w:t>50</w:t>
      </w:r>
      <w:r w:rsidRPr="00053029">
        <w:rPr>
          <w:sz w:val="18"/>
          <w:szCs w:val="18"/>
        </w:rPr>
        <w:t xml:space="preserve"> flown and planned near-Earth object missions, filtered in sequence by objective, platform type, mass (≤30 kg) and orbit regime, reduces to </w:t>
      </w:r>
      <w:r w:rsidR="00053029">
        <w:rPr>
          <w:sz w:val="18"/>
          <w:szCs w:val="18"/>
        </w:rPr>
        <w:t>12</w:t>
      </w:r>
      <w:r w:rsidRPr="00053029">
        <w:rPr>
          <w:sz w:val="18"/>
          <w:szCs w:val="18"/>
        </w:rPr>
        <w:t xml:space="preserve"> directly comparable missions. None operates in highly elliptical orbit. No CubeSat or smallsat at or below 30 kg has ever performed near-Earth object tracking or monitoring from HEO, and none is </w:t>
      </w:r>
      <w:r w:rsidR="00B36D6C">
        <w:rPr>
          <w:sz w:val="18"/>
          <w:szCs w:val="18"/>
        </w:rPr>
        <w:t>planned</w:t>
      </w:r>
      <w:r w:rsidRPr="00053029">
        <w:rPr>
          <w:sz w:val="18"/>
          <w:szCs w:val="18"/>
        </w:rPr>
        <w:t xml:space="preserve">. This is a null </w:t>
      </w:r>
      <w:r w:rsidR="00A758EB" w:rsidRPr="00053029">
        <w:rPr>
          <w:sz w:val="18"/>
          <w:szCs w:val="18"/>
        </w:rPr>
        <w:t>result,</w:t>
      </w:r>
      <w:r w:rsidRPr="00053029">
        <w:rPr>
          <w:sz w:val="18"/>
          <w:szCs w:val="18"/>
        </w:rPr>
        <w:t xml:space="preserve"> and it is the mission's justification: the combination</w:t>
      </w:r>
      <w:r w:rsidR="00327AFE">
        <w:rPr>
          <w:sz w:val="18"/>
          <w:szCs w:val="18"/>
        </w:rPr>
        <w:t xml:space="preserve"> isn’t impossible, it</w:t>
      </w:r>
      <w:r w:rsidRPr="00053029">
        <w:rPr>
          <w:sz w:val="18"/>
          <w:szCs w:val="18"/>
        </w:rPr>
        <w:t xml:space="preserve"> is un</w:t>
      </w:r>
      <w:r w:rsidR="00B36D6C">
        <w:rPr>
          <w:sz w:val="18"/>
          <w:szCs w:val="18"/>
        </w:rPr>
        <w:t>charted</w:t>
      </w:r>
      <w:r w:rsidRPr="00053029">
        <w:rPr>
          <w:sz w:val="18"/>
          <w:szCs w:val="18"/>
        </w:rPr>
        <w:t>.</w:t>
      </w:r>
    </w:p>
    <w:p w14:paraId="7AD5A36F" w14:textId="77777777" w:rsidR="00DA6DC3" w:rsidRPr="00F65811" w:rsidRDefault="00000000">
      <w:pPr>
        <w:spacing w:before="240" w:after="90"/>
        <w:rPr>
          <w:color w:val="006C92"/>
          <w:sz w:val="24"/>
          <w:szCs w:val="24"/>
        </w:rPr>
      </w:pPr>
      <w:r w:rsidRPr="00F65811">
        <w:rPr>
          <w:rFonts w:ascii="29LT Adir" w:eastAsia="29LT Adir" w:hAnsi="29LT Adir" w:cs="29LT Adir"/>
          <w:color w:val="006C92"/>
          <w:sz w:val="24"/>
          <w:szCs w:val="24"/>
        </w:rPr>
        <w:t>1.2 Where the near-Earth objects are</w:t>
      </w:r>
    </w:p>
    <w:p w14:paraId="70EBCCDC" w14:textId="27EF9EFA" w:rsidR="00DA6DC3" w:rsidRPr="00053029" w:rsidRDefault="00000000">
      <w:pPr>
        <w:spacing w:after="140"/>
        <w:jc w:val="both"/>
        <w:rPr>
          <w:sz w:val="18"/>
          <w:szCs w:val="18"/>
        </w:rPr>
      </w:pPr>
      <w:r w:rsidRPr="00053029">
        <w:rPr>
          <w:sz w:val="18"/>
          <w:szCs w:val="18"/>
        </w:rPr>
        <w:t>Near-Earth objects are heliocentric. They are not resident in any Earth-orbit shell, and no altitude carries an elevated number density. Within the 400–70,000 km band the platform traverses, the population is effectively empty</w:t>
      </w:r>
      <w:r w:rsidR="00053029">
        <w:rPr>
          <w:sz w:val="18"/>
          <w:szCs w:val="18"/>
        </w:rPr>
        <w:t xml:space="preserve">, </w:t>
      </w:r>
      <w:r w:rsidRPr="00053029">
        <w:rPr>
          <w:sz w:val="18"/>
          <w:szCs w:val="18"/>
        </w:rPr>
        <w:t>four known asteroids passed inside geostationary radius in 2017, all metre-class and detected days before arrival</w:t>
      </w:r>
      <w:r w:rsidR="00053029">
        <w:rPr>
          <w:sz w:val="18"/>
          <w:szCs w:val="18"/>
        </w:rPr>
        <w:t>.</w:t>
      </w:r>
    </w:p>
    <w:p w14:paraId="211F17B9" w14:textId="33C47424" w:rsidR="00DA6DC3" w:rsidRPr="00053029" w:rsidRDefault="00000000">
      <w:pPr>
        <w:spacing w:after="140"/>
        <w:jc w:val="both"/>
        <w:rPr>
          <w:sz w:val="18"/>
          <w:szCs w:val="18"/>
        </w:rPr>
      </w:pPr>
      <w:r w:rsidRPr="00053029">
        <w:rPr>
          <w:sz w:val="18"/>
          <w:szCs w:val="18"/>
        </w:rPr>
        <w:t xml:space="preserve">The observable population lies at geocentric distances of 10⁵ to 10⁸ km, and target availability is set by ground-survey discovery rates and close-approach statistics: </w:t>
      </w:r>
      <w:r w:rsidRPr="00053029">
        <w:rPr>
          <w:color w:val="006C92"/>
          <w:sz w:val="18"/>
          <w:szCs w:val="18"/>
          <w14:textFill>
            <w14:gradFill>
              <w14:gsLst>
                <w14:gs w14:pos="0">
                  <w14:srgbClr w14:val="006C92">
                    <w14:shade w14:val="30000"/>
                    <w14:satMod w14:val="115000"/>
                  </w14:srgbClr>
                </w14:gs>
                <w14:gs w14:pos="50000">
                  <w14:srgbClr w14:val="006C92">
                    <w14:shade w14:val="67500"/>
                    <w14:satMod w14:val="115000"/>
                  </w14:srgbClr>
                </w14:gs>
                <w14:gs w14:pos="100000">
                  <w14:srgbClr w14:val="006C92">
                    <w14:shade w14:val="100000"/>
                    <w14:satMod w14:val="115000"/>
                  </w14:srgbClr>
                </w14:gs>
              </w14:gsLst>
              <w14:path w14:path="circle">
                <w14:fillToRect w14:l="50000" w14:t="50000" w14:r="50000" w14:b="50000"/>
              </w14:path>
            </w14:gradFill>
          </w14:textFill>
        </w:rPr>
        <w:t>roughly 150 to</w:t>
      </w:r>
      <w:r w:rsidR="00053029" w:rsidRPr="00053029">
        <w:rPr>
          <w:color w:val="006C92"/>
          <w:sz w:val="18"/>
          <w:szCs w:val="18"/>
          <w14:textFill>
            <w14:gradFill>
              <w14:gsLst>
                <w14:gs w14:pos="0">
                  <w14:srgbClr w14:val="006C92">
                    <w14:shade w14:val="30000"/>
                    <w14:satMod w14:val="115000"/>
                  </w14:srgbClr>
                </w14:gs>
                <w14:gs w14:pos="50000">
                  <w14:srgbClr w14:val="006C92">
                    <w14:shade w14:val="67500"/>
                    <w14:satMod w14:val="115000"/>
                  </w14:srgbClr>
                </w14:gs>
                <w14:gs w14:pos="100000">
                  <w14:srgbClr w14:val="006C92">
                    <w14:shade w14:val="100000"/>
                    <w14:satMod w14:val="115000"/>
                  </w14:srgbClr>
                </w14:gs>
              </w14:gsLst>
              <w14:path w14:path="circle">
                <w14:fillToRect w14:l="50000" w14:t="50000" w14:r="50000" w14:b="50000"/>
              </w14:path>
            </w14:gradFill>
          </w14:textFill>
        </w:rPr>
        <w:t xml:space="preserve"> </w:t>
      </w:r>
      <w:r w:rsidRPr="00053029">
        <w:rPr>
          <w:color w:val="006C92"/>
          <w:sz w:val="18"/>
          <w:szCs w:val="18"/>
          <w14:textFill>
            <w14:gradFill>
              <w14:gsLst>
                <w14:gs w14:pos="0">
                  <w14:srgbClr w14:val="006C92">
                    <w14:shade w14:val="30000"/>
                    <w14:satMod w14:val="115000"/>
                  </w14:srgbClr>
                </w14:gs>
                <w14:gs w14:pos="50000">
                  <w14:srgbClr w14:val="006C92">
                    <w14:shade w14:val="67500"/>
                    <w14:satMod w14:val="115000"/>
                  </w14:srgbClr>
                </w14:gs>
                <w14:gs w14:pos="100000">
                  <w14:srgbClr w14:val="006C92">
                    <w14:shade w14:val="100000"/>
                    <w14:satMod w14:val="115000"/>
                  </w14:srgbClr>
                </w14:gs>
              </w14:gsLst>
              <w14:path w14:path="circle">
                <w14:fillToRect w14:l="50000" w14:t="50000" w14:r="50000" w14:b="50000"/>
              </w14:path>
            </w14:gradFill>
          </w14:textFill>
        </w:rPr>
        <w:t>190 objects per year pass within one lunar distance</w:t>
      </w:r>
      <w:r w:rsidRPr="00053029">
        <w:rPr>
          <w:color w:val="2D8BB5"/>
          <w:sz w:val="18"/>
          <w:szCs w:val="18"/>
          <w14:textFill>
            <w14:gradFill>
              <w14:gsLst>
                <w14:gs w14:pos="0">
                  <w14:srgbClr w14:val="006C92">
                    <w14:shade w14:val="30000"/>
                    <w14:satMod w14:val="115000"/>
                  </w14:srgbClr>
                </w14:gs>
                <w14:gs w14:pos="50000">
                  <w14:srgbClr w14:val="006C92">
                    <w14:shade w14:val="67500"/>
                    <w14:satMod w14:val="115000"/>
                  </w14:srgbClr>
                </w14:gs>
                <w14:gs w14:pos="100000">
                  <w14:srgbClr w14:val="006C92">
                    <w14:shade w14:val="100000"/>
                    <w14:satMod w14:val="115000"/>
                  </w14:srgbClr>
                </w14:gs>
              </w14:gsLst>
              <w14:path w14:path="circle">
                <w14:fillToRect w14:l="50000" w14:t="50000" w14:r="50000" w14:b="50000"/>
              </w14:path>
            </w14:gradFill>
          </w14:textFill>
        </w:rPr>
        <w:t>,</w:t>
      </w:r>
      <w:r w:rsidRPr="00053029">
        <w:rPr>
          <w:color w:val="EE0000"/>
          <w:sz w:val="18"/>
          <w:szCs w:val="18"/>
        </w:rPr>
        <w:t xml:space="preserve"> </w:t>
      </w:r>
      <w:r w:rsidRPr="00053029">
        <w:rPr>
          <w:sz w:val="18"/>
          <w:szCs w:val="18"/>
        </w:rPr>
        <w:t>from a catalogue of some 40,000 near-Earth asteroids and 2,300 potentially hazardous asteroids.</w:t>
      </w:r>
    </w:p>
    <w:p w14:paraId="0634147B" w14:textId="77777777" w:rsidR="00BC657D" w:rsidRDefault="00000000" w:rsidP="00BC657D">
      <w:pPr>
        <w:spacing w:before="240" w:after="90"/>
        <w:rPr>
          <w:rFonts w:ascii="29LT Adir" w:eastAsia="29LT Adir" w:hAnsi="29LT Adir" w:cs="29LT Adir"/>
          <w:color w:val="006C92"/>
          <w:sz w:val="24"/>
          <w:szCs w:val="24"/>
        </w:rPr>
      </w:pPr>
      <w:r w:rsidRPr="00F65811">
        <w:rPr>
          <w:rFonts w:ascii="29LT Adir" w:eastAsia="29LT Adir" w:hAnsi="29LT Adir" w:cs="29LT Adir"/>
          <w:color w:val="006C92"/>
          <w:sz w:val="24"/>
          <w:szCs w:val="24"/>
        </w:rPr>
        <w:t>1.3 What HEO offers, and what it does not</w:t>
      </w:r>
    </w:p>
    <w:p w14:paraId="5D140B5D" w14:textId="77777777" w:rsidR="00BC657D" w:rsidRPr="00BC657D" w:rsidRDefault="00BC657D" w:rsidP="00BC657D">
      <w:pPr>
        <w:numPr>
          <w:ilvl w:val="0"/>
          <w:numId w:val="4"/>
        </w:numPr>
        <w:tabs>
          <w:tab w:val="num" w:pos="720"/>
        </w:tabs>
        <w:spacing w:before="240" w:after="90"/>
        <w:rPr>
          <w:rFonts w:asciiTheme="minorBidi" w:hAnsiTheme="minorBidi" w:cstheme="minorBidi"/>
          <w:color w:val="000000" w:themeColor="text1"/>
          <w:sz w:val="18"/>
          <w:szCs w:val="18"/>
        </w:rPr>
      </w:pPr>
      <w:r w:rsidRPr="00BC657D">
        <w:rPr>
          <w:rFonts w:asciiTheme="minorBidi" w:hAnsiTheme="minorBidi" w:cstheme="minorBidi"/>
          <w:color w:val="006C92"/>
          <w:sz w:val="18"/>
          <w:szCs w:val="18"/>
        </w:rPr>
        <w:t>Sky Access — 9.6° Earth obstruction at apogee</w:t>
      </w:r>
      <w:r w:rsidRPr="00BC657D">
        <w:rPr>
          <w:rFonts w:asciiTheme="minorBidi" w:hAnsiTheme="minorBidi" w:cstheme="minorBidi"/>
          <w:color w:val="000000" w:themeColor="text1"/>
          <w:sz w:val="18"/>
          <w:szCs w:val="18"/>
        </w:rPr>
        <w:br/>
        <w:t xml:space="preserve">At apogee, Earth occults only 0.17% of the celestial sphere, compared with 33% at perigee, providing substantially wider sky access. </w:t>
      </w:r>
    </w:p>
    <w:p w14:paraId="269DF2AB" w14:textId="77777777" w:rsidR="00BC657D" w:rsidRDefault="00BC657D" w:rsidP="00BC657D">
      <w:pPr>
        <w:numPr>
          <w:ilvl w:val="0"/>
          <w:numId w:val="4"/>
        </w:numPr>
        <w:tabs>
          <w:tab w:val="num" w:pos="720"/>
        </w:tabs>
        <w:spacing w:before="240" w:after="90"/>
        <w:rPr>
          <w:rFonts w:asciiTheme="minorBidi" w:hAnsiTheme="minorBidi" w:cstheme="minorBidi"/>
          <w:color w:val="000000" w:themeColor="text1"/>
          <w:sz w:val="18"/>
          <w:szCs w:val="18"/>
        </w:rPr>
      </w:pPr>
      <w:r w:rsidRPr="00BC657D">
        <w:rPr>
          <w:rFonts w:asciiTheme="minorBidi" w:hAnsiTheme="minorBidi" w:cstheme="minorBidi"/>
          <w:color w:val="006C92"/>
          <w:sz w:val="18"/>
          <w:szCs w:val="18"/>
        </w:rPr>
        <w:t>Long Dwell — 17.8 h above geostationary radius</w:t>
      </w:r>
      <w:r w:rsidRPr="00BC657D">
        <w:rPr>
          <w:rFonts w:asciiTheme="minorBidi" w:hAnsiTheme="minorBidi" w:cstheme="minorBidi"/>
          <w:color w:val="000000" w:themeColor="text1"/>
          <w:sz w:val="18"/>
          <w:szCs w:val="18"/>
        </w:rPr>
        <w:br/>
        <w:t xml:space="preserve">The spacecraft remains above geostationary radius for 17.8 of every 23.4 hours, enabling extended observation opportunities. </w:t>
      </w:r>
    </w:p>
    <w:p w14:paraId="16612E93" w14:textId="09B5FA01" w:rsidR="00BC657D" w:rsidRPr="00DC1B3F" w:rsidRDefault="00BC657D" w:rsidP="00DC1B3F">
      <w:pPr>
        <w:numPr>
          <w:ilvl w:val="0"/>
          <w:numId w:val="4"/>
        </w:numPr>
        <w:tabs>
          <w:tab w:val="num" w:pos="720"/>
        </w:tabs>
        <w:spacing w:before="240" w:after="90"/>
        <w:rPr>
          <w:rFonts w:asciiTheme="minorBidi" w:hAnsiTheme="minorBidi" w:cstheme="minorBidi"/>
          <w:color w:val="000000" w:themeColor="text1"/>
          <w:sz w:val="18"/>
          <w:szCs w:val="18"/>
        </w:rPr>
      </w:pPr>
      <w:r w:rsidRPr="00BC657D">
        <w:rPr>
          <w:rFonts w:asciiTheme="minorBidi" w:hAnsiTheme="minorBidi" w:cstheme="minorBidi"/>
          <w:color w:val="006C92"/>
          <w:sz w:val="18"/>
          <w:szCs w:val="18"/>
        </w:rPr>
        <w:t>Large Baseline — 76,378 km from Earth's center</w:t>
      </w:r>
      <w:r w:rsidRPr="00BC657D">
        <w:rPr>
          <w:rFonts w:asciiTheme="minorBidi" w:hAnsiTheme="minorBidi" w:cstheme="minorBidi"/>
          <w:color w:val="000000" w:themeColor="text1"/>
          <w:sz w:val="18"/>
          <w:szCs w:val="18"/>
        </w:rPr>
        <w:br/>
        <w:t>The spacecraft reaches a 76,378 km geocentric distance, providing a parallax baseline far exceeding that available from ground-based stations</w:t>
      </w:r>
      <w:r w:rsidRPr="00BC657D">
        <w:rPr>
          <w:color w:val="006C92"/>
          <w:sz w:val="24"/>
          <w:szCs w:val="24"/>
        </w:rPr>
        <w:t>.</w:t>
      </w:r>
    </w:p>
    <w:p w14:paraId="4A103B4C" w14:textId="77777777" w:rsidR="00BC657D" w:rsidRDefault="001D7878" w:rsidP="00BC657D">
      <w:pPr>
        <w:pBdr>
          <w:bottom w:val="single" w:sz="4" w:space="4" w:color="AAAAAA"/>
        </w:pBdr>
        <w:spacing w:before="340" w:after="150"/>
        <w:rPr>
          <w:sz w:val="22"/>
          <w:szCs w:val="22"/>
        </w:rPr>
      </w:pPr>
      <w:r>
        <w:rPr>
          <w:rFonts w:ascii="29LT Adir" w:eastAsia="29LT Adir" w:hAnsi="29LT Adir" w:cs="29LT Adir"/>
          <w:color w:val="1F2A44"/>
          <w:sz w:val="32"/>
          <w:szCs w:val="32"/>
        </w:rPr>
        <w:t>2</w:t>
      </w:r>
      <w:r w:rsidRPr="00335C63">
        <w:rPr>
          <w:rFonts w:ascii="29LT Adir" w:eastAsia="29LT Adir" w:hAnsi="29LT Adir" w:cs="29LT Adir"/>
          <w:color w:val="1F2A44"/>
          <w:sz w:val="32"/>
          <w:szCs w:val="32"/>
        </w:rPr>
        <w:t>. Scientific Questions</w:t>
      </w:r>
      <w:r w:rsidR="00E72A31">
        <w:rPr>
          <w:rFonts w:ascii="29LT Adir" w:eastAsia="29LT Adir" w:hAnsi="29LT Adir" w:cs="29LT Adir"/>
          <w:color w:val="1F2A44"/>
          <w:sz w:val="32"/>
          <w:szCs w:val="32"/>
        </w:rPr>
        <w:t xml:space="preserve"> &amp; Objectives</w:t>
      </w:r>
    </w:p>
    <w:tbl>
      <w:tblPr>
        <w:tblStyle w:val="PlainTable4"/>
        <w:tblW w:w="10704" w:type="dxa"/>
        <w:tblLook w:val="04A0" w:firstRow="1" w:lastRow="0" w:firstColumn="1" w:lastColumn="0" w:noHBand="0" w:noVBand="1"/>
      </w:tblPr>
      <w:tblGrid>
        <w:gridCol w:w="5352"/>
        <w:gridCol w:w="5352"/>
      </w:tblGrid>
      <w:tr w:rsidR="00DC1B3F" w14:paraId="7A7AEE4B" w14:textId="77777777" w:rsidTr="00DC1B3F">
        <w:trPr>
          <w:cnfStyle w:val="100000000000" w:firstRow="1" w:lastRow="0" w:firstColumn="0" w:lastColumn="0" w:oddVBand="0" w:evenVBand="0" w:oddHBand="0"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5352" w:type="dxa"/>
            <w:vAlign w:val="center"/>
          </w:tcPr>
          <w:p w14:paraId="4157C2A8" w14:textId="37D65551" w:rsidR="00DC1B3F" w:rsidRPr="00DC1B3F" w:rsidRDefault="00DC1B3F" w:rsidP="00DC1B3F">
            <w:pPr>
              <w:spacing w:before="340" w:after="150"/>
              <w:rPr>
                <w:color w:val="000000" w:themeColor="text1"/>
                <w:sz w:val="22"/>
                <w:szCs w:val="22"/>
              </w:rPr>
            </w:pPr>
            <w:r w:rsidRPr="00DC1B3F">
              <w:rPr>
                <w:rFonts w:ascii="29LT Adir" w:hAnsi="29LT Adir" w:cs="29LT Adir"/>
                <w:color w:val="000000" w:themeColor="text1"/>
              </w:rPr>
              <w:t>Scientific Questions</w:t>
            </w:r>
          </w:p>
        </w:tc>
        <w:tc>
          <w:tcPr>
            <w:tcW w:w="5352" w:type="dxa"/>
            <w:vAlign w:val="center"/>
          </w:tcPr>
          <w:p w14:paraId="5ED37D46" w14:textId="090B81E2" w:rsidR="00DC1B3F" w:rsidRPr="00DC1B3F" w:rsidRDefault="00DC1B3F" w:rsidP="00DC1B3F">
            <w:pPr>
              <w:spacing w:before="340" w:after="15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DC1B3F">
              <w:rPr>
                <w:rFonts w:ascii="29LT Adir" w:hAnsi="29LT Adir" w:cs="29LT Adir"/>
                <w:color w:val="000000" w:themeColor="text1"/>
              </w:rPr>
              <w:t>Scientifi</w:t>
            </w:r>
            <w:r>
              <w:rPr>
                <w:rFonts w:ascii="29LT Adir" w:hAnsi="29LT Adir" w:cs="29LT Adir"/>
                <w:color w:val="000000" w:themeColor="text1"/>
              </w:rPr>
              <w:t xml:space="preserve">c </w:t>
            </w:r>
            <w:r w:rsidRPr="00DC1B3F">
              <w:rPr>
                <w:rFonts w:ascii="29LT Adir" w:hAnsi="29LT Adir" w:cs="29LT Adir"/>
                <w:color w:val="000000" w:themeColor="text1"/>
              </w:rPr>
              <w:t>Objectives</w:t>
            </w:r>
          </w:p>
        </w:tc>
      </w:tr>
      <w:tr w:rsidR="00DC1B3F" w14:paraId="0B4D2549" w14:textId="77777777" w:rsidTr="00DC1B3F">
        <w:trPr>
          <w:cnfStyle w:val="000000100000" w:firstRow="0" w:lastRow="0" w:firstColumn="0" w:lastColumn="0" w:oddVBand="0" w:evenVBand="0" w:oddHBand="1" w:evenHBand="0" w:firstRowFirstColumn="0" w:firstRowLastColumn="0" w:lastRowFirstColumn="0" w:lastRowLastColumn="0"/>
          <w:trHeight w:val="828"/>
        </w:trPr>
        <w:tc>
          <w:tcPr>
            <w:cnfStyle w:val="001000000000" w:firstRow="0" w:lastRow="0" w:firstColumn="1" w:lastColumn="0" w:oddVBand="0" w:evenVBand="0" w:oddHBand="0" w:evenHBand="0" w:firstRowFirstColumn="0" w:firstRowLastColumn="0" w:lastRowFirstColumn="0" w:lastRowLastColumn="0"/>
            <w:tcW w:w="5352" w:type="dxa"/>
            <w:vAlign w:val="center"/>
          </w:tcPr>
          <w:p w14:paraId="5914BBEA" w14:textId="2801FB2B" w:rsidR="00DC1B3F" w:rsidRPr="00DC1B3F" w:rsidRDefault="00DC1B3F" w:rsidP="00DC1B3F">
            <w:pPr>
              <w:spacing w:before="340" w:after="150"/>
              <w:rPr>
                <w:b w:val="0"/>
                <w:bCs w:val="0"/>
                <w:sz w:val="18"/>
                <w:szCs w:val="18"/>
              </w:rPr>
            </w:pPr>
            <w:r w:rsidRPr="00DC1B3F">
              <w:rPr>
                <w:rFonts w:ascii="29LT Adir" w:hAnsi="29LT Adir" w:cs="29LT Adir"/>
                <w:b w:val="0"/>
                <w:bCs w:val="0"/>
                <w:sz w:val="18"/>
                <w:szCs w:val="18"/>
              </w:rPr>
              <w:t>What NEO populations and observing geometries can be accessed from HEO that are challenging for Earth-based observations?</w:t>
            </w:r>
          </w:p>
        </w:tc>
        <w:tc>
          <w:tcPr>
            <w:tcW w:w="5352" w:type="dxa"/>
            <w:vAlign w:val="center"/>
          </w:tcPr>
          <w:p w14:paraId="0B79E5D7" w14:textId="6F0D7596" w:rsidR="00DC1B3F" w:rsidRPr="00DC1B3F" w:rsidRDefault="00DC1B3F" w:rsidP="00DC1B3F">
            <w:pPr>
              <w:spacing w:before="340" w:after="150"/>
              <w:cnfStyle w:val="000000100000" w:firstRow="0" w:lastRow="0" w:firstColumn="0" w:lastColumn="0" w:oddVBand="0" w:evenVBand="0" w:oddHBand="1" w:evenHBand="0" w:firstRowFirstColumn="0" w:firstRowLastColumn="0" w:lastRowFirstColumn="0" w:lastRowLastColumn="0"/>
              <w:rPr>
                <w:sz w:val="18"/>
                <w:szCs w:val="18"/>
              </w:rPr>
            </w:pPr>
            <w:r w:rsidRPr="00DC1B3F">
              <w:rPr>
                <w:rFonts w:ascii="29LT Adir" w:hAnsi="29LT Adir" w:cs="29LT Adir"/>
                <w:sz w:val="18"/>
                <w:szCs w:val="18"/>
              </w:rPr>
              <w:t>Characterize the NEO detection capability and observational coverage provided by the HEO platform.</w:t>
            </w:r>
          </w:p>
        </w:tc>
      </w:tr>
      <w:tr w:rsidR="00DC1B3F" w14:paraId="7550B277" w14:textId="77777777" w:rsidTr="00DC1B3F">
        <w:trPr>
          <w:trHeight w:val="833"/>
        </w:trPr>
        <w:tc>
          <w:tcPr>
            <w:cnfStyle w:val="001000000000" w:firstRow="0" w:lastRow="0" w:firstColumn="1" w:lastColumn="0" w:oddVBand="0" w:evenVBand="0" w:oddHBand="0" w:evenHBand="0" w:firstRowFirstColumn="0" w:firstRowLastColumn="0" w:lastRowFirstColumn="0" w:lastRowLastColumn="0"/>
            <w:tcW w:w="5352" w:type="dxa"/>
            <w:vAlign w:val="center"/>
          </w:tcPr>
          <w:p w14:paraId="5494B96C" w14:textId="33DB808F" w:rsidR="00DC1B3F" w:rsidRPr="00DC1B3F" w:rsidRDefault="00DC1B3F" w:rsidP="00DC1B3F">
            <w:pPr>
              <w:spacing w:before="340" w:after="150"/>
              <w:rPr>
                <w:rFonts w:ascii="29LT Adir" w:hAnsi="29LT Adir" w:cs="29LT Adir"/>
                <w:b w:val="0"/>
                <w:bCs w:val="0"/>
                <w:sz w:val="18"/>
                <w:szCs w:val="18"/>
              </w:rPr>
            </w:pPr>
            <w:r w:rsidRPr="00DC1B3F">
              <w:rPr>
                <w:rFonts w:ascii="29LT Adir" w:hAnsi="29LT Adir" w:cs="29LT Adir"/>
                <w:b w:val="0"/>
                <w:bCs w:val="0"/>
                <w:sz w:val="18"/>
                <w:szCs w:val="18"/>
              </w:rPr>
              <w:t>Can the changing spacecraft–NEO geometry improves the distance and orbital determination of detected NEOs?</w:t>
            </w:r>
          </w:p>
        </w:tc>
        <w:tc>
          <w:tcPr>
            <w:tcW w:w="5352" w:type="dxa"/>
            <w:vAlign w:val="center"/>
          </w:tcPr>
          <w:p w14:paraId="689A3B4D" w14:textId="06DFB536" w:rsidR="00DC1B3F" w:rsidRPr="00DC1B3F" w:rsidRDefault="00DC1B3F" w:rsidP="00DC1B3F">
            <w:pPr>
              <w:spacing w:before="340" w:after="150"/>
              <w:cnfStyle w:val="000000000000" w:firstRow="0" w:lastRow="0" w:firstColumn="0" w:lastColumn="0" w:oddVBand="0" w:evenVBand="0" w:oddHBand="0" w:evenHBand="0" w:firstRowFirstColumn="0" w:firstRowLastColumn="0" w:lastRowFirstColumn="0" w:lastRowLastColumn="0"/>
              <w:rPr>
                <w:rFonts w:ascii="29LT Adir" w:hAnsi="29LT Adir" w:cs="29LT Adir"/>
                <w:sz w:val="18"/>
                <w:szCs w:val="18"/>
              </w:rPr>
            </w:pPr>
            <w:r w:rsidRPr="00DC1B3F">
              <w:rPr>
                <w:rFonts w:ascii="29LT Adir" w:hAnsi="29LT Adir" w:cs="29LT Adir"/>
                <w:sz w:val="18"/>
                <w:szCs w:val="18"/>
              </w:rPr>
              <w:t>Quantify the contribution of HEO-based parallax and time-series astrometry to constraining NEO distances and orbital parameters.</w:t>
            </w:r>
          </w:p>
        </w:tc>
      </w:tr>
      <w:tr w:rsidR="00DC1B3F" w14:paraId="1242BC69" w14:textId="77777777" w:rsidTr="00DC1B3F">
        <w:trPr>
          <w:cnfStyle w:val="000000100000" w:firstRow="0" w:lastRow="0" w:firstColumn="0" w:lastColumn="0" w:oddVBand="0" w:evenVBand="0" w:oddHBand="1" w:evenHBand="0" w:firstRowFirstColumn="0" w:firstRowLastColumn="0" w:lastRowFirstColumn="0" w:lastRowLastColumn="0"/>
          <w:trHeight w:val="942"/>
        </w:trPr>
        <w:tc>
          <w:tcPr>
            <w:cnfStyle w:val="001000000000" w:firstRow="0" w:lastRow="0" w:firstColumn="1" w:lastColumn="0" w:oddVBand="0" w:evenVBand="0" w:oddHBand="0" w:evenHBand="0" w:firstRowFirstColumn="0" w:firstRowLastColumn="0" w:lastRowFirstColumn="0" w:lastRowLastColumn="0"/>
            <w:tcW w:w="5352" w:type="dxa"/>
            <w:vAlign w:val="center"/>
          </w:tcPr>
          <w:p w14:paraId="037B7238" w14:textId="2542CCA2" w:rsidR="00DC1B3F" w:rsidRPr="00DC1B3F" w:rsidRDefault="00DC1B3F" w:rsidP="00DC1B3F">
            <w:pPr>
              <w:spacing w:before="340" w:after="150"/>
              <w:rPr>
                <w:rFonts w:ascii="29LT Adir" w:hAnsi="29LT Adir" w:cs="29LT Adir"/>
                <w:b w:val="0"/>
                <w:bCs w:val="0"/>
                <w:sz w:val="18"/>
                <w:szCs w:val="18"/>
              </w:rPr>
            </w:pPr>
            <w:r w:rsidRPr="00DC1B3F">
              <w:rPr>
                <w:rFonts w:ascii="29LT Adir" w:hAnsi="29LT Adir" w:cs="29LT Adir"/>
                <w:b w:val="0"/>
                <w:bCs w:val="0"/>
                <w:sz w:val="18"/>
                <w:szCs w:val="18"/>
              </w:rPr>
              <w:t>What physical properties of NEOs can be constrained through photometric observations from HEO?</w:t>
            </w:r>
          </w:p>
        </w:tc>
        <w:tc>
          <w:tcPr>
            <w:tcW w:w="5352" w:type="dxa"/>
            <w:vAlign w:val="center"/>
          </w:tcPr>
          <w:p w14:paraId="31D984AB" w14:textId="0EB11714" w:rsidR="00DC1B3F" w:rsidRPr="00DC1B3F" w:rsidRDefault="00DC1B3F" w:rsidP="00DC1B3F">
            <w:pPr>
              <w:spacing w:before="340" w:after="150"/>
              <w:cnfStyle w:val="000000100000" w:firstRow="0" w:lastRow="0" w:firstColumn="0" w:lastColumn="0" w:oddVBand="0" w:evenVBand="0" w:oddHBand="1" w:evenHBand="0" w:firstRowFirstColumn="0" w:firstRowLastColumn="0" w:lastRowFirstColumn="0" w:lastRowLastColumn="0"/>
              <w:rPr>
                <w:rFonts w:ascii="29LT Adir" w:hAnsi="29LT Adir" w:cs="29LT Adir"/>
                <w:sz w:val="18"/>
                <w:szCs w:val="18"/>
              </w:rPr>
            </w:pPr>
            <w:r w:rsidRPr="00DC1B3F">
              <w:rPr>
                <w:rFonts w:ascii="29LT Adir" w:hAnsi="29LT Adir" w:cs="29LT Adir"/>
                <w:sz w:val="18"/>
                <w:szCs w:val="18"/>
              </w:rPr>
              <w:t>Characterize selected NEOs through multi-band photometry and time-series light curves, enabling coarse taxonomic classification and rotational characterization.</w:t>
            </w:r>
          </w:p>
        </w:tc>
      </w:tr>
    </w:tbl>
    <w:p w14:paraId="649559B0" w14:textId="33E7435E" w:rsidR="00DA6DC3" w:rsidRDefault="00DA6DC3" w:rsidP="00BC657D">
      <w:pPr>
        <w:pBdr>
          <w:bottom w:val="single" w:sz="4" w:space="4" w:color="AAAAAA"/>
        </w:pBdr>
        <w:spacing w:before="340" w:after="150"/>
        <w:rPr>
          <w:sz w:val="22"/>
          <w:szCs w:val="22"/>
        </w:rPr>
      </w:pPr>
    </w:p>
    <w:p w14:paraId="1B8F2E7A" w14:textId="15541F80" w:rsidR="00DA6DC3" w:rsidRPr="00335C63" w:rsidRDefault="00C2714C">
      <w:pPr>
        <w:pBdr>
          <w:bottom w:val="single" w:sz="4" w:space="4" w:color="AAAAAA"/>
        </w:pBdr>
        <w:spacing w:before="340" w:after="150"/>
      </w:pPr>
      <w:r>
        <w:rPr>
          <w:rFonts w:ascii="29LT Adir" w:eastAsia="29LT Adir" w:hAnsi="29LT Adir" w:cs="29LT Adir"/>
          <w:color w:val="1F2A44"/>
          <w:sz w:val="28"/>
          <w:szCs w:val="28"/>
        </w:rPr>
        <w:lastRenderedPageBreak/>
        <w:t>3</w:t>
      </w:r>
      <w:r w:rsidRPr="00335C63">
        <w:rPr>
          <w:rFonts w:ascii="29LT Adir" w:eastAsia="29LT Adir" w:hAnsi="29LT Adir" w:cs="29LT Adir"/>
          <w:color w:val="1F2A44"/>
          <w:sz w:val="28"/>
          <w:szCs w:val="28"/>
        </w:rPr>
        <w:t>. Technology Demonstration Objectives</w:t>
      </w:r>
    </w:p>
    <w:p w14:paraId="5EF6ADD3" w14:textId="09ABEA7E" w:rsidR="00DA6DC3" w:rsidRPr="00F65811" w:rsidRDefault="00220203">
      <w:pPr>
        <w:spacing w:after="120"/>
        <w:jc w:val="both"/>
        <w:rPr>
          <w:sz w:val="18"/>
          <w:szCs w:val="18"/>
        </w:rPr>
      </w:pPr>
      <w:r>
        <w:rPr>
          <w:rFonts w:ascii="29LT Adir" w:hAnsi="29LT Adir" w:cs="29LT Adir"/>
          <w:b/>
          <w:bCs/>
          <w:color w:val="006C92"/>
          <w:sz w:val="22"/>
          <w:szCs w:val="22"/>
        </w:rPr>
        <w:t>3</w:t>
      </w:r>
      <w:r w:rsidRPr="00F65811">
        <w:rPr>
          <w:rFonts w:ascii="29LT Adir" w:hAnsi="29LT Adir" w:cs="29LT Adir"/>
          <w:b/>
          <w:bCs/>
          <w:color w:val="006C92"/>
          <w:sz w:val="22"/>
          <w:szCs w:val="22"/>
        </w:rPr>
        <w:t>.1</w:t>
      </w:r>
      <w:r w:rsidRPr="00F65811">
        <w:rPr>
          <w:b/>
          <w:bCs/>
          <w:color w:val="006C92"/>
          <w:sz w:val="21"/>
          <w:szCs w:val="21"/>
        </w:rPr>
        <w:t xml:space="preserve"> </w:t>
      </w:r>
      <w:r w:rsidRPr="00F65811">
        <w:rPr>
          <w:sz w:val="18"/>
          <w:szCs w:val="18"/>
        </w:rPr>
        <w:t>Demonstrate spacecraft activation and target reacquisition following extended pre-deployment dormancy. A near-Earth object tracking CubeSat has previously been lost to a dormancy-related fault before science operations began; no ≤30 kg near-Earth object mission has yet demonstrated survival through this risk class.</w:t>
      </w:r>
    </w:p>
    <w:p w14:paraId="387757A3" w14:textId="40223BA5" w:rsidR="00DA6DC3" w:rsidRPr="00F65811" w:rsidRDefault="00220203">
      <w:pPr>
        <w:spacing w:after="120"/>
        <w:jc w:val="both"/>
        <w:rPr>
          <w:sz w:val="18"/>
          <w:szCs w:val="18"/>
        </w:rPr>
      </w:pPr>
      <w:r>
        <w:rPr>
          <w:rFonts w:ascii="29LT Adir" w:hAnsi="29LT Adir" w:cs="29LT Adir"/>
          <w:b/>
          <w:bCs/>
          <w:color w:val="006C92"/>
          <w:sz w:val="22"/>
          <w:szCs w:val="22"/>
        </w:rPr>
        <w:t>3</w:t>
      </w:r>
      <w:r w:rsidR="00A758EB" w:rsidRPr="00F65811">
        <w:rPr>
          <w:rFonts w:ascii="29LT Adir" w:hAnsi="29LT Adir" w:cs="29LT Adir"/>
          <w:b/>
          <w:bCs/>
          <w:color w:val="006C92"/>
          <w:sz w:val="22"/>
          <w:szCs w:val="22"/>
        </w:rPr>
        <w:t>.2</w:t>
      </w:r>
      <w:r w:rsidR="00A758EB" w:rsidRPr="00F65811">
        <w:rPr>
          <w:rFonts w:ascii="29LT Adir" w:hAnsi="29LT Adir" w:cs="29LT Adir"/>
          <w:b/>
          <w:bCs/>
          <w:color w:val="006C92"/>
          <w:sz w:val="24"/>
          <w:szCs w:val="24"/>
        </w:rPr>
        <w:t xml:space="preserve"> </w:t>
      </w:r>
      <w:r w:rsidRPr="00F65811">
        <w:rPr>
          <w:sz w:val="18"/>
          <w:szCs w:val="18"/>
        </w:rPr>
        <w:t xml:space="preserve">Qualify a visible-band optical focal plane for sustained operation across repeated Van Allen belt </w:t>
      </w:r>
      <w:r w:rsidR="00A758EB" w:rsidRPr="00F65811">
        <w:rPr>
          <w:sz w:val="18"/>
          <w:szCs w:val="18"/>
        </w:rPr>
        <w:t>traversal and</w:t>
      </w:r>
      <w:r w:rsidRPr="00F65811">
        <w:rPr>
          <w:sz w:val="18"/>
          <w:szCs w:val="18"/>
        </w:rPr>
        <w:t xml:space="preserve"> establish the degradation model that closes the orbit trade of Section 2.3.</w:t>
      </w:r>
    </w:p>
    <w:p w14:paraId="5569D5D7" w14:textId="31B93CD4" w:rsidR="00DA6DC3" w:rsidRPr="00F65811" w:rsidRDefault="00220203">
      <w:pPr>
        <w:spacing w:after="120"/>
        <w:jc w:val="both"/>
        <w:rPr>
          <w:sz w:val="18"/>
          <w:szCs w:val="18"/>
        </w:rPr>
      </w:pPr>
      <w:r>
        <w:rPr>
          <w:rFonts w:ascii="29LT Adir" w:hAnsi="29LT Adir" w:cs="29LT Adir"/>
          <w:b/>
          <w:bCs/>
          <w:color w:val="006C92"/>
          <w:sz w:val="22"/>
          <w:szCs w:val="22"/>
        </w:rPr>
        <w:t>3</w:t>
      </w:r>
      <w:r w:rsidR="00A758EB" w:rsidRPr="00F65811">
        <w:rPr>
          <w:rFonts w:ascii="29LT Adir" w:hAnsi="29LT Adir" w:cs="29LT Adir"/>
          <w:b/>
          <w:bCs/>
          <w:color w:val="006C92"/>
          <w:sz w:val="22"/>
          <w:szCs w:val="22"/>
        </w:rPr>
        <w:t>.3</w:t>
      </w:r>
      <w:r w:rsidR="00A758EB" w:rsidRPr="00F65811">
        <w:rPr>
          <w:rFonts w:ascii="29LT Adir" w:hAnsi="29LT Adir" w:cs="29LT Adir"/>
          <w:b/>
          <w:bCs/>
          <w:color w:val="006C92"/>
          <w:sz w:val="24"/>
          <w:szCs w:val="24"/>
        </w:rPr>
        <w:t xml:space="preserve"> </w:t>
      </w:r>
      <w:r w:rsidRPr="00F65811">
        <w:rPr>
          <w:sz w:val="18"/>
          <w:szCs w:val="18"/>
        </w:rPr>
        <w:t>Demonstrate onboard candidate-track processing sufficient to reduce the downlink burden by not less than an order of magnitude relative to raw frame transmission, discriminating genuine moving-object tracks from stars, resident space objects and cosmic-ray events without ground confirmation.</w:t>
      </w:r>
    </w:p>
    <w:p w14:paraId="583D79D6" w14:textId="282EB545" w:rsidR="00DA6DC3" w:rsidRDefault="00220203">
      <w:pPr>
        <w:spacing w:after="120"/>
        <w:jc w:val="both"/>
      </w:pPr>
      <w:r>
        <w:rPr>
          <w:rFonts w:ascii="29LT Adir" w:hAnsi="29LT Adir" w:cs="29LT Adir"/>
          <w:b/>
          <w:bCs/>
          <w:color w:val="006C92"/>
          <w:sz w:val="22"/>
          <w:szCs w:val="22"/>
        </w:rPr>
        <w:t>3</w:t>
      </w:r>
      <w:r w:rsidR="00A758EB" w:rsidRPr="00F65811">
        <w:rPr>
          <w:rFonts w:ascii="29LT Adir" w:hAnsi="29LT Adir" w:cs="29LT Adir"/>
          <w:b/>
          <w:bCs/>
          <w:color w:val="006C92"/>
          <w:sz w:val="22"/>
          <w:szCs w:val="22"/>
        </w:rPr>
        <w:t>.4</w:t>
      </w:r>
      <w:r w:rsidR="00A758EB" w:rsidRPr="00F65811">
        <w:rPr>
          <w:rFonts w:ascii="29LT Adir" w:hAnsi="29LT Adir" w:cs="29LT Adir"/>
          <w:b/>
          <w:bCs/>
          <w:color w:val="006C92"/>
          <w:sz w:val="24"/>
          <w:szCs w:val="24"/>
        </w:rPr>
        <w:t xml:space="preserve"> </w:t>
      </w:r>
      <w:r w:rsidRPr="00F65811">
        <w:rPr>
          <w:sz w:val="18"/>
          <w:szCs w:val="18"/>
        </w:rPr>
        <w:t>Demonstrate an end-of-life disposal strategy for a highly elliptical platform. Luni-solar perturbation makes long-term perigee evolution in this regime difficult to predict; the strategy shall be defined at Phase A and shall not rely on natural decay</w:t>
      </w:r>
      <w:r>
        <w:rPr>
          <w:sz w:val="21"/>
          <w:szCs w:val="21"/>
        </w:rPr>
        <w:t>.</w:t>
      </w:r>
    </w:p>
    <w:p w14:paraId="4977F3B0" w14:textId="2B4D65CE" w:rsidR="00DA6DC3" w:rsidRPr="00335C63" w:rsidRDefault="00C2714C">
      <w:pPr>
        <w:pBdr>
          <w:bottom w:val="single" w:sz="4" w:space="4" w:color="AAAAAA"/>
        </w:pBdr>
        <w:spacing w:before="340" w:after="150"/>
      </w:pPr>
      <w:r>
        <w:rPr>
          <w:rFonts w:ascii="29LT Adir" w:eastAsia="29LT Adir" w:hAnsi="29LT Adir" w:cs="29LT Adir"/>
          <w:color w:val="1F2A44"/>
          <w:sz w:val="28"/>
          <w:szCs w:val="28"/>
        </w:rPr>
        <w:t>4</w:t>
      </w:r>
      <w:r w:rsidRPr="00335C63">
        <w:rPr>
          <w:rFonts w:ascii="29LT Adir" w:eastAsia="29LT Adir" w:hAnsi="29LT Adir" w:cs="29LT Adir"/>
          <w:color w:val="1F2A44"/>
          <w:sz w:val="28"/>
          <w:szCs w:val="28"/>
        </w:rPr>
        <w:t>. Payload Derivation and Objective Traceability</w:t>
      </w:r>
    </w:p>
    <w:p w14:paraId="19CC84D3" w14:textId="7415B5E2" w:rsidR="00DA6DC3" w:rsidRPr="00F65811" w:rsidRDefault="00C2714C">
      <w:pPr>
        <w:spacing w:before="240" w:after="90"/>
        <w:rPr>
          <w:color w:val="006C92"/>
          <w:sz w:val="24"/>
          <w:szCs w:val="24"/>
        </w:rPr>
      </w:pPr>
      <w:r>
        <w:rPr>
          <w:rFonts w:ascii="29LT Adir" w:eastAsia="29LT Adir" w:hAnsi="29LT Adir" w:cs="29LT Adir"/>
          <w:color w:val="006C92"/>
          <w:sz w:val="24"/>
          <w:szCs w:val="24"/>
        </w:rPr>
        <w:t>4</w:t>
      </w:r>
      <w:r w:rsidRPr="00F65811">
        <w:rPr>
          <w:rFonts w:ascii="29LT Adir" w:eastAsia="29LT Adir" w:hAnsi="29LT Adir" w:cs="29LT Adir"/>
          <w:color w:val="006C92"/>
          <w:sz w:val="24"/>
          <w:szCs w:val="24"/>
        </w:rPr>
        <w:t xml:space="preserve">.1 </w:t>
      </w:r>
      <w:r w:rsidR="007D40D1">
        <w:rPr>
          <w:rFonts w:ascii="29LT Adir" w:eastAsia="29LT Adir" w:hAnsi="29LT Adir" w:cs="29LT Adir"/>
          <w:color w:val="006C92"/>
          <w:sz w:val="24"/>
          <w:szCs w:val="24"/>
        </w:rPr>
        <w:t>Payload</w:t>
      </w:r>
      <w:r w:rsidRPr="00F65811">
        <w:rPr>
          <w:rFonts w:ascii="29LT Adir" w:eastAsia="29LT Adir" w:hAnsi="29LT Adir" w:cs="29LT Adir"/>
          <w:color w:val="006C92"/>
          <w:sz w:val="24"/>
          <w:szCs w:val="24"/>
        </w:rPr>
        <w:t xml:space="preserve"> derivation</w:t>
      </w:r>
    </w:p>
    <w:p w14:paraId="2FC3EE0C" w14:textId="77777777" w:rsidR="007D40D1" w:rsidRPr="007D40D1" w:rsidRDefault="007D40D1" w:rsidP="007D40D1">
      <w:pPr>
        <w:spacing w:after="140"/>
        <w:jc w:val="both"/>
        <w:rPr>
          <w:sz w:val="18"/>
          <w:szCs w:val="18"/>
        </w:rPr>
      </w:pPr>
      <w:r w:rsidRPr="007D40D1">
        <w:rPr>
          <w:sz w:val="18"/>
          <w:szCs w:val="18"/>
        </w:rPr>
        <w:t>The three science objectives converge on a single primary instrument: a visible-band optical telescope.</w:t>
      </w:r>
    </w:p>
    <w:p w14:paraId="78A6BBA4" w14:textId="77777777" w:rsidR="007D40D1" w:rsidRDefault="007D40D1" w:rsidP="007D40D1">
      <w:pPr>
        <w:spacing w:after="140"/>
        <w:jc w:val="both"/>
        <w:rPr>
          <w:sz w:val="18"/>
          <w:szCs w:val="18"/>
        </w:rPr>
      </w:pPr>
      <w:r>
        <w:rPr>
          <w:sz w:val="18"/>
          <w:szCs w:val="18"/>
        </w:rPr>
        <w:t>Objective.1</w:t>
      </w:r>
      <w:r w:rsidRPr="007D40D1">
        <w:rPr>
          <w:sz w:val="18"/>
          <w:szCs w:val="18"/>
        </w:rPr>
        <w:t xml:space="preserve"> requires wide-field imaging with sufficient sensitivity to detect NEOs across the 400–70,000 km orbital range. </w:t>
      </w:r>
    </w:p>
    <w:p w14:paraId="6716D3E2" w14:textId="77777777" w:rsidR="007D40D1" w:rsidRDefault="007D40D1" w:rsidP="007D40D1">
      <w:pPr>
        <w:spacing w:after="140"/>
        <w:jc w:val="both"/>
        <w:rPr>
          <w:sz w:val="18"/>
          <w:szCs w:val="18"/>
        </w:rPr>
      </w:pPr>
      <w:r>
        <w:rPr>
          <w:sz w:val="18"/>
          <w:szCs w:val="18"/>
        </w:rPr>
        <w:t>Objective.2</w:t>
      </w:r>
      <w:r w:rsidRPr="007D40D1">
        <w:rPr>
          <w:sz w:val="18"/>
          <w:szCs w:val="18"/>
        </w:rPr>
        <w:t xml:space="preserve"> requires precise time-tagged astrometry against the stellar background, together with accurate knowledge of the spacecraft position. </w:t>
      </w:r>
    </w:p>
    <w:p w14:paraId="0A9007BF" w14:textId="08DD63F2" w:rsidR="007D40D1" w:rsidRDefault="007D40D1" w:rsidP="007D40D1">
      <w:pPr>
        <w:spacing w:after="140"/>
        <w:jc w:val="both"/>
        <w:rPr>
          <w:sz w:val="18"/>
          <w:szCs w:val="18"/>
        </w:rPr>
      </w:pPr>
      <w:r>
        <w:rPr>
          <w:sz w:val="18"/>
          <w:szCs w:val="18"/>
        </w:rPr>
        <w:t>Objective.3</w:t>
      </w:r>
      <w:r w:rsidRPr="007D40D1">
        <w:rPr>
          <w:sz w:val="18"/>
          <w:szCs w:val="18"/>
        </w:rPr>
        <w:t xml:space="preserve"> requires multi-band photometry and time-series measurements to derive color indices and rotation periods.</w:t>
      </w:r>
    </w:p>
    <w:p w14:paraId="193D3EC7" w14:textId="77777777" w:rsidR="00C2714C" w:rsidRPr="00C2714C" w:rsidRDefault="00C2714C" w:rsidP="00C2714C">
      <w:pPr>
        <w:spacing w:after="140"/>
        <w:jc w:val="both"/>
        <w:rPr>
          <w:sz w:val="18"/>
          <w:szCs w:val="18"/>
        </w:rPr>
      </w:pPr>
      <w:r w:rsidRPr="00C2714C">
        <w:rPr>
          <w:sz w:val="18"/>
          <w:szCs w:val="18"/>
        </w:rPr>
        <w:t>An infrared channel is not carried. The present objectives are detection, astrometric/orbital characterization, and photometric characterization; none requires thermal-infrared measurements. Infrared instruments carried by benchmarked NEO missions primarily support physical characterization such as thermal inertia, diameter, and albedo. Those measurements are outside the present science objectives and would add mass and complexity without closing an identified measurement gap.</w:t>
      </w:r>
    </w:p>
    <w:p w14:paraId="73A843C8" w14:textId="77777777" w:rsidR="00C2714C" w:rsidRPr="007D40D1" w:rsidRDefault="00C2714C" w:rsidP="007D40D1">
      <w:pPr>
        <w:spacing w:after="140"/>
        <w:jc w:val="both"/>
        <w:rPr>
          <w:sz w:val="18"/>
          <w:szCs w:val="18"/>
        </w:rPr>
      </w:pPr>
    </w:p>
    <w:p w14:paraId="7DE59287" w14:textId="2263F743" w:rsidR="00C2714C" w:rsidRDefault="00C2714C" w:rsidP="00C2714C">
      <w:pPr>
        <w:spacing w:before="240" w:after="90"/>
        <w:rPr>
          <w:rFonts w:ascii="29LT Adir" w:eastAsia="29LT Adir" w:hAnsi="29LT Adir" w:cs="29LT Adir"/>
          <w:color w:val="006C92"/>
          <w:sz w:val="24"/>
          <w:szCs w:val="24"/>
        </w:rPr>
      </w:pPr>
      <w:r>
        <w:rPr>
          <w:rFonts w:ascii="29LT Adir" w:eastAsia="29LT Adir" w:hAnsi="29LT Adir" w:cs="29LT Adir"/>
          <w:color w:val="006C92"/>
          <w:sz w:val="24"/>
          <w:szCs w:val="24"/>
        </w:rPr>
        <w:t>4</w:t>
      </w:r>
      <w:r w:rsidRPr="00F65811">
        <w:rPr>
          <w:rFonts w:ascii="29LT Adir" w:eastAsia="29LT Adir" w:hAnsi="29LT Adir" w:cs="29LT Adir"/>
          <w:color w:val="006C92"/>
          <w:sz w:val="24"/>
          <w:szCs w:val="24"/>
        </w:rPr>
        <w:t>.2 Objective-to-payload traceability</w:t>
      </w:r>
    </w:p>
    <w:tbl>
      <w:tblPr>
        <w:tblW w:w="9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2536"/>
        <w:gridCol w:w="2826"/>
        <w:gridCol w:w="3218"/>
      </w:tblGrid>
      <w:tr w:rsidR="007D40D1" w:rsidRPr="007D40D1" w14:paraId="1B023CBA" w14:textId="77777777" w:rsidTr="00220203">
        <w:trPr>
          <w:trHeight w:val="213"/>
          <w:tblHeader/>
        </w:trPr>
        <w:tc>
          <w:tcPr>
            <w:tcW w:w="1237" w:type="dxa"/>
            <w:tcBorders>
              <w:top w:val="single" w:sz="4" w:space="0" w:color="auto"/>
              <w:left w:val="single" w:sz="4" w:space="0" w:color="auto"/>
              <w:bottom w:val="single" w:sz="4" w:space="0" w:color="auto"/>
              <w:right w:val="single" w:sz="4" w:space="0" w:color="auto"/>
            </w:tcBorders>
            <w:shd w:val="clear" w:color="auto" w:fill="E4E9F2"/>
            <w:tcMar>
              <w:top w:w="70" w:type="dxa"/>
              <w:left w:w="100" w:type="dxa"/>
              <w:bottom w:w="70" w:type="dxa"/>
              <w:right w:w="100" w:type="dxa"/>
            </w:tcMar>
          </w:tcPr>
          <w:p w14:paraId="6B783E48"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Objective</w:t>
            </w:r>
          </w:p>
        </w:tc>
        <w:tc>
          <w:tcPr>
            <w:tcW w:w="2536" w:type="dxa"/>
            <w:tcBorders>
              <w:top w:val="single" w:sz="4" w:space="0" w:color="auto"/>
              <w:left w:val="single" w:sz="4" w:space="0" w:color="auto"/>
              <w:bottom w:val="single" w:sz="4" w:space="0" w:color="auto"/>
              <w:right w:val="single" w:sz="4" w:space="0" w:color="auto"/>
            </w:tcBorders>
            <w:shd w:val="clear" w:color="auto" w:fill="E4E9F2"/>
            <w:tcMar>
              <w:top w:w="70" w:type="dxa"/>
              <w:left w:w="100" w:type="dxa"/>
              <w:bottom w:w="70" w:type="dxa"/>
              <w:right w:w="100" w:type="dxa"/>
            </w:tcMar>
          </w:tcPr>
          <w:p w14:paraId="7EFA2EF0"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Required measurement</w:t>
            </w:r>
          </w:p>
        </w:tc>
        <w:tc>
          <w:tcPr>
            <w:tcW w:w="2826" w:type="dxa"/>
            <w:tcBorders>
              <w:top w:val="single" w:sz="4" w:space="0" w:color="auto"/>
              <w:left w:val="single" w:sz="4" w:space="0" w:color="auto"/>
              <w:bottom w:val="single" w:sz="4" w:space="0" w:color="auto"/>
              <w:right w:val="single" w:sz="4" w:space="0" w:color="auto"/>
            </w:tcBorders>
            <w:shd w:val="clear" w:color="auto" w:fill="E4E9F2"/>
            <w:tcMar>
              <w:top w:w="70" w:type="dxa"/>
              <w:left w:w="100" w:type="dxa"/>
              <w:bottom w:w="70" w:type="dxa"/>
              <w:right w:w="100" w:type="dxa"/>
            </w:tcMar>
          </w:tcPr>
          <w:p w14:paraId="5EE7A4D9"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Payload / subsystem</w:t>
            </w:r>
          </w:p>
        </w:tc>
        <w:tc>
          <w:tcPr>
            <w:tcW w:w="3218" w:type="dxa"/>
            <w:tcBorders>
              <w:top w:val="single" w:sz="4" w:space="0" w:color="auto"/>
              <w:left w:val="single" w:sz="4" w:space="0" w:color="auto"/>
              <w:bottom w:val="single" w:sz="4" w:space="0" w:color="auto"/>
              <w:right w:val="single" w:sz="4" w:space="0" w:color="auto"/>
            </w:tcBorders>
            <w:shd w:val="clear" w:color="auto" w:fill="E4E9F2"/>
            <w:tcMar>
              <w:top w:w="70" w:type="dxa"/>
              <w:left w:w="100" w:type="dxa"/>
              <w:bottom w:w="70" w:type="dxa"/>
              <w:right w:w="100" w:type="dxa"/>
            </w:tcMar>
          </w:tcPr>
          <w:p w14:paraId="77ABF5D1"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Key requirement</w:t>
            </w:r>
          </w:p>
        </w:tc>
      </w:tr>
      <w:tr w:rsidR="007D40D1" w:rsidRPr="007D40D1" w14:paraId="658D0187" w14:textId="77777777" w:rsidTr="00220203">
        <w:trPr>
          <w:trHeight w:val="628"/>
          <w:tblHeader/>
        </w:trPr>
        <w:tc>
          <w:tcPr>
            <w:tcW w:w="1237"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3FE07154" w14:textId="51498532" w:rsidR="007D40D1" w:rsidRPr="007D40D1" w:rsidRDefault="007D40D1" w:rsidP="007D40D1">
            <w:pPr>
              <w:rPr>
                <w:rFonts w:ascii="29LT Adir" w:hAnsi="29LT Adir" w:cs="29LT Adir"/>
                <w:sz w:val="18"/>
                <w:szCs w:val="18"/>
              </w:rPr>
            </w:pPr>
            <w:r w:rsidRPr="007D40D1">
              <w:rPr>
                <w:rFonts w:ascii="29LT Adir" w:hAnsi="29LT Adir" w:cs="29LT Adir"/>
                <w:sz w:val="18"/>
                <w:szCs w:val="18"/>
              </w:rPr>
              <w:t>NEO detection &amp; observational coverage</w:t>
            </w:r>
          </w:p>
        </w:tc>
        <w:tc>
          <w:tcPr>
            <w:tcW w:w="2536"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2068817A"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NEO detections, limiting magnitude, sky coverage, detection efficiency as a function of observing geometry</w:t>
            </w:r>
          </w:p>
        </w:tc>
        <w:tc>
          <w:tcPr>
            <w:tcW w:w="2826"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643BF69E"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Visible-band optical telescope + detector</w:t>
            </w:r>
          </w:p>
        </w:tc>
        <w:tc>
          <w:tcPr>
            <w:tcW w:w="3218"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6B70E84F"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Sufficient field of view, sensitivity and dynamic range to survey the accessible sky across 400–70,000 km</w:t>
            </w:r>
          </w:p>
        </w:tc>
      </w:tr>
      <w:tr w:rsidR="007D40D1" w:rsidRPr="007D40D1" w14:paraId="324F4C8F" w14:textId="77777777" w:rsidTr="00220203">
        <w:trPr>
          <w:trHeight w:val="852"/>
          <w:tblHeader/>
        </w:trPr>
        <w:tc>
          <w:tcPr>
            <w:tcW w:w="1237"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6D80885C" w14:textId="416E4090" w:rsidR="007D40D1" w:rsidRPr="007D40D1" w:rsidRDefault="007D40D1" w:rsidP="007D40D1">
            <w:pPr>
              <w:rPr>
                <w:rFonts w:ascii="29LT Adir" w:hAnsi="29LT Adir" w:cs="29LT Adir"/>
                <w:sz w:val="18"/>
                <w:szCs w:val="18"/>
              </w:rPr>
            </w:pPr>
            <w:r w:rsidRPr="007D40D1">
              <w:rPr>
                <w:rFonts w:ascii="29LT Adir" w:hAnsi="29LT Adir" w:cs="29LT Adir"/>
                <w:sz w:val="18"/>
                <w:szCs w:val="18"/>
              </w:rPr>
              <w:t>Astrometry &amp; orbit determination</w:t>
            </w:r>
          </w:p>
        </w:tc>
        <w:tc>
          <w:tcPr>
            <w:tcW w:w="2536"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76FC15F9"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Time-tagged angular position + spacecraft position</w:t>
            </w:r>
          </w:p>
        </w:tc>
        <w:tc>
          <w:tcPr>
            <w:tcW w:w="2826"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3FE3E8AB"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Same telescope + GNSS + time reference</w:t>
            </w:r>
          </w:p>
        </w:tc>
        <w:tc>
          <w:tcPr>
            <w:tcW w:w="3218"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2561C1AA"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Astrometric and navigation errors must be sufficiently small that orbit/range uncertainty is dominated by the measurement, not the observer state</w:t>
            </w:r>
          </w:p>
        </w:tc>
      </w:tr>
      <w:tr w:rsidR="007D40D1" w:rsidRPr="007D40D1" w14:paraId="2071D8A7" w14:textId="77777777" w:rsidTr="00220203">
        <w:trPr>
          <w:trHeight w:val="639"/>
          <w:tblHeader/>
        </w:trPr>
        <w:tc>
          <w:tcPr>
            <w:tcW w:w="1237"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2738CD76" w14:textId="65EBC42B" w:rsidR="007D40D1" w:rsidRPr="007D40D1" w:rsidRDefault="007D40D1" w:rsidP="007D40D1">
            <w:pPr>
              <w:rPr>
                <w:rFonts w:ascii="29LT Adir" w:hAnsi="29LT Adir" w:cs="29LT Adir"/>
                <w:sz w:val="18"/>
                <w:szCs w:val="18"/>
              </w:rPr>
            </w:pPr>
            <w:r w:rsidRPr="007D40D1">
              <w:rPr>
                <w:rFonts w:ascii="29LT Adir" w:hAnsi="29LT Adir" w:cs="29LT Adir"/>
                <w:sz w:val="18"/>
                <w:szCs w:val="18"/>
              </w:rPr>
              <w:t>Photometric characterization</w:t>
            </w:r>
          </w:p>
        </w:tc>
        <w:tc>
          <w:tcPr>
            <w:tcW w:w="2536"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492EF498"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Multi-band color indices + time-series brightness measurements</w:t>
            </w:r>
          </w:p>
        </w:tc>
        <w:tc>
          <w:tcPr>
            <w:tcW w:w="2826"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296A450F"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Same telescope + filter complement + attitude control</w:t>
            </w:r>
          </w:p>
        </w:tc>
        <w:tc>
          <w:tcPr>
            <w:tcW w:w="3218"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6CE8221E"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Photometric stability and target tracking sufficient to derive coarse colors and rotation periods</w:t>
            </w:r>
          </w:p>
        </w:tc>
      </w:tr>
      <w:tr w:rsidR="007D40D1" w:rsidRPr="007D40D1" w14:paraId="00185029" w14:textId="77777777" w:rsidTr="00220203">
        <w:trPr>
          <w:trHeight w:val="415"/>
          <w:tblHeader/>
        </w:trPr>
        <w:tc>
          <w:tcPr>
            <w:tcW w:w="1237"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4A914CF8"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w:t>
            </w:r>
          </w:p>
        </w:tc>
        <w:tc>
          <w:tcPr>
            <w:tcW w:w="2536"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434298D1"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w:t>
            </w:r>
          </w:p>
        </w:tc>
        <w:tc>
          <w:tcPr>
            <w:tcW w:w="2826"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6CED51C8"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Onboard candidate/track processing</w:t>
            </w:r>
          </w:p>
        </w:tc>
        <w:tc>
          <w:tcPr>
            <w:tcW w:w="3218" w:type="dxa"/>
            <w:tcBorders>
              <w:top w:val="single" w:sz="4" w:space="0" w:color="auto"/>
              <w:left w:val="single" w:sz="4" w:space="0" w:color="auto"/>
              <w:bottom w:val="single" w:sz="4" w:space="0" w:color="auto"/>
              <w:right w:val="single" w:sz="4" w:space="0" w:color="auto"/>
            </w:tcBorders>
            <w:shd w:val="clear" w:color="auto" w:fill="FFFFFF" w:themeFill="background1"/>
            <w:tcMar>
              <w:top w:w="70" w:type="dxa"/>
              <w:left w:w="100" w:type="dxa"/>
              <w:bottom w:w="70" w:type="dxa"/>
              <w:right w:w="100" w:type="dxa"/>
            </w:tcMar>
          </w:tcPr>
          <w:p w14:paraId="676746E9" w14:textId="77777777" w:rsidR="007D40D1" w:rsidRPr="007D40D1" w:rsidRDefault="007D40D1" w:rsidP="007D40D1">
            <w:pPr>
              <w:jc w:val="center"/>
              <w:rPr>
                <w:rFonts w:ascii="29LT Adir" w:hAnsi="29LT Adir" w:cs="29LT Adir"/>
                <w:sz w:val="18"/>
                <w:szCs w:val="18"/>
              </w:rPr>
            </w:pPr>
            <w:r w:rsidRPr="007D40D1">
              <w:rPr>
                <w:rFonts w:ascii="29LT Adir" w:hAnsi="29LT Adir" w:cs="29LT Adir"/>
                <w:sz w:val="18"/>
                <w:szCs w:val="18"/>
              </w:rPr>
              <w:t>Reduce continuous imaging to detections and selected target tracks for downlink</w:t>
            </w:r>
          </w:p>
        </w:tc>
      </w:tr>
    </w:tbl>
    <w:p w14:paraId="4EA3BAEC" w14:textId="77777777" w:rsidR="00F65811" w:rsidRDefault="00F65811">
      <w:pPr>
        <w:spacing w:after="140"/>
        <w:jc w:val="both"/>
        <w:rPr>
          <w:sz w:val="21"/>
          <w:szCs w:val="21"/>
        </w:rPr>
      </w:pPr>
    </w:p>
    <w:p w14:paraId="0C14BFB1" w14:textId="7B006F04" w:rsidR="00DA6DC3" w:rsidRDefault="00000000" w:rsidP="00C739AC">
      <w:pPr>
        <w:spacing w:after="140"/>
        <w:jc w:val="both"/>
        <w:rPr>
          <w:sz w:val="18"/>
          <w:szCs w:val="18"/>
        </w:rPr>
      </w:pPr>
      <w:r w:rsidRPr="00F65811">
        <w:rPr>
          <w:sz w:val="18"/>
          <w:szCs w:val="18"/>
        </w:rPr>
        <w:t xml:space="preserve">The telescope is the only science instrument and serves all </w:t>
      </w:r>
      <w:r w:rsidR="007D40D1">
        <w:rPr>
          <w:sz w:val="18"/>
          <w:szCs w:val="18"/>
        </w:rPr>
        <w:t>three</w:t>
      </w:r>
      <w:r w:rsidRPr="00F65811">
        <w:rPr>
          <w:sz w:val="18"/>
          <w:szCs w:val="18"/>
        </w:rPr>
        <w:t xml:space="preserve"> objectives; aperture, field and focal-plane selection are consequently the dominant payload trade.</w:t>
      </w:r>
      <w:r w:rsidR="00C2714C">
        <w:rPr>
          <w:sz w:val="18"/>
          <w:szCs w:val="18"/>
        </w:rPr>
        <w:t xml:space="preserve"> </w:t>
      </w:r>
      <w:r w:rsidR="00C2714C" w:rsidRPr="00C2714C">
        <w:rPr>
          <w:sz w:val="18"/>
          <w:szCs w:val="18"/>
        </w:rPr>
        <w:t xml:space="preserve">The GNSS receiver is science-enabling because </w:t>
      </w:r>
      <w:r w:rsidR="00C2714C">
        <w:rPr>
          <w:sz w:val="18"/>
          <w:szCs w:val="18"/>
        </w:rPr>
        <w:t xml:space="preserve">Objective.2 </w:t>
      </w:r>
      <w:r w:rsidR="00C2714C" w:rsidRPr="00C2714C">
        <w:rPr>
          <w:sz w:val="18"/>
          <w:szCs w:val="18"/>
        </w:rPr>
        <w:t>depends on accurate knowledge of the spacecraft's position. HEO parallax can only improve NEO range and orbit determination if the observer position and observation epoch are known with sufficient accuracy.</w:t>
      </w:r>
    </w:p>
    <w:p w14:paraId="29534393" w14:textId="77777777" w:rsidR="00C739AC" w:rsidRDefault="00C739AC" w:rsidP="00C739AC">
      <w:pPr>
        <w:spacing w:after="140"/>
        <w:jc w:val="both"/>
        <w:rPr>
          <w:sz w:val="18"/>
          <w:szCs w:val="18"/>
        </w:rPr>
      </w:pPr>
    </w:p>
    <w:p w14:paraId="51AF5E23" w14:textId="77777777" w:rsidR="00C739AC" w:rsidRPr="00C2714C" w:rsidRDefault="00C739AC" w:rsidP="00C739AC">
      <w:pPr>
        <w:spacing w:after="140"/>
        <w:jc w:val="both"/>
        <w:rPr>
          <w:sz w:val="18"/>
          <w:szCs w:val="18"/>
        </w:rPr>
      </w:pPr>
    </w:p>
    <w:p w14:paraId="710FB824" w14:textId="6EC23DB3" w:rsidR="00DA6DC3" w:rsidRPr="00335C63" w:rsidRDefault="00C2714C" w:rsidP="00C739AC">
      <w:pPr>
        <w:pBdr>
          <w:bottom w:val="single" w:sz="4" w:space="4" w:color="AAAAAA"/>
        </w:pBdr>
        <w:spacing w:before="340" w:after="150"/>
      </w:pPr>
      <w:r>
        <w:rPr>
          <w:rFonts w:ascii="29LT Adir" w:eastAsia="29LT Adir" w:hAnsi="29LT Adir" w:cs="29LT Adir"/>
          <w:color w:val="1F2A44"/>
          <w:sz w:val="28"/>
          <w:szCs w:val="28"/>
        </w:rPr>
        <w:lastRenderedPageBreak/>
        <w:t>5</w:t>
      </w:r>
      <w:r w:rsidRPr="00335C63">
        <w:rPr>
          <w:rFonts w:ascii="29LT Adir" w:eastAsia="29LT Adir" w:hAnsi="29LT Adir" w:cs="29LT Adir"/>
          <w:color w:val="1F2A44"/>
          <w:sz w:val="28"/>
          <w:szCs w:val="28"/>
        </w:rPr>
        <w:t>. Constraints and Assumptions</w:t>
      </w:r>
    </w:p>
    <w:p w14:paraId="168DE5B0" w14:textId="77777777" w:rsidR="00593DEA" w:rsidRPr="00593DEA" w:rsidRDefault="00593DEA" w:rsidP="00593DEA">
      <w:pPr>
        <w:spacing w:after="120"/>
        <w:rPr>
          <w:sz w:val="18"/>
          <w:szCs w:val="18"/>
        </w:rPr>
      </w:pPr>
      <w:r w:rsidRPr="00593DEA">
        <w:rPr>
          <w:color w:val="006C92"/>
          <w:sz w:val="18"/>
          <w:szCs w:val="18"/>
        </w:rPr>
        <w:t>5.1 Spacecraft mass.</w:t>
      </w:r>
      <w:r w:rsidRPr="00593DEA">
        <w:rPr>
          <w:sz w:val="18"/>
          <w:szCs w:val="18"/>
        </w:rPr>
        <w:br/>
        <w:t>The complete spacecraft shall remain within a ≤30 kg mass class. This constraint governs the available aperture, detector, attitude-control hardware, power, shielding and onboard processing capability.</w:t>
      </w:r>
    </w:p>
    <w:p w14:paraId="5CB15678" w14:textId="77777777" w:rsidR="00593DEA" w:rsidRPr="00593DEA" w:rsidRDefault="00593DEA" w:rsidP="00593DEA">
      <w:pPr>
        <w:spacing w:after="120"/>
        <w:rPr>
          <w:sz w:val="18"/>
          <w:szCs w:val="18"/>
        </w:rPr>
      </w:pPr>
      <w:r w:rsidRPr="00593DEA">
        <w:rPr>
          <w:color w:val="006C92"/>
          <w:sz w:val="18"/>
          <w:szCs w:val="18"/>
        </w:rPr>
        <w:t>5.2 HEO architecture.</w:t>
      </w:r>
      <w:r w:rsidRPr="00593DEA">
        <w:rPr>
          <w:sz w:val="18"/>
          <w:szCs w:val="18"/>
        </w:rPr>
        <w:br/>
        <w:t>The mission shall operate from a highly elliptical Earth orbit, with a baseline apogee of approximately 76,000 km geocentric altitude. Perigee altitude remains a Phase-A trade between radiation-induced detector degradation and the available parallax baseline.</w:t>
      </w:r>
    </w:p>
    <w:p w14:paraId="1A4F2904" w14:textId="77777777" w:rsidR="00593DEA" w:rsidRPr="00593DEA" w:rsidRDefault="00593DEA" w:rsidP="00593DEA">
      <w:pPr>
        <w:spacing w:after="120"/>
        <w:rPr>
          <w:sz w:val="18"/>
          <w:szCs w:val="18"/>
        </w:rPr>
      </w:pPr>
      <w:r w:rsidRPr="00593DEA">
        <w:rPr>
          <w:color w:val="006C92"/>
          <w:sz w:val="18"/>
          <w:szCs w:val="18"/>
        </w:rPr>
        <w:t>5.3 Follow-up rather than discovery.</w:t>
      </w:r>
      <w:r w:rsidRPr="00593DEA">
        <w:rPr>
          <w:sz w:val="18"/>
          <w:szCs w:val="18"/>
        </w:rPr>
        <w:br/>
        <w:t>The mission shall not perform first discovery of NEOs. Targets shall be provided by existing ground-based surveys or catalogues, and the spacecraft shall perform follow-up detection, reacquisition, tracking and characterization.</w:t>
      </w:r>
    </w:p>
    <w:p w14:paraId="69E535BF" w14:textId="77777777" w:rsidR="00593DEA" w:rsidRPr="00593DEA" w:rsidRDefault="00593DEA" w:rsidP="00593DEA">
      <w:pPr>
        <w:spacing w:after="120"/>
        <w:rPr>
          <w:sz w:val="18"/>
          <w:szCs w:val="18"/>
        </w:rPr>
      </w:pPr>
      <w:r w:rsidRPr="00593DEA">
        <w:rPr>
          <w:color w:val="006C92"/>
          <w:sz w:val="18"/>
          <w:szCs w:val="18"/>
        </w:rPr>
        <w:t>5.4 Apogee science operations.</w:t>
      </w:r>
      <w:r w:rsidRPr="00593DEA">
        <w:rPr>
          <w:sz w:val="18"/>
          <w:szCs w:val="18"/>
        </w:rPr>
        <w:br/>
        <w:t>Primary science observations shall be conducted during the apogee arc, where long dwell time, reduced Earth obstruction and the maximum observer baseline are available. The perigee arc is allocated primarily to spacecraft operations and communications.</w:t>
      </w:r>
    </w:p>
    <w:p w14:paraId="194BE28A" w14:textId="77777777" w:rsidR="00593DEA" w:rsidRPr="00593DEA" w:rsidRDefault="00593DEA" w:rsidP="00593DEA">
      <w:pPr>
        <w:spacing w:after="120"/>
        <w:rPr>
          <w:sz w:val="18"/>
          <w:szCs w:val="18"/>
        </w:rPr>
      </w:pPr>
      <w:r w:rsidRPr="00593DEA">
        <w:rPr>
          <w:color w:val="006C92"/>
          <w:sz w:val="18"/>
          <w:szCs w:val="18"/>
        </w:rPr>
        <w:t>5.5 Fixed payload mounting.</w:t>
      </w:r>
      <w:r w:rsidRPr="00593DEA">
        <w:rPr>
          <w:sz w:val="18"/>
          <w:szCs w:val="18"/>
        </w:rPr>
        <w:br/>
        <w:t>The telescope shall be rigidly mounted with no independent pointing mechanism. The baseline boresight shall be fixed in the anti-nadir direction. Nadir mounting is rejected because the Earth occupies a substantial fraction of the field of view at lower altitudes and Earth-limb stray light becomes the dominant optical-background constraint. Anti-nadir is therefore the baseline fixed mounting configuration.</w:t>
      </w:r>
    </w:p>
    <w:p w14:paraId="0F3E8F2B" w14:textId="77777777" w:rsidR="00593DEA" w:rsidRPr="00593DEA" w:rsidRDefault="00593DEA" w:rsidP="00593DEA">
      <w:pPr>
        <w:spacing w:after="120"/>
        <w:rPr>
          <w:sz w:val="18"/>
          <w:szCs w:val="18"/>
        </w:rPr>
      </w:pPr>
      <w:r w:rsidRPr="00593DEA">
        <w:rPr>
          <w:color w:val="006C92"/>
          <w:sz w:val="18"/>
          <w:szCs w:val="18"/>
        </w:rPr>
        <w:t>5.6 Attitude control and pointing.</w:t>
      </w:r>
      <w:r w:rsidRPr="00593DEA">
        <w:rPr>
          <w:sz w:val="18"/>
          <w:szCs w:val="18"/>
        </w:rPr>
        <w:br/>
        <w:t>The spacecraft shall provide three-axis attitude control and attitude knowledge sufficient for target acquisition, tracking, time-tagged astrometry and time-series photometry. Reaction-wheel-based pointing is therefore baselined.</w:t>
      </w:r>
    </w:p>
    <w:p w14:paraId="7D953877" w14:textId="382C7602" w:rsidR="001D7878" w:rsidRPr="00593DEA" w:rsidRDefault="00593DEA" w:rsidP="005D290E">
      <w:pPr>
        <w:spacing w:after="120"/>
        <w:rPr>
          <w:sz w:val="18"/>
          <w:szCs w:val="18"/>
        </w:rPr>
      </w:pPr>
      <w:r w:rsidRPr="00593DEA">
        <w:rPr>
          <w:color w:val="006C92"/>
          <w:sz w:val="18"/>
          <w:szCs w:val="18"/>
        </w:rPr>
        <w:t>5.7 Parallax measurement.</w:t>
      </w:r>
      <w:r w:rsidRPr="00593DEA">
        <w:rPr>
          <w:sz w:val="18"/>
          <w:szCs w:val="18"/>
        </w:rPr>
        <w:br/>
        <w:t>HEO parallax shall not be treated as an instantaneous unilateral range measurement. The primary range constraint requires an epoch-matched observation from a second observer. Spacecraft-only self-parallax during an apogee pass may provide an additional constraint, but with lower performance and greater dependence on the orbit and observation model.</w:t>
      </w:r>
    </w:p>
    <w:sectPr w:rsidR="001D7878" w:rsidRPr="00593DEA" w:rsidSect="00F65811">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078C6" w14:textId="77777777" w:rsidR="004F5221" w:rsidRDefault="004F5221">
      <w:r>
        <w:separator/>
      </w:r>
    </w:p>
  </w:endnote>
  <w:endnote w:type="continuationSeparator" w:id="0">
    <w:p w14:paraId="683CE240" w14:textId="77777777" w:rsidR="004F5221" w:rsidRDefault="004F52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29LT Adir">
    <w:panose1 w:val="00000506000000000000"/>
    <w:charset w:val="00"/>
    <w:family w:val="modern"/>
    <w:notTrueType/>
    <w:pitch w:val="variable"/>
    <w:sig w:usb0="0000202F" w:usb1="80002040" w:usb2="00000008" w:usb3="00000000" w:csb0="000000D3"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F3D8" w14:textId="6AB7561C" w:rsidR="001A4175" w:rsidRPr="00D32877" w:rsidRDefault="00D32877" w:rsidP="00D32877">
    <w:pPr>
      <w:pStyle w:val="Footer"/>
      <w:jc w:val="center"/>
    </w:pPr>
    <w:r>
      <w:rPr>
        <w:sz w:val="18"/>
        <w:szCs w:val="18"/>
      </w:rPr>
      <w:fldChar w:fldCharType="begin" w:fldLock="1"/>
    </w:r>
    <w:r>
      <w:rPr>
        <w:sz w:val="18"/>
        <w:szCs w:val="18"/>
      </w:rPr>
      <w:instrText xml:space="preserve"> DOCPROPERTY bjFooterEvenPageDocProperty \* MERGEFORMAT </w:instrText>
    </w:r>
    <w:r>
      <w:rPr>
        <w:sz w:val="18"/>
        <w:szCs w:val="18"/>
      </w:rPr>
      <w:fldChar w:fldCharType="separate"/>
    </w:r>
    <w:r w:rsidRPr="00D32877">
      <w:rPr>
        <w:rFonts w:ascii="Calibri" w:hAnsi="Calibri" w:cs="Calibri"/>
        <w:color w:val="000000"/>
        <w:sz w:val="24"/>
        <w:szCs w:val="24"/>
      </w:rPr>
      <w:t xml:space="preserve">   </w:t>
    </w:r>
    <w:r w:rsidRPr="00D32877">
      <w:rPr>
        <w:rFonts w:ascii="Calibri" w:hAnsi="Calibri" w:cs="Calibri"/>
        <w:color w:val="339966"/>
        <w:sz w:val="24"/>
        <w:szCs w:val="24"/>
      </w:rPr>
      <w:t>Public</w:t>
    </w:r>
    <w:r w:rsidRPr="00D32877">
      <w:rPr>
        <w:rFonts w:ascii="Calibri" w:hAnsi="Calibri" w:cs="Calibri"/>
        <w:color w:val="000000"/>
        <w:sz w:val="24"/>
        <w:szCs w:val="24"/>
      </w:rPr>
      <w:t xml:space="preserve">   </w:t>
    </w:r>
    <w:r w:rsidRPr="00D32877">
      <w:rPr>
        <w:rFonts w:ascii="Calibri" w:hAnsi="Calibri"/>
        <w:color w:val="339966"/>
        <w:sz w:val="24"/>
        <w:szCs w:val="24"/>
        <w:rtl/>
      </w:rPr>
      <w:t>عام</w:t>
    </w:r>
    <w:r>
      <w:rPr>
        <w:sz w:val="18"/>
        <w:szCs w:val="18"/>
        <w:rt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9236E" w14:textId="4BE74A13" w:rsidR="001A4175" w:rsidRPr="00D32877" w:rsidRDefault="00D32877" w:rsidP="00D32877">
    <w:pPr>
      <w:pStyle w:val="Footer"/>
      <w:jc w:val="center"/>
    </w:pPr>
    <w:r>
      <w:rPr>
        <w:sz w:val="18"/>
        <w:szCs w:val="18"/>
      </w:rPr>
      <w:fldChar w:fldCharType="begin" w:fldLock="1"/>
    </w:r>
    <w:r>
      <w:rPr>
        <w:sz w:val="18"/>
        <w:szCs w:val="18"/>
      </w:rPr>
      <w:instrText xml:space="preserve"> DOCPROPERTY bjFooterBothDocProperty \* MERGEFORMAT </w:instrText>
    </w:r>
    <w:r>
      <w:rPr>
        <w:sz w:val="18"/>
        <w:szCs w:val="18"/>
      </w:rPr>
      <w:fldChar w:fldCharType="separate"/>
    </w:r>
    <w:r w:rsidRPr="00D32877">
      <w:rPr>
        <w:rFonts w:ascii="Calibri" w:hAnsi="Calibri" w:cs="Calibri"/>
        <w:color w:val="000000"/>
        <w:sz w:val="24"/>
        <w:szCs w:val="24"/>
      </w:rPr>
      <w:t xml:space="preserve">   </w:t>
    </w:r>
    <w:r w:rsidRPr="00D32877">
      <w:rPr>
        <w:rFonts w:ascii="Calibri" w:hAnsi="Calibri" w:cs="Calibri"/>
        <w:color w:val="339966"/>
        <w:sz w:val="24"/>
        <w:szCs w:val="24"/>
      </w:rPr>
      <w:t>Public</w:t>
    </w:r>
    <w:r w:rsidRPr="00D32877">
      <w:rPr>
        <w:rFonts w:ascii="Calibri" w:hAnsi="Calibri" w:cs="Calibri"/>
        <w:color w:val="000000"/>
        <w:sz w:val="24"/>
        <w:szCs w:val="24"/>
      </w:rPr>
      <w:t xml:space="preserve">   </w:t>
    </w:r>
    <w:r w:rsidRPr="00D32877">
      <w:rPr>
        <w:rFonts w:ascii="Calibri" w:hAnsi="Calibri"/>
        <w:color w:val="339966"/>
        <w:sz w:val="24"/>
        <w:szCs w:val="24"/>
        <w:rtl/>
      </w:rPr>
      <w:t>عام</w:t>
    </w:r>
    <w:r>
      <w:rPr>
        <w:sz w:val="18"/>
        <w:szCs w:val="18"/>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9F849" w14:textId="56F0F2C3" w:rsidR="001A4175" w:rsidRPr="00D32877" w:rsidRDefault="00D32877" w:rsidP="00D32877">
    <w:pPr>
      <w:pStyle w:val="Footer"/>
      <w:jc w:val="center"/>
    </w:pPr>
    <w:r>
      <w:rPr>
        <w:sz w:val="18"/>
        <w:szCs w:val="18"/>
      </w:rPr>
      <w:fldChar w:fldCharType="begin" w:fldLock="1"/>
    </w:r>
    <w:r>
      <w:rPr>
        <w:sz w:val="18"/>
        <w:szCs w:val="18"/>
      </w:rPr>
      <w:instrText xml:space="preserve"> DOCPROPERTY bjFooterFirstPageDocProperty \* MERGEFORMAT </w:instrText>
    </w:r>
    <w:r>
      <w:rPr>
        <w:sz w:val="18"/>
        <w:szCs w:val="18"/>
      </w:rPr>
      <w:fldChar w:fldCharType="separate"/>
    </w:r>
    <w:r w:rsidRPr="00D32877">
      <w:rPr>
        <w:rFonts w:ascii="Calibri" w:hAnsi="Calibri" w:cs="Calibri"/>
        <w:color w:val="000000"/>
        <w:sz w:val="24"/>
        <w:szCs w:val="24"/>
      </w:rPr>
      <w:t xml:space="preserve">   </w:t>
    </w:r>
    <w:r w:rsidRPr="00D32877">
      <w:rPr>
        <w:rFonts w:ascii="Calibri" w:hAnsi="Calibri" w:cs="Calibri"/>
        <w:color w:val="339966"/>
        <w:sz w:val="24"/>
        <w:szCs w:val="24"/>
      </w:rPr>
      <w:t>Public</w:t>
    </w:r>
    <w:r w:rsidRPr="00D32877">
      <w:rPr>
        <w:rFonts w:ascii="Calibri" w:hAnsi="Calibri" w:cs="Calibri"/>
        <w:color w:val="000000"/>
        <w:sz w:val="24"/>
        <w:szCs w:val="24"/>
      </w:rPr>
      <w:t xml:space="preserve">   </w:t>
    </w:r>
    <w:r w:rsidRPr="00D32877">
      <w:rPr>
        <w:rFonts w:ascii="Calibri" w:hAnsi="Calibri"/>
        <w:color w:val="339966"/>
        <w:sz w:val="24"/>
        <w:szCs w:val="24"/>
        <w:rtl/>
      </w:rPr>
      <w:t>عام</w:t>
    </w:r>
    <w:r>
      <w:rPr>
        <w:sz w:val="18"/>
        <w:szCs w:val="18"/>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8A87F" w14:textId="77777777" w:rsidR="004F5221" w:rsidRDefault="004F5221">
      <w:r>
        <w:separator/>
      </w:r>
    </w:p>
  </w:footnote>
  <w:footnote w:type="continuationSeparator" w:id="0">
    <w:p w14:paraId="59A6942E" w14:textId="77777777" w:rsidR="004F5221" w:rsidRDefault="004F52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29E7" w14:textId="49BA7374" w:rsidR="001A4175" w:rsidRPr="00D32877" w:rsidRDefault="00D32877" w:rsidP="00D32877">
    <w:pPr>
      <w:pStyle w:val="Header"/>
      <w:jc w:val="center"/>
    </w:pPr>
    <w:r>
      <w:rPr>
        <w:sz w:val="18"/>
        <w:szCs w:val="18"/>
      </w:rPr>
      <w:fldChar w:fldCharType="begin" w:fldLock="1"/>
    </w:r>
    <w:r>
      <w:rPr>
        <w:sz w:val="18"/>
        <w:szCs w:val="18"/>
      </w:rPr>
      <w:instrText xml:space="preserve"> DOCPROPERTY bjHeaderEvenPageDocProperty \* MERGEFORMAT </w:instrText>
    </w:r>
    <w:r>
      <w:rPr>
        <w:sz w:val="18"/>
        <w:szCs w:val="18"/>
      </w:rPr>
      <w:fldChar w:fldCharType="separate"/>
    </w:r>
    <w:r w:rsidRPr="00D32877">
      <w:rPr>
        <w:rFonts w:ascii="Calibri" w:hAnsi="Calibri" w:cs="Calibri"/>
        <w:color w:val="339966"/>
        <w:sz w:val="24"/>
        <w:szCs w:val="24"/>
      </w:rPr>
      <w:t xml:space="preserve">Public </w:t>
    </w:r>
    <w:r>
      <w:rPr>
        <w:sz w:val="18"/>
        <w:szCs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051F" w14:textId="35C75785" w:rsidR="00D32877" w:rsidRDefault="00D32877" w:rsidP="00D32877">
    <w:pPr>
      <w:pBdr>
        <w:bottom w:val="single" w:sz="4" w:space="4" w:color="AAAAAA"/>
      </w:pBdr>
      <w:tabs>
        <w:tab w:val="right" w:pos="9026"/>
      </w:tabs>
      <w:jc w:val="center"/>
      <w:rPr>
        <w:rFonts w:ascii="29LT Adir" w:hAnsi="29LT Adir" w:cs="29LT Adir"/>
        <w:color w:val="555555"/>
        <w:sz w:val="16"/>
        <w:szCs w:val="16"/>
      </w:rPr>
    </w:pPr>
    <w:r w:rsidRPr="00D32877">
      <w:rPr>
        <w:rFonts w:ascii="29LT Adir" w:hAnsi="29LT Adir" w:cs="29LT Adir"/>
        <w:color w:val="555555"/>
        <w:sz w:val="18"/>
        <w:szCs w:val="18"/>
      </w:rPr>
      <w:fldChar w:fldCharType="begin" w:fldLock="1"/>
    </w:r>
    <w:r w:rsidRPr="00D32877">
      <w:rPr>
        <w:rFonts w:ascii="29LT Adir" w:hAnsi="29LT Adir" w:cs="29LT Adir"/>
        <w:color w:val="555555"/>
        <w:sz w:val="18"/>
        <w:szCs w:val="18"/>
      </w:rPr>
      <w:instrText xml:space="preserve"> DOCPROPERTY bjHeaderBothDocProperty \* MERGEFORMAT </w:instrText>
    </w:r>
    <w:r w:rsidRPr="00D32877">
      <w:rPr>
        <w:rFonts w:ascii="29LT Adir" w:hAnsi="29LT Adir" w:cs="29LT Adir"/>
        <w:color w:val="555555"/>
        <w:sz w:val="18"/>
        <w:szCs w:val="18"/>
      </w:rPr>
      <w:fldChar w:fldCharType="separate"/>
    </w:r>
    <w:r w:rsidRPr="00D32877">
      <w:rPr>
        <w:rFonts w:ascii="Calibri" w:hAnsi="Calibri" w:cs="Calibri"/>
        <w:color w:val="339966"/>
        <w:sz w:val="24"/>
        <w:szCs w:val="24"/>
      </w:rPr>
      <w:t xml:space="preserve">Public </w:t>
    </w:r>
    <w:r w:rsidRPr="00D32877">
      <w:rPr>
        <w:rFonts w:ascii="29LT Adir" w:hAnsi="29LT Adir" w:cs="29LT Adir"/>
        <w:color w:val="555555"/>
        <w:sz w:val="18"/>
        <w:szCs w:val="18"/>
      </w:rPr>
      <w:fldChar w:fldCharType="end"/>
    </w:r>
  </w:p>
  <w:p w14:paraId="785AF934" w14:textId="0AB75614" w:rsidR="00DA6DC3" w:rsidRPr="00F65811" w:rsidRDefault="00000000">
    <w:pPr>
      <w:pBdr>
        <w:bottom w:val="single" w:sz="4" w:space="4" w:color="AAAAAA"/>
      </w:pBdr>
      <w:tabs>
        <w:tab w:val="right" w:pos="9026"/>
      </w:tabs>
      <w:rPr>
        <w:rFonts w:ascii="29LT Adir" w:hAnsi="29LT Adir" w:cs="29LT Adir"/>
      </w:rPr>
    </w:pPr>
    <w:r w:rsidRPr="00F65811">
      <w:rPr>
        <w:rFonts w:ascii="29LT Adir" w:hAnsi="29LT Adir" w:cs="29LT Adir"/>
        <w:color w:val="555555"/>
        <w:sz w:val="16"/>
        <w:szCs w:val="16"/>
      </w:rPr>
      <w:t>HEO NEO Tracking and Monitoring Mission — Mission Objectives</w:t>
    </w:r>
    <w:r w:rsidRPr="00F65811">
      <w:rPr>
        <w:rFonts w:ascii="29LT Adir" w:hAnsi="29LT Adir" w:cs="29LT Adir"/>
        <w:sz w:val="16"/>
        <w:szCs w:val="16"/>
      </w:rPr>
      <w:tab/>
    </w:r>
    <w:r w:rsidRPr="00F65811">
      <w:rPr>
        <w:rFonts w:ascii="29LT Adir" w:hAnsi="29LT Adir" w:cs="29LT Adir"/>
        <w:color w:val="555555"/>
        <w:sz w:val="16"/>
        <w:szCs w:val="16"/>
      </w:rPr>
      <w:t xml:space="preserve">Page </w:t>
    </w:r>
    <w:r w:rsidRPr="00F65811">
      <w:rPr>
        <w:rFonts w:ascii="29LT Adir" w:hAnsi="29LT Adir" w:cs="29LT Adir"/>
        <w:color w:val="555555"/>
        <w:sz w:val="16"/>
        <w:szCs w:val="16"/>
      </w:rPr>
      <w:fldChar w:fldCharType="begin"/>
    </w:r>
    <w:r w:rsidRPr="00F65811">
      <w:rPr>
        <w:rFonts w:ascii="29LT Adir" w:hAnsi="29LT Adir" w:cs="29LT Adir"/>
        <w:color w:val="555555"/>
        <w:sz w:val="16"/>
        <w:szCs w:val="16"/>
      </w:rPr>
      <w:instrText>PAGE</w:instrText>
    </w:r>
    <w:r w:rsidRPr="00F65811">
      <w:rPr>
        <w:rFonts w:ascii="29LT Adir" w:hAnsi="29LT Adir" w:cs="29LT Adir"/>
        <w:color w:val="555555"/>
        <w:sz w:val="16"/>
        <w:szCs w:val="16"/>
      </w:rPr>
      <w:fldChar w:fldCharType="separate"/>
    </w:r>
    <w:r w:rsidR="00335C63" w:rsidRPr="00F65811">
      <w:rPr>
        <w:rFonts w:ascii="29LT Adir" w:hAnsi="29LT Adir" w:cs="29LT Adir"/>
        <w:noProof/>
        <w:color w:val="555555"/>
        <w:sz w:val="16"/>
        <w:szCs w:val="16"/>
      </w:rPr>
      <w:t>1</w:t>
    </w:r>
    <w:r w:rsidRPr="00F65811">
      <w:rPr>
        <w:rFonts w:ascii="29LT Adir" w:hAnsi="29LT Adir" w:cs="29LT Adir"/>
        <w:color w:val="555555"/>
        <w:sz w:val="16"/>
        <w:szCs w:val="16"/>
      </w:rPr>
      <w:fldChar w:fldCharType="end"/>
    </w:r>
    <w:r w:rsidRPr="00F65811">
      <w:rPr>
        <w:rFonts w:ascii="29LT Adir" w:hAnsi="29LT Adir" w:cs="29LT Adir"/>
        <w:color w:val="555555"/>
        <w:sz w:val="16"/>
        <w:szCs w:val="16"/>
      </w:rPr>
      <w:t xml:space="preserve"> of </w:t>
    </w:r>
    <w:r w:rsidRPr="00F65811">
      <w:rPr>
        <w:rFonts w:ascii="29LT Adir" w:hAnsi="29LT Adir" w:cs="29LT Adir"/>
        <w:color w:val="555555"/>
        <w:sz w:val="16"/>
        <w:szCs w:val="16"/>
      </w:rPr>
      <w:fldChar w:fldCharType="begin"/>
    </w:r>
    <w:r w:rsidRPr="00F65811">
      <w:rPr>
        <w:rFonts w:ascii="29LT Adir" w:hAnsi="29LT Adir" w:cs="29LT Adir"/>
        <w:color w:val="555555"/>
        <w:sz w:val="16"/>
        <w:szCs w:val="16"/>
      </w:rPr>
      <w:instrText>NUMPAGES</w:instrText>
    </w:r>
    <w:r w:rsidRPr="00F65811">
      <w:rPr>
        <w:rFonts w:ascii="29LT Adir" w:hAnsi="29LT Adir" w:cs="29LT Adir"/>
        <w:color w:val="555555"/>
        <w:sz w:val="16"/>
        <w:szCs w:val="16"/>
      </w:rPr>
      <w:fldChar w:fldCharType="separate"/>
    </w:r>
    <w:r w:rsidR="00335C63" w:rsidRPr="00F65811">
      <w:rPr>
        <w:rFonts w:ascii="29LT Adir" w:hAnsi="29LT Adir" w:cs="29LT Adir"/>
        <w:noProof/>
        <w:color w:val="555555"/>
        <w:sz w:val="16"/>
        <w:szCs w:val="16"/>
      </w:rPr>
      <w:t>2</w:t>
    </w:r>
    <w:r w:rsidRPr="00F65811">
      <w:rPr>
        <w:rFonts w:ascii="29LT Adir" w:hAnsi="29LT Adir" w:cs="29LT Adir"/>
        <w:color w:val="555555"/>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A6D" w14:textId="20169677" w:rsidR="001A4175" w:rsidRPr="00D32877" w:rsidRDefault="00D32877" w:rsidP="00D32877">
    <w:pPr>
      <w:pStyle w:val="Header"/>
      <w:jc w:val="center"/>
    </w:pPr>
    <w:r>
      <w:rPr>
        <w:sz w:val="18"/>
        <w:szCs w:val="18"/>
      </w:rPr>
      <w:fldChar w:fldCharType="begin" w:fldLock="1"/>
    </w:r>
    <w:r>
      <w:rPr>
        <w:sz w:val="18"/>
        <w:szCs w:val="18"/>
      </w:rPr>
      <w:instrText xml:space="preserve"> DOCPROPERTY bjHeaderFirstPageDocProperty \* MERGEFORMAT </w:instrText>
    </w:r>
    <w:r>
      <w:rPr>
        <w:sz w:val="18"/>
        <w:szCs w:val="18"/>
      </w:rPr>
      <w:fldChar w:fldCharType="separate"/>
    </w:r>
    <w:r w:rsidRPr="00D32877">
      <w:rPr>
        <w:rFonts w:ascii="Calibri" w:hAnsi="Calibri" w:cs="Calibri"/>
        <w:color w:val="339966"/>
        <w:sz w:val="24"/>
        <w:szCs w:val="24"/>
      </w:rPr>
      <w:t xml:space="preserve">Public </w:t>
    </w:r>
    <w:r>
      <w:rPr>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96654"/>
    <w:multiLevelType w:val="hybridMultilevel"/>
    <w:tmpl w:val="C5DE4C10"/>
    <w:lvl w:ilvl="0" w:tplc="7B62CA86">
      <w:start w:val="1"/>
      <w:numFmt w:val="bullet"/>
      <w:lvlText w:val="•"/>
      <w:lvlJc w:val="left"/>
      <w:pPr>
        <w:ind w:left="460" w:hanging="260"/>
      </w:pPr>
    </w:lvl>
    <w:lvl w:ilvl="1" w:tplc="12EE9EF8">
      <w:numFmt w:val="decimal"/>
      <w:lvlText w:val=""/>
      <w:lvlJc w:val="left"/>
    </w:lvl>
    <w:lvl w:ilvl="2" w:tplc="332456C4">
      <w:numFmt w:val="decimal"/>
      <w:lvlText w:val=""/>
      <w:lvlJc w:val="left"/>
    </w:lvl>
    <w:lvl w:ilvl="3" w:tplc="FD82F95E">
      <w:numFmt w:val="decimal"/>
      <w:lvlText w:val=""/>
      <w:lvlJc w:val="left"/>
    </w:lvl>
    <w:lvl w:ilvl="4" w:tplc="361ACCD6">
      <w:numFmt w:val="decimal"/>
      <w:lvlText w:val=""/>
      <w:lvlJc w:val="left"/>
    </w:lvl>
    <w:lvl w:ilvl="5" w:tplc="AE0A5BD6">
      <w:numFmt w:val="decimal"/>
      <w:lvlText w:val=""/>
      <w:lvlJc w:val="left"/>
    </w:lvl>
    <w:lvl w:ilvl="6" w:tplc="9ED61C0C">
      <w:numFmt w:val="decimal"/>
      <w:lvlText w:val=""/>
      <w:lvlJc w:val="left"/>
    </w:lvl>
    <w:lvl w:ilvl="7" w:tplc="51E63B50">
      <w:numFmt w:val="decimal"/>
      <w:lvlText w:val=""/>
      <w:lvlJc w:val="left"/>
    </w:lvl>
    <w:lvl w:ilvl="8" w:tplc="E650413A">
      <w:numFmt w:val="decimal"/>
      <w:lvlText w:val=""/>
      <w:lvlJc w:val="left"/>
    </w:lvl>
  </w:abstractNum>
  <w:abstractNum w:abstractNumId="1" w15:restartNumberingAfterBreak="0">
    <w:nsid w:val="05FB18B8"/>
    <w:multiLevelType w:val="hybridMultilevel"/>
    <w:tmpl w:val="E8D6E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C3E4A4C"/>
    <w:multiLevelType w:val="hybridMultilevel"/>
    <w:tmpl w:val="C7FA59C2"/>
    <w:lvl w:ilvl="0" w:tplc="DE723EF6">
      <w:start w:val="1"/>
      <w:numFmt w:val="decimal"/>
      <w:lvlText w:val="%1."/>
      <w:lvlJc w:val="left"/>
      <w:pPr>
        <w:ind w:left="630" w:hanging="360"/>
      </w:pPr>
      <w:rPr>
        <w:rFonts w:hint="default"/>
        <w:color w:val="006C92"/>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 w15:restartNumberingAfterBreak="0">
    <w:nsid w:val="4F4C5A6E"/>
    <w:multiLevelType w:val="hybridMultilevel"/>
    <w:tmpl w:val="7A582340"/>
    <w:lvl w:ilvl="0" w:tplc="A71EB84C">
      <w:start w:val="1"/>
      <w:numFmt w:val="bullet"/>
      <w:lvlText w:val="●"/>
      <w:lvlJc w:val="left"/>
      <w:pPr>
        <w:ind w:left="720" w:hanging="360"/>
      </w:pPr>
    </w:lvl>
    <w:lvl w:ilvl="1" w:tplc="B0CC0484">
      <w:start w:val="1"/>
      <w:numFmt w:val="bullet"/>
      <w:lvlText w:val="○"/>
      <w:lvlJc w:val="left"/>
      <w:pPr>
        <w:ind w:left="1440" w:hanging="360"/>
      </w:pPr>
    </w:lvl>
    <w:lvl w:ilvl="2" w:tplc="7A6C2112">
      <w:start w:val="1"/>
      <w:numFmt w:val="bullet"/>
      <w:lvlText w:val="■"/>
      <w:lvlJc w:val="left"/>
      <w:pPr>
        <w:ind w:left="2160" w:hanging="360"/>
      </w:pPr>
    </w:lvl>
    <w:lvl w:ilvl="3" w:tplc="379830FA">
      <w:start w:val="1"/>
      <w:numFmt w:val="bullet"/>
      <w:lvlText w:val="●"/>
      <w:lvlJc w:val="left"/>
      <w:pPr>
        <w:ind w:left="2880" w:hanging="360"/>
      </w:pPr>
    </w:lvl>
    <w:lvl w:ilvl="4" w:tplc="3B6AA50E">
      <w:start w:val="1"/>
      <w:numFmt w:val="bullet"/>
      <w:lvlText w:val="○"/>
      <w:lvlJc w:val="left"/>
      <w:pPr>
        <w:ind w:left="3600" w:hanging="360"/>
      </w:pPr>
    </w:lvl>
    <w:lvl w:ilvl="5" w:tplc="848438F8">
      <w:start w:val="1"/>
      <w:numFmt w:val="bullet"/>
      <w:lvlText w:val="■"/>
      <w:lvlJc w:val="left"/>
      <w:pPr>
        <w:ind w:left="4320" w:hanging="360"/>
      </w:pPr>
    </w:lvl>
    <w:lvl w:ilvl="6" w:tplc="EEDAC29A">
      <w:start w:val="1"/>
      <w:numFmt w:val="bullet"/>
      <w:lvlText w:val="●"/>
      <w:lvlJc w:val="left"/>
      <w:pPr>
        <w:ind w:left="5040" w:hanging="360"/>
      </w:pPr>
    </w:lvl>
    <w:lvl w:ilvl="7" w:tplc="1B2CD54C">
      <w:start w:val="1"/>
      <w:numFmt w:val="bullet"/>
      <w:lvlText w:val="●"/>
      <w:lvlJc w:val="left"/>
      <w:pPr>
        <w:ind w:left="5760" w:hanging="360"/>
      </w:pPr>
    </w:lvl>
    <w:lvl w:ilvl="8" w:tplc="7182E6EA">
      <w:start w:val="1"/>
      <w:numFmt w:val="bullet"/>
      <w:lvlText w:val="●"/>
      <w:lvlJc w:val="left"/>
      <w:pPr>
        <w:ind w:left="6480" w:hanging="360"/>
      </w:pPr>
    </w:lvl>
  </w:abstractNum>
  <w:abstractNum w:abstractNumId="4" w15:restartNumberingAfterBreak="0">
    <w:nsid w:val="5A3C04E5"/>
    <w:multiLevelType w:val="multilevel"/>
    <w:tmpl w:val="C48CE9C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74655112">
    <w:abstractNumId w:val="3"/>
    <w:lvlOverride w:ilvl="0">
      <w:startOverride w:val="1"/>
    </w:lvlOverride>
  </w:num>
  <w:num w:numId="2" w16cid:durableId="1659726567">
    <w:abstractNumId w:val="2"/>
  </w:num>
  <w:num w:numId="3" w16cid:durableId="288098887">
    <w:abstractNumId w:val="1"/>
  </w:num>
  <w:num w:numId="4" w16cid:durableId="2142772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DC3"/>
    <w:rsid w:val="00053029"/>
    <w:rsid w:val="00093167"/>
    <w:rsid w:val="00141C43"/>
    <w:rsid w:val="00192F4F"/>
    <w:rsid w:val="001A4175"/>
    <w:rsid w:val="001D0E08"/>
    <w:rsid w:val="001D7878"/>
    <w:rsid w:val="001F40DB"/>
    <w:rsid w:val="00220203"/>
    <w:rsid w:val="00253A5C"/>
    <w:rsid w:val="002D0522"/>
    <w:rsid w:val="00327AFE"/>
    <w:rsid w:val="00335C63"/>
    <w:rsid w:val="004852B1"/>
    <w:rsid w:val="004B0ACA"/>
    <w:rsid w:val="004E0352"/>
    <w:rsid w:val="004F5221"/>
    <w:rsid w:val="00593DEA"/>
    <w:rsid w:val="005D290E"/>
    <w:rsid w:val="006F5DA2"/>
    <w:rsid w:val="007D40D1"/>
    <w:rsid w:val="009B5FB4"/>
    <w:rsid w:val="00A758EB"/>
    <w:rsid w:val="00B03B82"/>
    <w:rsid w:val="00B36D6C"/>
    <w:rsid w:val="00BC657D"/>
    <w:rsid w:val="00C2714C"/>
    <w:rsid w:val="00C739AC"/>
    <w:rsid w:val="00C830F9"/>
    <w:rsid w:val="00D32877"/>
    <w:rsid w:val="00DA6DC3"/>
    <w:rsid w:val="00DC1B3F"/>
    <w:rsid w:val="00E72A31"/>
    <w:rsid w:val="00EE042C"/>
    <w:rsid w:val="00F658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0B1275"/>
  <w15:docId w15:val="{1D790E88-CD2C-402F-8005-051AB9566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29LT Adir" w:eastAsia="29LT Adir" w:hAnsi="29LT Adir" w:cs="29LT Adir"/>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758EB"/>
    <w:pPr>
      <w:tabs>
        <w:tab w:val="center" w:pos="4680"/>
        <w:tab w:val="right" w:pos="9360"/>
      </w:tabs>
    </w:pPr>
  </w:style>
  <w:style w:type="character" w:customStyle="1" w:styleId="HeaderChar">
    <w:name w:val="Header Char"/>
    <w:basedOn w:val="DefaultParagraphFont"/>
    <w:link w:val="Header"/>
    <w:uiPriority w:val="99"/>
    <w:rsid w:val="00A758EB"/>
  </w:style>
  <w:style w:type="paragraph" w:styleId="Footer">
    <w:name w:val="footer"/>
    <w:basedOn w:val="Normal"/>
    <w:link w:val="FooterChar"/>
    <w:uiPriority w:val="99"/>
    <w:unhideWhenUsed/>
    <w:rsid w:val="00A758EB"/>
    <w:pPr>
      <w:tabs>
        <w:tab w:val="center" w:pos="4680"/>
        <w:tab w:val="right" w:pos="9360"/>
      </w:tabs>
    </w:pPr>
  </w:style>
  <w:style w:type="character" w:customStyle="1" w:styleId="FooterChar">
    <w:name w:val="Footer Char"/>
    <w:basedOn w:val="DefaultParagraphFont"/>
    <w:link w:val="Footer"/>
    <w:uiPriority w:val="99"/>
    <w:rsid w:val="00A758EB"/>
  </w:style>
  <w:style w:type="character" w:styleId="CommentReference">
    <w:name w:val="annotation reference"/>
    <w:basedOn w:val="DefaultParagraphFont"/>
    <w:uiPriority w:val="99"/>
    <w:semiHidden/>
    <w:unhideWhenUsed/>
    <w:rsid w:val="002D0522"/>
    <w:rPr>
      <w:sz w:val="16"/>
      <w:szCs w:val="16"/>
    </w:rPr>
  </w:style>
  <w:style w:type="paragraph" w:styleId="CommentText">
    <w:name w:val="annotation text"/>
    <w:basedOn w:val="Normal"/>
    <w:link w:val="CommentTextChar"/>
    <w:uiPriority w:val="99"/>
    <w:unhideWhenUsed/>
    <w:rsid w:val="002D0522"/>
  </w:style>
  <w:style w:type="character" w:customStyle="1" w:styleId="CommentTextChar">
    <w:name w:val="Comment Text Char"/>
    <w:basedOn w:val="DefaultParagraphFont"/>
    <w:link w:val="CommentText"/>
    <w:uiPriority w:val="99"/>
    <w:rsid w:val="002D0522"/>
  </w:style>
  <w:style w:type="paragraph" w:styleId="CommentSubject">
    <w:name w:val="annotation subject"/>
    <w:basedOn w:val="CommentText"/>
    <w:next w:val="CommentText"/>
    <w:link w:val="CommentSubjectChar"/>
    <w:uiPriority w:val="99"/>
    <w:semiHidden/>
    <w:unhideWhenUsed/>
    <w:rsid w:val="002D0522"/>
    <w:rPr>
      <w:b/>
      <w:bCs/>
    </w:rPr>
  </w:style>
  <w:style w:type="character" w:customStyle="1" w:styleId="CommentSubjectChar">
    <w:name w:val="Comment Subject Char"/>
    <w:basedOn w:val="CommentTextChar"/>
    <w:link w:val="CommentSubject"/>
    <w:uiPriority w:val="99"/>
    <w:semiHidden/>
    <w:rsid w:val="002D0522"/>
    <w:rPr>
      <w:b/>
      <w:bCs/>
    </w:rPr>
  </w:style>
  <w:style w:type="table" w:styleId="TableGridLight">
    <w:name w:val="Grid Table Light"/>
    <w:basedOn w:val="TableNormal"/>
    <w:uiPriority w:val="40"/>
    <w:rsid w:val="00E72A3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BC657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DC1B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DC1B3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DC1B3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7D40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rappedLabelHistory xmlns:xsd="http://www.w3.org/2001/XMLSchema" xmlns:xsi="http://www.w3.org/2001/XMLSchema-instance" xmlns="http://www.boldonjames.com/2016/02/Classifier/internal/wrappedLabelHistory">
  <Value>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</Value>
</WrappedLabelHistory>
</file>

<file path=customXml/item2.xml><?xml version="1.0" encoding="utf-8"?>
<sisl xmlns:xsd="http://www.w3.org/2001/XMLSchema" xmlns:xsi="http://www.w3.org/2001/XMLSchema-instance" xmlns="http://www.boldonjames.com/2008/01/sie/internal/label" sislVersion="0" policy="8b9cb8bf-2d94-4622-988b-93b20f6be894" origin="userSelected">
  <element uid="fdcd3891-9b11-4d0e-a467-f6161d9a4d3c" value=""/>
</sisl>
</file>

<file path=customXml/itemProps1.xml><?xml version="1.0" encoding="utf-8"?>
<ds:datastoreItem xmlns:ds="http://schemas.openxmlformats.org/officeDocument/2006/customXml" ds:itemID="{DEADA930-5BFD-4705-80E7-5993C23F1A45}">
  <ds:schemaRefs>
    <ds:schemaRef ds:uri="http://www.w3.org/2001/XMLSchema"/>
    <ds:schemaRef ds:uri="http://www.boldonjames.com/2016/02/Classifier/internal/wrappedLabelHistory"/>
  </ds:schemaRefs>
</ds:datastoreItem>
</file>

<file path=customXml/itemProps2.xml><?xml version="1.0" encoding="utf-8"?>
<ds:datastoreItem xmlns:ds="http://schemas.openxmlformats.org/officeDocument/2006/customXml" ds:itemID="{A511FC1D-8D4F-4A75-A006-364041D47AA0}">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Template>
  <TotalTime>2446</TotalTime>
  <Pages>1</Pages>
  <Words>1153</Words>
  <Characters>7373</Characters>
  <Application>Microsoft Office Word</Application>
  <DocSecurity>0</DocSecurity>
  <Lines>139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keywords>Public </cp:keywords>
  <cp:lastModifiedBy>Noora Al-Quaydhib</cp:lastModifiedBy>
  <cp:revision>11</cp:revision>
  <dcterms:created xsi:type="dcterms:W3CDTF">2026-08-24T11:56:00Z</dcterms:created>
  <dcterms:modified xsi:type="dcterms:W3CDTF">2026-08-27T14:02:00Z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cdb62a1d-af41-40b4-b6e8-066d282acdb2</vt:lpwstr>
  </property>
  <property fmtid="{D5CDD505-2E9C-101B-9397-08002B2CF9AE}" pid="3" name="bjSaver">
    <vt:lpwstr>RoS5091pzVkqbevZHv0gwGNV2OYvI6N/</vt:lpwstr>
  </property>
  <property fmtid="{D5CDD505-2E9C-101B-9397-08002B2CF9AE}" pid="4" name="bjClsUserRVM">
    <vt:lpwstr>[]</vt:lpwstr>
  </property>
  <property fmtid="{D5CDD505-2E9C-101B-9397-08002B2CF9AE}" pid="5" name="bjDocumentLabelXML">
    <vt:lpwstr>&lt;?xml version="1.0" encoding="us-ascii"?&gt;&lt;sisl xmlns:xsd="http://www.w3.org/2001/XMLSchema" xmlns:xsi="http://www.w3.org/2001/XMLSchema-instance" sislVersion="0" policy="8b9cb8bf-2d94-4622-988b-93b20f6be894" origin="userSelected" xmlns="http://www.boldonj</vt:lpwstr>
  </property>
  <property fmtid="{D5CDD505-2E9C-101B-9397-08002B2CF9AE}" pid="6" name="bjDocumentLabelXML-0">
    <vt:lpwstr>ames.com/2008/01/sie/internal/label"&gt;&lt;element uid="fdcd3891-9b11-4d0e-a467-f6161d9a4d3c" value="" /&gt;&lt;/sisl&gt;</vt:lpwstr>
  </property>
  <property fmtid="{D5CDD505-2E9C-101B-9397-08002B2CF9AE}" pid="7" name="bjDocumentSecurityLabel">
    <vt:lpwstr>Public </vt:lpwstr>
  </property>
  <property fmtid="{D5CDD505-2E9C-101B-9397-08002B2CF9AE}" pid="8" name="bjHeaderBothDocProperty">
    <vt:lpwstr>Public </vt:lpwstr>
  </property>
  <property fmtid="{D5CDD505-2E9C-101B-9397-08002B2CF9AE}" pid="9" name="bjHeaderFirstPageDocProperty">
    <vt:lpwstr>Public </vt:lpwstr>
  </property>
  <property fmtid="{D5CDD505-2E9C-101B-9397-08002B2CF9AE}" pid="10" name="bjHeaderEvenPageDocProperty">
    <vt:lpwstr>Public </vt:lpwstr>
  </property>
  <property fmtid="{D5CDD505-2E9C-101B-9397-08002B2CF9AE}" pid="11" name="bjFooterBothDocProperty">
    <vt:lpwstr>   Public   عام</vt:lpwstr>
  </property>
  <property fmtid="{D5CDD505-2E9C-101B-9397-08002B2CF9AE}" pid="12" name="bjFooterFirstPageDocProperty">
    <vt:lpwstr>   Public   عام</vt:lpwstr>
  </property>
  <property fmtid="{D5CDD505-2E9C-101B-9397-08002B2CF9AE}" pid="13" name="bjFooterEvenPageDocProperty">
    <vt:lpwstr>   Public   عام</vt:lpwstr>
  </property>
  <property fmtid="{D5CDD505-2E9C-101B-9397-08002B2CF9AE}" pid="14" name="bjLabelHistoryID">
    <vt:lpwstr>{DEADA930-5BFD-4705-80E7-5993C23F1A45}</vt:lpwstr>
  </property>
</Properties>
</file>