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33" w:rsidRDefault="00616B04">
      <w:pPr>
        <w:spacing w:line="276" w:lineRule="auto"/>
        <w:jc w:val="center"/>
        <w:rPr>
          <w:rFonts w:ascii="바탕" w:eastAsia="바탕" w:hAnsi="바탕" w:cs="맑은 고딕"/>
          <w:b/>
          <w:spacing w:val="-6"/>
          <w:sz w:val="34"/>
          <w:szCs w:val="34"/>
        </w:rPr>
      </w:pPr>
      <w:r>
        <w:rPr>
          <w:rFonts w:ascii="바탕" w:eastAsia="바탕" w:hAnsi="바탕" w:cs="맑은 고딕"/>
          <w:b/>
          <w:spacing w:val="-6"/>
          <w:sz w:val="34"/>
          <w:szCs w:val="34"/>
        </w:rPr>
        <w:t>한국 주식시장의 모멘텀 효과에 관한 연구</w:t>
      </w:r>
    </w:p>
    <w:p w:rsidR="00982F33" w:rsidRDefault="00982F33">
      <w:pPr>
        <w:spacing w:line="276" w:lineRule="auto"/>
        <w:ind w:left="3968" w:firstLine="832"/>
        <w:rPr>
          <w:rFonts w:ascii="바탕" w:eastAsia="바탕" w:hAnsi="바탕"/>
          <w:spacing w:val="-6"/>
          <w:sz w:val="22"/>
        </w:rPr>
      </w:pPr>
    </w:p>
    <w:p w:rsidR="00982F33" w:rsidRDefault="00616B04">
      <w:pPr>
        <w:spacing w:line="276" w:lineRule="auto"/>
        <w:ind w:left="3968" w:firstLine="832"/>
        <w:rPr>
          <w:rFonts w:ascii="바탕" w:eastAsia="바탕" w:hAnsi="바탕"/>
          <w:spacing w:val="-6"/>
          <w:sz w:val="22"/>
        </w:rPr>
      </w:pPr>
      <w:r>
        <w:rPr>
          <w:rFonts w:ascii="바탕" w:eastAsia="바탕" w:hAnsi="바탕"/>
          <w:spacing w:val="-6"/>
          <w:sz w:val="22"/>
        </w:rPr>
        <w:t>최경진 (고려대학교 경영대학 박사과정)</w:t>
      </w:r>
    </w:p>
    <w:p w:rsidR="00982F33" w:rsidRDefault="00616B04">
      <w:pPr>
        <w:spacing w:line="276" w:lineRule="auto"/>
        <w:ind w:left="3968" w:firstLine="832"/>
        <w:rPr>
          <w:rFonts w:ascii="바탕" w:eastAsia="바탕" w:hAnsi="바탕"/>
          <w:spacing w:val="-6"/>
          <w:sz w:val="22"/>
        </w:rPr>
      </w:pPr>
      <w:r>
        <w:rPr>
          <w:rFonts w:ascii="바탕" w:eastAsia="바탕" w:hAnsi="바탕"/>
          <w:spacing w:val="-6"/>
          <w:sz w:val="22"/>
        </w:rPr>
        <w:t>김동철 (고려대학교 경영대학 교수)</w:t>
      </w:r>
    </w:p>
    <w:p w:rsidR="00982F33" w:rsidRDefault="00616B04">
      <w:pPr>
        <w:spacing w:line="276" w:lineRule="auto"/>
        <w:ind w:left="3968" w:firstLine="832"/>
        <w:rPr>
          <w:rFonts w:ascii="바탕" w:eastAsia="바탕" w:hAnsi="바탕"/>
          <w:spacing w:val="-6"/>
          <w:sz w:val="22"/>
        </w:rPr>
      </w:pPr>
      <w:r>
        <w:rPr>
          <w:rFonts w:ascii="바탕" w:eastAsia="바탕" w:hAnsi="바탕"/>
          <w:spacing w:val="-6"/>
          <w:sz w:val="22"/>
        </w:rPr>
        <w:t>이병주 (고려대학교 경영대학 박사과정)</w:t>
      </w:r>
    </w:p>
    <w:p w:rsidR="00982F33" w:rsidRDefault="00982F33">
      <w:pPr>
        <w:jc w:val="center"/>
        <w:rPr>
          <w:rFonts w:ascii="바탕" w:eastAsia="바탕" w:hAnsi="바탕" w:cs="맑은 고딕"/>
          <w:b/>
          <w:spacing w:val="-6"/>
          <w:sz w:val="24"/>
          <w:szCs w:val="24"/>
        </w:rPr>
      </w:pPr>
    </w:p>
    <w:p w:rsidR="00982F33" w:rsidRDefault="00982F33">
      <w:pPr>
        <w:ind w:left="1600" w:firstLine="912"/>
        <w:rPr>
          <w:rFonts w:ascii="바탕" w:eastAsia="바탕" w:hAnsi="바탕"/>
          <w:spacing w:val="-6"/>
          <w:sz w:val="24"/>
          <w:szCs w:val="24"/>
        </w:rPr>
      </w:pPr>
    </w:p>
    <w:p w:rsidR="00982F33" w:rsidRDefault="00616B04">
      <w:pPr>
        <w:jc w:val="center"/>
        <w:rPr>
          <w:rFonts w:ascii="바탕" w:eastAsia="바탕" w:hAnsi="바탕"/>
          <w:sz w:val="24"/>
          <w:szCs w:val="28"/>
        </w:rPr>
      </w:pPr>
      <w:r>
        <w:rPr>
          <w:rFonts w:ascii="바탕" w:eastAsia="바탕" w:hAnsi="바탕"/>
          <w:sz w:val="24"/>
          <w:szCs w:val="28"/>
        </w:rPr>
        <w:t>&lt;요약&gt;</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9232"/>
      </w:tblGrid>
      <w:tr w:rsidR="00982F33">
        <w:trPr>
          <w:trHeight w:val="3318"/>
        </w:trPr>
        <w:tc>
          <w:tcPr>
            <w:tcW w:w="902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982F33" w:rsidRDefault="00616B04">
            <w:pPr>
              <w:spacing w:line="300" w:lineRule="auto"/>
              <w:rPr>
                <w:kern w:val="0"/>
                <w:szCs w:val="20"/>
              </w:rPr>
            </w:pPr>
            <w:r>
              <w:rPr>
                <w:rFonts w:ascii="바탕" w:eastAsia="바탕" w:hAnsi="바탕"/>
                <w:spacing w:val="-6"/>
                <w:kern w:val="0"/>
                <w:szCs w:val="20"/>
              </w:rPr>
              <w:t xml:space="preserve">본 연구는 </w:t>
            </w:r>
            <w:r>
              <w:rPr>
                <w:rFonts w:ascii="바탕" w:eastAsia="바탕" w:hAnsi="바탕" w:cs="바탕"/>
                <w:spacing w:val="-6"/>
                <w:kern w:val="0"/>
                <w:szCs w:val="20"/>
              </w:rPr>
              <w:t xml:space="preserve">한국의 외환위기 이후 2001년부터 2015년까지의 표본기간에 대하여 국내 주식시장에서의 모멘텀(momentum) 효과에 대하여 분석하였다. 본 연구의 표본기간에는 외환위기 이전 기간과 달리 국내 주식시장에도 모멘텀효과가 뚜렷이 나타남을 확인하였으며, 모멘텀 투자전략을 통한 유의한 양의 수익률의 원인으로 기존 문헌에서 제시된 두가지 설명을 비교분석하였다. 첫째, 차익거래제한(limits-to-arbitrage)요인들로 인해, 새로 알려진 정보에 대한 투자자들의 과소반응(under-reaction)에 의해 새로운 정보가 주가에 반영되는 것이 지연되는지를 살펴보았다. 둘째, 기존 문헌에서 널리 쓰여진 CAPM, Fama French 3요인 모형(1993) 이외의 누락된 위험 요인(omitted latent risk factor)에 의해 모멘텀 현상이 설명될 수 있는지 분석하였다. 본 연구의 분석결과는 한국 주식식장의 모멘텀현상은 차익거래제한 요인에 의한 투자자들의 과소반응에서 비롯된 것이라기보다는 Fama French 5요인 모형(2015)에 포함된 수익성 위험요인(profitability risk factor)에 대한 보상(risk premium)임을 시사한다. </w:t>
            </w:r>
          </w:p>
        </w:tc>
      </w:tr>
    </w:tbl>
    <w:p w:rsidR="00982F33" w:rsidRDefault="00982F33">
      <w:pPr>
        <w:rPr>
          <w:rFonts w:ascii="바탕" w:eastAsia="바탕" w:hAnsi="바탕"/>
          <w:spacing w:val="-6"/>
          <w:kern w:val="0"/>
          <w:szCs w:val="20"/>
        </w:rPr>
      </w:pPr>
    </w:p>
    <w:p w:rsidR="00982F33" w:rsidRDefault="00616B04">
      <w:pPr>
        <w:spacing w:line="276" w:lineRule="auto"/>
      </w:pPr>
      <w:r>
        <w:rPr>
          <w:rFonts w:ascii="바탕" w:eastAsia="바탕" w:hAnsi="바탕"/>
          <w:spacing w:val="-6"/>
          <w:kern w:val="0"/>
          <w:szCs w:val="20"/>
        </w:rPr>
        <w:t xml:space="preserve">주요단어: </w:t>
      </w:r>
      <w:r>
        <w:rPr>
          <w:rFonts w:ascii="바탕" w:eastAsia="바탕" w:hAnsi="바탕" w:cs="바탕"/>
          <w:spacing w:val="-6"/>
          <w:kern w:val="0"/>
          <w:szCs w:val="20"/>
        </w:rPr>
        <w:t>모멘텀(momentum) 효과, 차익거래제한(limit to arbitrage), Fama French 5요인 모형, 수익성 위험요인(profitability risk factor)</w:t>
      </w:r>
    </w:p>
    <w:p w:rsidR="00982F33" w:rsidRDefault="00982F33">
      <w:pPr>
        <w:spacing w:line="276" w:lineRule="auto"/>
        <w:rPr>
          <w:rFonts w:ascii="바탕" w:eastAsia="바탕" w:hAnsi="바탕"/>
          <w:spacing w:val="-6"/>
          <w:kern w:val="0"/>
          <w:szCs w:val="20"/>
        </w:rPr>
      </w:pPr>
    </w:p>
    <w:p w:rsidR="00982F33" w:rsidRDefault="00616B04">
      <w:pPr>
        <w:widowControl/>
        <w:spacing w:after="160" w:line="276" w:lineRule="auto"/>
        <w:rPr>
          <w:rFonts w:ascii="Times New Roman" w:eastAsia="바탕" w:hAnsi="Times New Roman"/>
          <w:b/>
          <w:sz w:val="36"/>
          <w:szCs w:val="36"/>
        </w:rPr>
      </w:pPr>
      <w:r>
        <w:br w:type="page"/>
      </w:r>
    </w:p>
    <w:p w:rsidR="00982F33" w:rsidRDefault="00616B04">
      <w:pPr>
        <w:spacing w:line="360" w:lineRule="auto"/>
        <w:jc w:val="center"/>
        <w:rPr>
          <w:rFonts w:ascii="Times New Roman" w:eastAsia="바탕" w:hAnsi="Times New Roman"/>
          <w:b/>
          <w:sz w:val="36"/>
          <w:szCs w:val="36"/>
        </w:rPr>
      </w:pPr>
      <w:r>
        <w:rPr>
          <w:rFonts w:ascii="Times New Roman" w:eastAsia="바탕" w:hAnsi="Times New Roman"/>
          <w:b/>
          <w:sz w:val="36"/>
          <w:szCs w:val="36"/>
        </w:rPr>
        <w:lastRenderedPageBreak/>
        <w:t>Momentum Anomaly in Korean Stock market</w:t>
      </w:r>
    </w:p>
    <w:p w:rsidR="00982F33" w:rsidRDefault="00982F33">
      <w:pPr>
        <w:jc w:val="center"/>
        <w:rPr>
          <w:rFonts w:ascii="Times New Roman" w:eastAsia="바탕" w:hAnsi="Times New Roman"/>
          <w:sz w:val="24"/>
          <w:szCs w:val="24"/>
        </w:rPr>
      </w:pPr>
    </w:p>
    <w:p w:rsidR="00982F33" w:rsidRDefault="00616B04">
      <w:pPr>
        <w:spacing w:line="276" w:lineRule="auto"/>
        <w:ind w:left="1600"/>
      </w:pPr>
      <w:r>
        <w:rPr>
          <w:rFonts w:ascii="Times New Roman" w:eastAsia="바탕" w:hAnsi="Times New Roman"/>
          <w:sz w:val="24"/>
          <w:szCs w:val="24"/>
        </w:rPr>
        <w:t>Kyung Jin Choi</w:t>
      </w:r>
      <w:r>
        <w:rPr>
          <w:rFonts w:ascii="Times New Roman" w:hAnsi="Times New Roman"/>
          <w:iCs/>
          <w:kern w:val="0"/>
          <w:sz w:val="24"/>
          <w:szCs w:val="24"/>
        </w:rPr>
        <w:t xml:space="preserve"> (Ph.D. Candidate, Business School Korea University)</w:t>
      </w:r>
    </w:p>
    <w:p w:rsidR="00982F33" w:rsidRDefault="00616B04">
      <w:pPr>
        <w:spacing w:line="276" w:lineRule="auto"/>
        <w:ind w:left="800" w:firstLine="800"/>
      </w:pPr>
      <w:r>
        <w:rPr>
          <w:rFonts w:ascii="Times New Roman" w:eastAsia="바탕" w:hAnsi="Times New Roman"/>
          <w:sz w:val="24"/>
          <w:szCs w:val="24"/>
        </w:rPr>
        <w:t xml:space="preserve">Dongcheol Kim (Professor, Business School, </w:t>
      </w:r>
      <w:r>
        <w:rPr>
          <w:rFonts w:ascii="Times New Roman" w:hAnsi="Times New Roman"/>
          <w:iCs/>
          <w:kern w:val="0"/>
          <w:sz w:val="24"/>
          <w:szCs w:val="24"/>
        </w:rPr>
        <w:t>Korea University)</w:t>
      </w:r>
    </w:p>
    <w:p w:rsidR="00982F33" w:rsidRDefault="00616B04">
      <w:pPr>
        <w:spacing w:line="276" w:lineRule="auto"/>
        <w:ind w:left="800" w:firstLine="800"/>
      </w:pPr>
      <w:r>
        <w:rPr>
          <w:rFonts w:ascii="Times New Roman" w:eastAsia="바탕" w:hAnsi="Times New Roman"/>
          <w:sz w:val="24"/>
          <w:szCs w:val="24"/>
        </w:rPr>
        <w:t>Byeung-Joo Lee</w:t>
      </w:r>
      <w:r>
        <w:rPr>
          <w:rFonts w:ascii="Times New Roman" w:eastAsia="바탕" w:hAnsi="Times New Roman"/>
          <w:sz w:val="24"/>
          <w:szCs w:val="24"/>
          <w:vertAlign w:val="superscript"/>
        </w:rPr>
        <w:t xml:space="preserve"> </w:t>
      </w:r>
      <w:r>
        <w:rPr>
          <w:rFonts w:ascii="Times New Roman" w:eastAsia="바탕" w:hAnsi="Times New Roman"/>
          <w:sz w:val="24"/>
          <w:szCs w:val="24"/>
        </w:rPr>
        <w:t>(</w:t>
      </w:r>
      <w:r>
        <w:rPr>
          <w:rFonts w:ascii="Times New Roman" w:hAnsi="Times New Roman"/>
          <w:iCs/>
          <w:kern w:val="0"/>
          <w:sz w:val="24"/>
          <w:szCs w:val="24"/>
        </w:rPr>
        <w:t>Ph.D. Candidate, Business School Korea University)</w:t>
      </w:r>
    </w:p>
    <w:p w:rsidR="00982F33" w:rsidRDefault="00982F33">
      <w:pPr>
        <w:spacing w:line="360" w:lineRule="auto"/>
        <w:rPr>
          <w:rFonts w:ascii="Times New Roman" w:hAnsi="Times New Roman"/>
          <w:iCs/>
          <w:kern w:val="0"/>
          <w:sz w:val="22"/>
          <w:szCs w:val="24"/>
        </w:rPr>
      </w:pPr>
    </w:p>
    <w:p w:rsidR="00982F33" w:rsidRDefault="00616B04">
      <w:pPr>
        <w:spacing w:line="360" w:lineRule="auto"/>
        <w:jc w:val="center"/>
        <w:rPr>
          <w:rFonts w:ascii="CenturySchoolbook-Bold" w:hAnsi="CenturySchoolbook-Bold" w:cs="CenturySchoolbook-Bold"/>
          <w:b/>
          <w:bCs/>
          <w:kern w:val="0"/>
          <w:sz w:val="24"/>
          <w:szCs w:val="24"/>
        </w:rPr>
      </w:pPr>
      <w:r>
        <w:rPr>
          <w:rFonts w:ascii="CenturySchoolbook-Bold" w:hAnsi="CenturySchoolbook-Bold" w:cs="CenturySchoolbook-Bold"/>
          <w:b/>
          <w:bCs/>
          <w:kern w:val="0"/>
          <w:sz w:val="24"/>
          <w:szCs w:val="24"/>
        </w:rPr>
        <w:t>Abstract</w:t>
      </w:r>
    </w:p>
    <w:p w:rsidR="00982F33" w:rsidRDefault="00982F33">
      <w:pPr>
        <w:spacing w:line="276" w:lineRule="auto"/>
        <w:jc w:val="center"/>
        <w:rPr>
          <w:rFonts w:ascii="Times New Roman" w:eastAsia="바탕" w:hAnsi="Times New Roman"/>
          <w:b/>
          <w:sz w:val="24"/>
          <w:szCs w:val="24"/>
        </w:rPr>
      </w:pPr>
    </w:p>
    <w:p w:rsidR="00982F33" w:rsidRDefault="00564F18" w:rsidP="00564F18">
      <w:pPr>
        <w:widowControl/>
        <w:spacing w:line="360" w:lineRule="auto"/>
        <w:rPr>
          <w:rFonts w:ascii="Times New Roman" w:eastAsia="바탕" w:hAnsi="Times New Roman"/>
          <w:szCs w:val="20"/>
        </w:rPr>
      </w:pPr>
      <w:r>
        <w:rPr>
          <w:rFonts w:ascii="Times New Roman" w:eastAsia="바탕" w:hAnsi="Times New Roman" w:hint="eastAsia"/>
          <w:szCs w:val="20"/>
        </w:rPr>
        <w:t>수정</w:t>
      </w:r>
      <w:r>
        <w:rPr>
          <w:rFonts w:ascii="Times New Roman" w:eastAsia="바탕" w:hAnsi="Times New Roman" w:hint="eastAsia"/>
          <w:szCs w:val="20"/>
        </w:rPr>
        <w:t xml:space="preserve"> </w:t>
      </w:r>
      <w:r>
        <w:rPr>
          <w:rFonts w:ascii="Times New Roman" w:eastAsia="바탕" w:hAnsi="Times New Roman" w:hint="eastAsia"/>
          <w:szCs w:val="20"/>
        </w:rPr>
        <w:t>후</w:t>
      </w:r>
      <w:r>
        <w:rPr>
          <w:rFonts w:ascii="Times New Roman" w:eastAsia="바탕" w:hAnsi="Times New Roman" w:hint="eastAsia"/>
          <w:szCs w:val="20"/>
        </w:rPr>
        <w:t xml:space="preserve"> </w:t>
      </w:r>
    </w:p>
    <w:p w:rsidR="00982F33" w:rsidRDefault="00982F33">
      <w:pPr>
        <w:widowControl/>
        <w:spacing w:line="360" w:lineRule="auto"/>
        <w:rPr>
          <w:rFonts w:ascii="Times New Roman" w:eastAsia="바탕" w:hAnsi="Times New Roman"/>
          <w:szCs w:val="20"/>
        </w:rPr>
      </w:pPr>
    </w:p>
    <w:p w:rsidR="00982F33" w:rsidRDefault="00982F33">
      <w:pPr>
        <w:widowControl/>
        <w:spacing w:line="360" w:lineRule="auto"/>
        <w:rPr>
          <w:rFonts w:ascii="Times New Roman" w:eastAsia="바탕" w:hAnsi="Times New Roman"/>
          <w:szCs w:val="20"/>
        </w:rPr>
      </w:pPr>
    </w:p>
    <w:p w:rsidR="00982F33" w:rsidRDefault="00616B04">
      <w:pPr>
        <w:widowControl/>
        <w:spacing w:line="276" w:lineRule="auto"/>
      </w:pPr>
      <w:r>
        <w:rPr>
          <w:rFonts w:ascii="Times New Roman" w:eastAsia="바탕" w:hAnsi="Times New Roman"/>
          <w:i/>
          <w:szCs w:val="20"/>
        </w:rPr>
        <w:t>Keywords</w:t>
      </w:r>
      <w:r>
        <w:rPr>
          <w:rFonts w:ascii="Times New Roman" w:eastAsia="바탕" w:hAnsi="Times New Roman"/>
          <w:szCs w:val="20"/>
        </w:rPr>
        <w:t>:</w:t>
      </w:r>
      <w:r>
        <w:rPr>
          <w:rFonts w:ascii="Times New Roman" w:hAnsi="Times New Roman"/>
          <w:szCs w:val="20"/>
        </w:rPr>
        <w:t xml:space="preserve"> Momentum effects, limit to arbitrage, Fama French 5 factor model, profiltability factor</w:t>
      </w:r>
    </w:p>
    <w:p w:rsidR="00982F33" w:rsidRDefault="00616B04">
      <w:pPr>
        <w:widowControl/>
        <w:spacing w:after="160" w:line="259" w:lineRule="auto"/>
        <w:rPr>
          <w:rFonts w:ascii="바탕" w:eastAsia="바탕" w:hAnsi="바탕"/>
          <w:b/>
          <w:spacing w:val="-6"/>
          <w:sz w:val="28"/>
          <w:szCs w:val="28"/>
        </w:rPr>
      </w:pPr>
      <w:r>
        <w:br w:type="page"/>
      </w:r>
    </w:p>
    <w:p w:rsidR="00982F33" w:rsidRDefault="00616B04">
      <w:pPr>
        <w:widowControl/>
        <w:spacing w:line="480" w:lineRule="auto"/>
        <w:rPr>
          <w:rFonts w:ascii="바탕" w:eastAsia="바탕" w:hAnsi="바탕"/>
          <w:b/>
          <w:spacing w:val="-6"/>
          <w:sz w:val="28"/>
          <w:szCs w:val="28"/>
        </w:rPr>
      </w:pPr>
      <w:r>
        <w:rPr>
          <w:rFonts w:ascii="바탕" w:eastAsia="바탕" w:hAnsi="바탕"/>
          <w:b/>
          <w:spacing w:val="-6"/>
          <w:sz w:val="28"/>
          <w:szCs w:val="28"/>
        </w:rPr>
        <w:lastRenderedPageBreak/>
        <w:t>Ⅰ. 서 론</w:t>
      </w:r>
    </w:p>
    <w:p w:rsidR="00B60790" w:rsidRPr="001B2EEF" w:rsidRDefault="00F42249">
      <w:pPr>
        <w:widowControl/>
        <w:spacing w:line="480" w:lineRule="auto"/>
        <w:rPr>
          <w:rFonts w:ascii="바탕" w:eastAsia="바탕" w:hAnsi="바탕"/>
        </w:rPr>
      </w:pPr>
      <w:r>
        <w:rPr>
          <w:rFonts w:ascii="바탕" w:eastAsia="바탕" w:hAnsi="바탕" w:hint="eastAsia"/>
        </w:rPr>
        <w:t>수익률이 상승 또는 하락하던 주식은 그 경향을 유지하려는 성질을 갖는다는 모멘텀(</w:t>
      </w:r>
      <w:r>
        <w:rPr>
          <w:rFonts w:ascii="바탕" w:eastAsia="바탕" w:hAnsi="바탕"/>
        </w:rPr>
        <w:t>momentum)</w:t>
      </w:r>
      <w:r>
        <w:rPr>
          <w:rFonts w:ascii="바탕" w:eastAsia="바탕" w:hAnsi="바탕" w:hint="eastAsia"/>
        </w:rPr>
        <w:t xml:space="preserve"> 현상</w:t>
      </w:r>
      <w:r w:rsidR="00EE1BFC">
        <w:rPr>
          <w:rFonts w:ascii="바탕" w:eastAsia="바탕" w:hAnsi="바탕" w:hint="eastAsia"/>
        </w:rPr>
        <w:t xml:space="preserve">을 보고한 대표적인 초기 연구는 </w:t>
      </w:r>
      <w:r w:rsidR="00EE1BFC">
        <w:rPr>
          <w:rFonts w:ascii="바탕" w:eastAsia="바탕" w:hAnsi="바탕"/>
        </w:rPr>
        <w:t>Jegadeesh</w:t>
      </w:r>
      <w:r w:rsidR="004E743D">
        <w:rPr>
          <w:rFonts w:ascii="바탕" w:eastAsia="바탕" w:hAnsi="바탕"/>
        </w:rPr>
        <w:t xml:space="preserve"> and Titma</w:t>
      </w:r>
      <w:r w:rsidR="00EE1BFC">
        <w:rPr>
          <w:rFonts w:ascii="바탕" w:eastAsia="바탕" w:hAnsi="바탕"/>
        </w:rPr>
        <w:t>n</w:t>
      </w:r>
      <w:r w:rsidR="003A0CA0">
        <w:rPr>
          <w:rFonts w:ascii="바탕" w:eastAsia="바탕" w:hAnsi="바탕"/>
        </w:rPr>
        <w:t xml:space="preserve"> </w:t>
      </w:r>
      <w:r w:rsidR="00EE1BFC">
        <w:rPr>
          <w:rFonts w:ascii="바탕" w:eastAsia="바탕" w:hAnsi="바탕"/>
        </w:rPr>
        <w:t>(1993)</w:t>
      </w:r>
      <w:r w:rsidR="00E53342">
        <w:rPr>
          <w:rFonts w:ascii="바탕" w:eastAsia="바탕" w:hAnsi="바탕" w:hint="eastAsia"/>
        </w:rPr>
        <w:t xml:space="preserve">에 의해서였다. 중기(6-12개월) 과거에 성과가 좋았던 주식이 그 이후에도 높은 수익률을 보인다는 것을 밝힌 이 </w:t>
      </w:r>
      <w:r w:rsidR="00C47C82">
        <w:rPr>
          <w:rFonts w:ascii="바탕" w:eastAsia="바탕" w:hAnsi="바탕" w:hint="eastAsia"/>
        </w:rPr>
        <w:t>논문</w:t>
      </w:r>
      <w:r w:rsidR="006A1988">
        <w:rPr>
          <w:rFonts w:ascii="바탕" w:eastAsia="바탕" w:hAnsi="바탕" w:hint="eastAsia"/>
        </w:rPr>
        <w:t>은</w:t>
      </w:r>
      <w:r w:rsidR="00950A37">
        <w:rPr>
          <w:rFonts w:ascii="바탕" w:eastAsia="바탕" w:hAnsi="바탕"/>
        </w:rPr>
        <w:t xml:space="preserve"> </w:t>
      </w:r>
      <w:r w:rsidR="00950A37">
        <w:rPr>
          <w:rFonts w:ascii="바탕" w:eastAsia="바탕" w:hAnsi="바탕" w:hint="eastAsia"/>
        </w:rPr>
        <w:t xml:space="preserve">일견 효율적 시장에 대한 기본적 </w:t>
      </w:r>
      <w:r w:rsidR="007A2743">
        <w:rPr>
          <w:rFonts w:ascii="바탕" w:eastAsia="바탕" w:hAnsi="바탕" w:hint="eastAsia"/>
        </w:rPr>
        <w:t>상식</w:t>
      </w:r>
      <w:r w:rsidR="006A1988">
        <w:rPr>
          <w:rFonts w:ascii="바탕" w:eastAsia="바탕" w:hAnsi="바탕" w:hint="eastAsia"/>
        </w:rPr>
        <w:t>을 흔드는 것처럼 보인다</w:t>
      </w:r>
      <w:r w:rsidR="007A2743">
        <w:rPr>
          <w:rFonts w:ascii="바탕" w:eastAsia="바탕" w:hAnsi="바탕" w:hint="eastAsia"/>
        </w:rPr>
        <w:t>.</w:t>
      </w:r>
      <w:r w:rsidR="007A2743">
        <w:rPr>
          <w:rFonts w:ascii="바탕" w:eastAsia="바탕" w:hAnsi="바탕"/>
        </w:rPr>
        <w:t xml:space="preserve"> </w:t>
      </w:r>
      <w:r w:rsidR="007A2743">
        <w:rPr>
          <w:rFonts w:ascii="바탕" w:eastAsia="바탕" w:hAnsi="바탕" w:hint="eastAsia"/>
        </w:rPr>
        <w:t>과거의 승자 포트폴리오(</w:t>
      </w:r>
      <w:r w:rsidR="007A2743">
        <w:rPr>
          <w:rFonts w:ascii="바탕" w:eastAsia="바탕" w:hAnsi="바탕"/>
        </w:rPr>
        <w:t>winner portfolio)</w:t>
      </w:r>
      <w:r w:rsidR="004C2B48">
        <w:rPr>
          <w:rFonts w:ascii="바탕" w:eastAsia="바탕" w:hAnsi="바탕" w:hint="eastAsia"/>
        </w:rPr>
        <w:t>가 보이는 상대적으로 높은 수익률을</w:t>
      </w:r>
      <w:r w:rsidR="007A2743">
        <w:rPr>
          <w:rFonts w:ascii="바탕" w:eastAsia="바탕" w:hAnsi="바탕" w:hint="eastAsia"/>
        </w:rPr>
        <w:t xml:space="preserve"> 고전 모형</w:t>
      </w:r>
      <w:r w:rsidR="004C2B48">
        <w:rPr>
          <w:rFonts w:ascii="바탕" w:eastAsia="바탕" w:hAnsi="바탕" w:hint="eastAsia"/>
        </w:rPr>
        <w:t>을 통한</w:t>
      </w:r>
      <w:r w:rsidR="007A2743">
        <w:rPr>
          <w:rFonts w:ascii="바탕" w:eastAsia="바탕" w:hAnsi="바탕" w:hint="eastAsia"/>
        </w:rPr>
        <w:t xml:space="preserve"> 합리적 기대</w:t>
      </w:r>
      <w:r w:rsidR="004C2B48">
        <w:rPr>
          <w:rFonts w:ascii="바탕" w:eastAsia="바탕" w:hAnsi="바탕" w:hint="eastAsia"/>
        </w:rPr>
        <w:t>(</w:t>
      </w:r>
      <w:r w:rsidR="004C2B48">
        <w:rPr>
          <w:rFonts w:ascii="바탕" w:eastAsia="바탕" w:hAnsi="바탕"/>
        </w:rPr>
        <w:t>rational expectation)</w:t>
      </w:r>
      <w:r w:rsidR="004C2B48">
        <w:rPr>
          <w:rFonts w:ascii="바탕" w:eastAsia="바탕" w:hAnsi="바탕" w:hint="eastAsia"/>
        </w:rPr>
        <w:t>에 의해 설명하려는 시도는 성공적이지 못했다.</w:t>
      </w:r>
      <w:r w:rsidR="00A210E1" w:rsidRPr="00A210E1">
        <w:rPr>
          <w:rFonts w:ascii="바탕" w:eastAsia="바탕" w:hAnsi="바탕"/>
          <w:spacing w:val="-6"/>
        </w:rPr>
        <w:t xml:space="preserve"> </w:t>
      </w:r>
      <w:r w:rsidR="00A210E1" w:rsidRPr="00A210E1">
        <w:rPr>
          <w:rFonts w:ascii="바탕" w:eastAsia="바탕" w:hAnsi="바탕"/>
        </w:rPr>
        <w:t>Conrad and Kaul (1998)은 모멘텀 투자전략의 성과가 수익률의 시계열 의존성(time-series dependence)에 의한</w:t>
      </w:r>
      <w:r w:rsidR="00A210E1">
        <w:rPr>
          <w:rFonts w:ascii="바탕" w:eastAsia="바탕" w:hAnsi="바탕" w:hint="eastAsia"/>
        </w:rPr>
        <w:t xml:space="preserve"> </w:t>
      </w:r>
      <w:r w:rsidR="00A210E1" w:rsidRPr="00A210E1">
        <w:rPr>
          <w:rFonts w:ascii="바탕" w:eastAsia="바탕" w:hAnsi="바탕"/>
        </w:rPr>
        <w:t>것이라기 보다는 평균 수익률의 횡단면 차이에 의해 결정됨을 보임으로써 모멘텀 투자전략을 통한 양의 수익률은</w:t>
      </w:r>
      <w:r w:rsidR="00A210E1">
        <w:rPr>
          <w:rFonts w:ascii="바탕" w:eastAsia="바탕" w:hAnsi="바탕"/>
        </w:rPr>
        <w:t xml:space="preserve"> </w:t>
      </w:r>
      <w:r w:rsidR="00A210E1" w:rsidRPr="00A210E1">
        <w:rPr>
          <w:rFonts w:ascii="바탕" w:eastAsia="바탕" w:hAnsi="바탕"/>
        </w:rPr>
        <w:t xml:space="preserve">위험프리미엄(risk premium)에 의한 것임을 </w:t>
      </w:r>
      <w:r w:rsidR="00A210E1">
        <w:rPr>
          <w:rFonts w:ascii="바탕" w:eastAsia="바탕" w:hAnsi="바탕"/>
        </w:rPr>
        <w:t>주장하였</w:t>
      </w:r>
      <w:r w:rsidR="00A210E1">
        <w:rPr>
          <w:rFonts w:ascii="바탕" w:eastAsia="바탕" w:hAnsi="바탕" w:hint="eastAsia"/>
        </w:rPr>
        <w:t>으나</w:t>
      </w:r>
      <w:r w:rsidR="00A210E1" w:rsidRPr="00A210E1">
        <w:rPr>
          <w:rFonts w:ascii="바탕" w:eastAsia="바탕" w:hAnsi="바탕"/>
        </w:rPr>
        <w:t xml:space="preserve"> Jegadeesh and Titman(2002)은</w:t>
      </w:r>
      <w:r w:rsidR="00A210E1">
        <w:rPr>
          <w:rFonts w:ascii="바탕" w:eastAsia="바탕" w:hAnsi="바탕"/>
        </w:rPr>
        <w:t xml:space="preserve"> </w:t>
      </w:r>
      <w:r w:rsidR="00A210E1" w:rsidRPr="00A210E1">
        <w:rPr>
          <w:rFonts w:ascii="바탕" w:eastAsia="바탕" w:hAnsi="바탕"/>
        </w:rPr>
        <w:t xml:space="preserve">소표본편이(small sample bias)에 의한 것이라고 반박했다. </w:t>
      </w:r>
      <w:r w:rsidR="00A210E1">
        <w:rPr>
          <w:rFonts w:ascii="바탕" w:eastAsia="바탕" w:hAnsi="바탕" w:hint="eastAsia"/>
        </w:rPr>
        <w:t>이후</w:t>
      </w:r>
      <w:r w:rsidR="004C2B48">
        <w:rPr>
          <w:rFonts w:ascii="바탕" w:eastAsia="바탕" w:hAnsi="바탕" w:hint="eastAsia"/>
        </w:rPr>
        <w:t xml:space="preserve"> </w:t>
      </w:r>
      <w:r w:rsidR="004C2B48" w:rsidRPr="004C2B48">
        <w:rPr>
          <w:rFonts w:ascii="바탕" w:eastAsia="바탕" w:hAnsi="바탕"/>
        </w:rPr>
        <w:t>Lewellen and Nagel (2006)</w:t>
      </w:r>
      <w:r w:rsidR="004C2B48">
        <w:rPr>
          <w:rFonts w:ascii="바탕" w:eastAsia="바탕" w:hAnsi="바탕" w:hint="eastAsia"/>
        </w:rPr>
        <w:t xml:space="preserve">은 </w:t>
      </w:r>
      <w:r w:rsidR="00C47C82">
        <w:rPr>
          <w:rFonts w:ascii="바탕" w:eastAsia="바탕" w:hAnsi="바탕" w:hint="eastAsia"/>
        </w:rPr>
        <w:t>Jegadeesh and Wang</w:t>
      </w:r>
      <w:r w:rsidR="003A0CA0">
        <w:rPr>
          <w:rFonts w:ascii="바탕" w:eastAsia="바탕" w:hAnsi="바탕"/>
        </w:rPr>
        <w:t xml:space="preserve"> </w:t>
      </w:r>
      <w:r w:rsidR="00C47C82">
        <w:rPr>
          <w:rFonts w:ascii="바탕" w:eastAsia="바탕" w:hAnsi="바탕" w:hint="eastAsia"/>
        </w:rPr>
        <w:t>(</w:t>
      </w:r>
      <w:r w:rsidR="00C47C82">
        <w:rPr>
          <w:rFonts w:ascii="바탕" w:eastAsia="바탕" w:hAnsi="바탕"/>
        </w:rPr>
        <w:t>1996)</w:t>
      </w:r>
      <w:r w:rsidR="00C47C82">
        <w:rPr>
          <w:rFonts w:ascii="바탕" w:eastAsia="바탕" w:hAnsi="바탕" w:hint="eastAsia"/>
        </w:rPr>
        <w:t xml:space="preserve">의 </w:t>
      </w:r>
      <w:r w:rsidR="00C47C82">
        <w:rPr>
          <w:rFonts w:ascii="바탕" w:eastAsia="바탕" w:hAnsi="바탕"/>
        </w:rPr>
        <w:t xml:space="preserve">conditional </w:t>
      </w:r>
      <w:r w:rsidR="00C47C82">
        <w:rPr>
          <w:rFonts w:ascii="바탕" w:eastAsia="바탕" w:hAnsi="바탕" w:hint="eastAsia"/>
        </w:rPr>
        <w:t>CAPM(capital asset pricing model)으로</w:t>
      </w:r>
      <w:r w:rsidR="004C2B48">
        <w:rPr>
          <w:rFonts w:ascii="바탕" w:eastAsia="바탕" w:hAnsi="바탕" w:hint="eastAsia"/>
        </w:rPr>
        <w:t xml:space="preserve"> </w:t>
      </w:r>
      <w:r w:rsidR="004C2B48" w:rsidRPr="004C2B48">
        <w:rPr>
          <w:rFonts w:ascii="바탕" w:eastAsia="바탕" w:hAnsi="바탕"/>
        </w:rPr>
        <w:t>Bali and Engle (2010)</w:t>
      </w:r>
      <w:r w:rsidR="004C2B48">
        <w:rPr>
          <w:rFonts w:ascii="바탕" w:eastAsia="바탕" w:hAnsi="바탕" w:hint="eastAsia"/>
        </w:rPr>
        <w:t xml:space="preserve">은 </w:t>
      </w:r>
      <w:r w:rsidR="004C2B48">
        <w:rPr>
          <w:rFonts w:ascii="바탕" w:eastAsia="바탕" w:hAnsi="바탕"/>
        </w:rPr>
        <w:t>Merton</w:t>
      </w:r>
      <w:r w:rsidR="003A0CA0">
        <w:rPr>
          <w:rFonts w:ascii="바탕" w:eastAsia="바탕" w:hAnsi="바탕"/>
        </w:rPr>
        <w:t xml:space="preserve"> </w:t>
      </w:r>
      <w:r w:rsidR="004C2B48">
        <w:rPr>
          <w:rFonts w:ascii="바탕" w:eastAsia="바탕" w:hAnsi="바탕"/>
        </w:rPr>
        <w:t>(1973)의 intertemporal</w:t>
      </w:r>
      <w:r w:rsidR="00C47C82">
        <w:rPr>
          <w:rFonts w:ascii="바탕" w:eastAsia="바탕" w:hAnsi="바탕"/>
        </w:rPr>
        <w:t xml:space="preserve"> CAPM </w:t>
      </w:r>
      <w:r w:rsidR="00A210E1">
        <w:rPr>
          <w:rFonts w:ascii="바탕" w:eastAsia="바탕" w:hAnsi="바탕" w:hint="eastAsia"/>
        </w:rPr>
        <w:t xml:space="preserve">으로는 </w:t>
      </w:r>
      <w:r w:rsidR="001B2EEF">
        <w:rPr>
          <w:rFonts w:ascii="바탕" w:eastAsia="바탕" w:hAnsi="바탕" w:hint="eastAsia"/>
        </w:rPr>
        <w:t>승자의 수익률을 설명할 수 없다고 주장했다.</w:t>
      </w:r>
    </w:p>
    <w:p w:rsidR="00C330C4" w:rsidRDefault="00B60790" w:rsidP="00564F18">
      <w:pPr>
        <w:widowControl/>
        <w:spacing w:line="480" w:lineRule="auto"/>
        <w:rPr>
          <w:rFonts w:ascii="바탕" w:eastAsia="바탕" w:hAnsi="바탕"/>
        </w:rPr>
      </w:pPr>
      <w:r>
        <w:rPr>
          <w:rFonts w:ascii="바탕" w:eastAsia="바탕" w:hAnsi="바탕"/>
        </w:rPr>
        <w:t xml:space="preserve">      </w:t>
      </w:r>
      <w:r w:rsidR="00AB0DEE">
        <w:rPr>
          <w:rFonts w:ascii="바탕" w:eastAsia="바탕" w:hAnsi="바탕" w:hint="eastAsia"/>
        </w:rPr>
        <w:t xml:space="preserve">합리적 기대에 의한 설명이 성공적이지 못했을 뿐만 아니라 </w:t>
      </w:r>
      <w:r w:rsidR="00AB0DEE">
        <w:rPr>
          <w:rFonts w:ascii="바탕" w:eastAsia="바탕" w:hAnsi="바탕"/>
        </w:rPr>
        <w:t>Jegadeesh and Titma</w:t>
      </w:r>
      <w:r w:rsidR="003A0CA0">
        <w:rPr>
          <w:rFonts w:ascii="바탕" w:eastAsia="바탕" w:hAnsi="바탕" w:hint="eastAsia"/>
        </w:rPr>
        <w:t xml:space="preserve">n </w:t>
      </w:r>
      <w:r w:rsidR="00AB0DEE">
        <w:rPr>
          <w:rFonts w:ascii="바탕" w:eastAsia="바탕" w:hAnsi="바탕"/>
        </w:rPr>
        <w:t>(1993)</w:t>
      </w:r>
      <w:r w:rsidR="00AB0DEE">
        <w:rPr>
          <w:rFonts w:ascii="바탕" w:eastAsia="바탕" w:hAnsi="바탕" w:hint="eastAsia"/>
        </w:rPr>
        <w:t xml:space="preserve">이 13개월에서 31개월에 이르는 장기의 수익률 </w:t>
      </w:r>
      <w:r w:rsidR="00F65A19">
        <w:rPr>
          <w:rFonts w:ascii="바탕" w:eastAsia="바탕" w:hAnsi="바탕" w:hint="eastAsia"/>
        </w:rPr>
        <w:t>반전</w:t>
      </w:r>
      <w:r w:rsidR="00AB0DEE">
        <w:rPr>
          <w:rFonts w:ascii="바탕" w:eastAsia="바탕" w:hAnsi="바탕" w:hint="eastAsia"/>
        </w:rPr>
        <w:t xml:space="preserve">(reversal) 현상을 발견하면서 자연스럽게 </w:t>
      </w:r>
      <w:r w:rsidR="00626D29">
        <w:rPr>
          <w:rFonts w:ascii="바탕" w:eastAsia="바탕" w:hAnsi="바탕" w:hint="eastAsia"/>
        </w:rPr>
        <w:t>행태</w:t>
      </w:r>
      <w:r w:rsidR="00AB0DEE">
        <w:rPr>
          <w:rFonts w:ascii="바탕" w:eastAsia="바탕" w:hAnsi="바탕" w:hint="eastAsia"/>
        </w:rPr>
        <w:t>주의(b</w:t>
      </w:r>
      <w:r w:rsidR="00AB0DEE">
        <w:rPr>
          <w:rFonts w:ascii="바탕" w:eastAsia="바탕" w:hAnsi="바탕"/>
        </w:rPr>
        <w:t xml:space="preserve">ehavioral) </w:t>
      </w:r>
      <w:r w:rsidR="00AB0DEE">
        <w:rPr>
          <w:rFonts w:ascii="바탕" w:eastAsia="바탕" w:hAnsi="바탕" w:hint="eastAsia"/>
        </w:rPr>
        <w:t>관점으로 초점이 옮겨졌다. 모멘텀 현상이 투자자의 과잉</w:t>
      </w:r>
      <w:r w:rsidR="00C330C4">
        <w:rPr>
          <w:rFonts w:ascii="바탕" w:eastAsia="바탕" w:hAnsi="바탕" w:hint="eastAsia"/>
        </w:rPr>
        <w:t xml:space="preserve"> </w:t>
      </w:r>
      <w:r w:rsidR="00AB0DEE">
        <w:rPr>
          <w:rFonts w:ascii="바탕" w:eastAsia="바탕" w:hAnsi="바탕" w:hint="eastAsia"/>
        </w:rPr>
        <w:t xml:space="preserve">반응(overreaction)에 의한 것이라면 장기의 </w:t>
      </w:r>
      <w:r w:rsidR="00F65A19">
        <w:rPr>
          <w:rFonts w:ascii="바탕" w:eastAsia="바탕" w:hAnsi="바탕" w:hint="eastAsia"/>
        </w:rPr>
        <w:t>반전</w:t>
      </w:r>
      <w:r w:rsidR="00AB0DEE">
        <w:rPr>
          <w:rFonts w:ascii="바탕" w:eastAsia="바탕" w:hAnsi="바탕" w:hint="eastAsia"/>
        </w:rPr>
        <w:t xml:space="preserve"> 현상은 이에 대한 보정과정으로 </w:t>
      </w:r>
      <w:r w:rsidR="00FC03CF">
        <w:rPr>
          <w:rFonts w:ascii="바탕" w:eastAsia="바탕" w:hAnsi="바탕" w:hint="eastAsia"/>
        </w:rPr>
        <w:t>보는</w:t>
      </w:r>
      <w:r w:rsidR="00AB0DEE">
        <w:rPr>
          <w:rFonts w:ascii="바탕" w:eastAsia="바탕" w:hAnsi="바탕" w:hint="eastAsia"/>
        </w:rPr>
        <w:t xml:space="preserve"> 것이 자연스럽기 때문이다.</w:t>
      </w:r>
      <w:r w:rsidR="00D91EF9">
        <w:rPr>
          <w:rFonts w:ascii="바탕" w:eastAsia="바탕" w:hAnsi="바탕"/>
        </w:rPr>
        <w:t xml:space="preserve"> </w:t>
      </w:r>
      <w:r w:rsidR="00D91EF9">
        <w:rPr>
          <w:rFonts w:ascii="바탕" w:eastAsia="바탕" w:hAnsi="바탕" w:hint="eastAsia"/>
        </w:rPr>
        <w:t xml:space="preserve">실제로 </w:t>
      </w:r>
      <w:r w:rsidR="00D91EF9">
        <w:rPr>
          <w:rFonts w:ascii="바탕" w:eastAsia="바탕" w:hAnsi="바탕"/>
        </w:rPr>
        <w:t>Jegadeesh and Titman</w:t>
      </w:r>
      <w:r w:rsidR="003A0CA0">
        <w:rPr>
          <w:rFonts w:ascii="바탕" w:eastAsia="바탕" w:hAnsi="바탕"/>
        </w:rPr>
        <w:t xml:space="preserve"> </w:t>
      </w:r>
      <w:r w:rsidR="00D91EF9">
        <w:rPr>
          <w:rFonts w:ascii="바탕" w:eastAsia="바탕" w:hAnsi="바탕"/>
        </w:rPr>
        <w:t>(1993)</w:t>
      </w:r>
      <w:r w:rsidR="00D91EF9">
        <w:rPr>
          <w:rFonts w:ascii="바탕" w:eastAsia="바탕" w:hAnsi="바탕" w:hint="eastAsia"/>
        </w:rPr>
        <w:t>이후의 많은 연구가 모멘텀 현상이 투자자의 지연 반응(</w:t>
      </w:r>
      <w:r w:rsidR="00D91EF9">
        <w:rPr>
          <w:rFonts w:ascii="바탕" w:eastAsia="바탕" w:hAnsi="바탕"/>
        </w:rPr>
        <w:t>delated reaction)</w:t>
      </w:r>
      <w:r w:rsidR="00D91EF9">
        <w:rPr>
          <w:rFonts w:ascii="바탕" w:eastAsia="바탕" w:hAnsi="바탕" w:hint="eastAsia"/>
        </w:rPr>
        <w:t>이나 과잉</w:t>
      </w:r>
      <w:r w:rsidR="00C330C4">
        <w:rPr>
          <w:rFonts w:ascii="바탕" w:eastAsia="바탕" w:hAnsi="바탕" w:hint="eastAsia"/>
        </w:rPr>
        <w:t xml:space="preserve"> </w:t>
      </w:r>
      <w:r w:rsidR="00D91EF9">
        <w:rPr>
          <w:rFonts w:ascii="바탕" w:eastAsia="바탕" w:hAnsi="바탕" w:hint="eastAsia"/>
        </w:rPr>
        <w:t xml:space="preserve">반응에 의한 것이라 주장했다 </w:t>
      </w:r>
      <w:r w:rsidR="00D91EF9">
        <w:rPr>
          <w:rFonts w:ascii="바탕" w:eastAsia="바탕" w:hAnsi="바탕"/>
        </w:rPr>
        <w:t>(</w:t>
      </w:r>
      <w:r w:rsidR="00D91EF9" w:rsidRPr="00D91EF9">
        <w:rPr>
          <w:rFonts w:ascii="바탕" w:eastAsia="바탕" w:hAnsi="바탕"/>
        </w:rPr>
        <w:t>Barberis, Shleifer, and Vishny (1998), Daniel, Hirshleifer, and Subrahmanyam (1998), Hong and Stein (1999)</w:t>
      </w:r>
      <w:r w:rsidR="00C330C4">
        <w:rPr>
          <w:rFonts w:ascii="바탕" w:eastAsia="바탕" w:hAnsi="바탕"/>
        </w:rPr>
        <w:t>).</w:t>
      </w:r>
    </w:p>
    <w:p w:rsidR="00F65A19" w:rsidRPr="00C330C4" w:rsidRDefault="00C330C4" w:rsidP="00564F18">
      <w:pPr>
        <w:widowControl/>
        <w:spacing w:line="480" w:lineRule="auto"/>
        <w:rPr>
          <w:rFonts w:ascii="바탕" w:eastAsia="바탕" w:hAnsi="바탕"/>
        </w:rPr>
      </w:pPr>
      <w:r>
        <w:rPr>
          <w:rFonts w:ascii="바탕" w:eastAsia="바탕" w:hAnsi="바탕"/>
        </w:rPr>
        <w:t xml:space="preserve">       </w:t>
      </w:r>
      <w:r w:rsidR="00626D29">
        <w:rPr>
          <w:rFonts w:ascii="바탕" w:eastAsia="바탕" w:hAnsi="바탕" w:hint="eastAsia"/>
        </w:rPr>
        <w:t xml:space="preserve">모멘텀 현상의 원인에 대한 더 깊은 논의에 앞서 </w:t>
      </w:r>
      <w:r>
        <w:rPr>
          <w:rFonts w:ascii="바탕" w:eastAsia="바탕" w:hAnsi="바탕" w:hint="eastAsia"/>
        </w:rPr>
        <w:t>본 연구의 초점인 국내 주식시장에서도 모멘텀 현상이 발견되는지 살펴보자.</w:t>
      </w:r>
      <w:r>
        <w:rPr>
          <w:rFonts w:ascii="바탕" w:eastAsia="바탕" w:hAnsi="바탕"/>
        </w:rPr>
        <w:t xml:space="preserve"> </w:t>
      </w:r>
      <w:r w:rsidR="00626D29">
        <w:rPr>
          <w:rFonts w:ascii="바탕" w:eastAsia="바탕" w:hAnsi="바탕" w:hint="eastAsia"/>
        </w:rPr>
        <w:t>사실</w:t>
      </w:r>
      <w:r w:rsidR="00A327D8">
        <w:rPr>
          <w:rFonts w:ascii="바탕" w:eastAsia="바탕" w:hAnsi="바탕" w:hint="eastAsia"/>
        </w:rPr>
        <w:t xml:space="preserve"> </w:t>
      </w:r>
      <w:r w:rsidR="005C290B">
        <w:rPr>
          <w:rFonts w:ascii="바탕" w:eastAsia="바탕" w:hAnsi="바탕" w:hint="eastAsia"/>
        </w:rPr>
        <w:t xml:space="preserve">모멘텀 현상에 대한 연구는 </w:t>
      </w:r>
      <w:r w:rsidR="00564F18">
        <w:rPr>
          <w:rFonts w:ascii="바탕" w:eastAsia="바탕" w:hAnsi="바탕" w:hint="eastAsia"/>
        </w:rPr>
        <w:t xml:space="preserve">매우 </w:t>
      </w:r>
      <w:r w:rsidR="005C290B">
        <w:rPr>
          <w:rFonts w:ascii="바탕" w:eastAsia="바탕" w:hAnsi="바탕" w:hint="eastAsia"/>
        </w:rPr>
        <w:t>광범위하고 보편성을 띄고 있</w:t>
      </w:r>
      <w:r w:rsidR="00626D29">
        <w:rPr>
          <w:rFonts w:ascii="바탕" w:eastAsia="바탕" w:hAnsi="바탕" w:hint="eastAsia"/>
        </w:rPr>
        <w:t>다.</w:t>
      </w:r>
      <w:r w:rsidR="00564F18">
        <w:rPr>
          <w:rFonts w:ascii="바탕" w:eastAsia="바탕" w:hAnsi="바탕" w:hint="eastAsia"/>
        </w:rPr>
        <w:t xml:space="preserve"> </w:t>
      </w:r>
      <w:r w:rsidR="00616B04">
        <w:rPr>
          <w:rFonts w:ascii="바탕" w:eastAsia="바탕" w:hAnsi="바탕"/>
          <w:spacing w:val="-6"/>
        </w:rPr>
        <w:t>Jegadeesh and Titman (2001)은 미국</w:t>
      </w:r>
      <w:r w:rsidR="00564F18">
        <w:rPr>
          <w:rFonts w:ascii="바탕" w:eastAsia="바탕" w:hAnsi="바탕" w:hint="eastAsia"/>
          <w:spacing w:val="-6"/>
        </w:rPr>
        <w:t xml:space="preserve"> </w:t>
      </w:r>
      <w:r w:rsidR="00616B04">
        <w:rPr>
          <w:rFonts w:ascii="바탕" w:eastAsia="바탕" w:hAnsi="바탕"/>
          <w:spacing w:val="-6"/>
        </w:rPr>
        <w:t xml:space="preserve">시장의 다른 기간에서도 모멘텀 현상이 존재함을 </w:t>
      </w:r>
      <w:r w:rsidR="00564F18">
        <w:rPr>
          <w:rFonts w:ascii="바탕" w:eastAsia="바탕" w:hAnsi="바탕" w:hint="eastAsia"/>
          <w:spacing w:val="-6"/>
        </w:rPr>
        <w:t>보임으로써 이것이 특정기간에 국한된 것이 아님을 밝혔다</w:t>
      </w:r>
      <w:r w:rsidR="00564F18">
        <w:rPr>
          <w:rFonts w:ascii="바탕" w:eastAsia="바탕" w:hAnsi="바탕"/>
          <w:spacing w:val="-6"/>
        </w:rPr>
        <w:t xml:space="preserve">. </w:t>
      </w:r>
      <w:r w:rsidR="00564F18">
        <w:rPr>
          <w:rFonts w:ascii="바탕" w:eastAsia="바탕" w:hAnsi="바탕" w:hint="eastAsia"/>
          <w:spacing w:val="-6"/>
        </w:rPr>
        <w:t>또한</w:t>
      </w:r>
      <w:r w:rsidR="00564F18">
        <w:rPr>
          <w:rFonts w:ascii="바탕" w:eastAsia="바탕" w:hAnsi="바탕"/>
          <w:spacing w:val="-6"/>
        </w:rPr>
        <w:t xml:space="preserve"> </w:t>
      </w:r>
      <w:r w:rsidR="00616B04">
        <w:rPr>
          <w:rFonts w:ascii="바탕" w:eastAsia="바탕" w:hAnsi="바탕"/>
          <w:spacing w:val="-6"/>
        </w:rPr>
        <w:t>Rouwenhorst (1998)</w:t>
      </w:r>
      <w:r w:rsidR="00564F18">
        <w:rPr>
          <w:rFonts w:ascii="바탕" w:eastAsia="바탕" w:hAnsi="바탕" w:hint="eastAsia"/>
          <w:spacing w:val="-6"/>
        </w:rPr>
        <w:t>와</w:t>
      </w:r>
      <w:r w:rsidR="00616B04">
        <w:rPr>
          <w:rFonts w:ascii="바탕" w:eastAsia="바탕" w:hAnsi="바탕"/>
          <w:spacing w:val="-6"/>
        </w:rPr>
        <w:t xml:space="preserve"> Griffin, Ji, and Martin (2003)</w:t>
      </w:r>
      <w:r w:rsidR="00564F18">
        <w:rPr>
          <w:rFonts w:ascii="바탕" w:eastAsia="바탕" w:hAnsi="바탕" w:hint="eastAsia"/>
          <w:spacing w:val="-6"/>
        </w:rPr>
        <w:t xml:space="preserve">등은 </w:t>
      </w:r>
      <w:r w:rsidR="00616B04">
        <w:rPr>
          <w:rFonts w:ascii="바탕" w:eastAsia="바탕" w:hAnsi="바탕"/>
          <w:spacing w:val="-6"/>
        </w:rPr>
        <w:t xml:space="preserve">이는 </w:t>
      </w:r>
      <w:r w:rsidR="00564F18">
        <w:rPr>
          <w:rFonts w:ascii="바탕" w:eastAsia="바탕" w:hAnsi="바탕" w:hint="eastAsia"/>
          <w:spacing w:val="-6"/>
        </w:rPr>
        <w:t xml:space="preserve">미국뿐만 아니라 </w:t>
      </w:r>
      <w:r w:rsidR="00616B04">
        <w:rPr>
          <w:rFonts w:ascii="바탕" w:eastAsia="바탕" w:hAnsi="바탕"/>
          <w:spacing w:val="-6"/>
        </w:rPr>
        <w:t xml:space="preserve">유럽을 비롯한 전세계 주식시장에서 일반적으로 나타나는 </w:t>
      </w:r>
      <w:r w:rsidR="00564F18">
        <w:rPr>
          <w:rFonts w:ascii="바탕" w:eastAsia="바탕" w:hAnsi="바탕" w:hint="eastAsia"/>
          <w:spacing w:val="-6"/>
        </w:rPr>
        <w:t xml:space="preserve">현상임을 보였다. </w:t>
      </w:r>
      <w:r w:rsidR="00626D29">
        <w:rPr>
          <w:rFonts w:ascii="바탕" w:eastAsia="바탕" w:hAnsi="바탕" w:hint="eastAsia"/>
          <w:spacing w:val="-6"/>
        </w:rPr>
        <w:t xml:space="preserve">이외에도 일일이 언급하기 힘들 정도로 많은 연구에서 다양한 형태의 모멘텀 현상을 보고하고 </w:t>
      </w:r>
      <w:r w:rsidR="00626D29">
        <w:rPr>
          <w:rFonts w:ascii="바탕" w:eastAsia="바탕" w:hAnsi="바탕" w:hint="eastAsia"/>
          <w:spacing w:val="-6"/>
        </w:rPr>
        <w:lastRenderedPageBreak/>
        <w:t>있다.</w:t>
      </w:r>
      <w:r w:rsidR="00626D29">
        <w:rPr>
          <w:rFonts w:ascii="바탕" w:eastAsia="바탕" w:hAnsi="바탕"/>
          <w:spacing w:val="-6"/>
        </w:rPr>
        <w:t xml:space="preserve"> </w:t>
      </w:r>
      <w:r w:rsidR="00564F18">
        <w:rPr>
          <w:rFonts w:ascii="바탕" w:eastAsia="바탕" w:hAnsi="바탕" w:hint="eastAsia"/>
          <w:spacing w:val="-6"/>
        </w:rPr>
        <w:t xml:space="preserve">하지만 </w:t>
      </w:r>
      <w:r w:rsidR="00616B04">
        <w:rPr>
          <w:rFonts w:ascii="바탕" w:eastAsia="바탕" w:hAnsi="바탕"/>
          <w:spacing w:val="-6"/>
          <w:kern w:val="0"/>
          <w:szCs w:val="20"/>
        </w:rPr>
        <w:t>Chui, Titman, and Wei (2010)는 몇몇의 아시아 국가에서는 모멘텀 현상이 발견되지 않거나 오히려 음의 모멘텀 현상 (negative momentum)이 나타남을 주장하였다.</w:t>
      </w:r>
      <w:r w:rsidR="00A327D8">
        <w:rPr>
          <w:rFonts w:ascii="바탕" w:eastAsia="바탕" w:hAnsi="바탕"/>
          <w:spacing w:val="-6"/>
          <w:kern w:val="0"/>
          <w:szCs w:val="20"/>
        </w:rPr>
        <w:t xml:space="preserve"> </w:t>
      </w:r>
      <w:r w:rsidR="00F65A19">
        <w:rPr>
          <w:rFonts w:ascii="바탕" w:eastAsia="바탕" w:hAnsi="바탕" w:hint="eastAsia"/>
          <w:spacing w:val="-6"/>
          <w:kern w:val="0"/>
          <w:szCs w:val="20"/>
        </w:rPr>
        <w:t xml:space="preserve">특히 한국 주식시장에서 이러한 현상이 두드러지는데, </w:t>
      </w:r>
      <w:r w:rsidR="00616B04">
        <w:rPr>
          <w:rFonts w:ascii="바탕" w:eastAsia="바탕" w:hAnsi="바탕"/>
          <w:spacing w:val="-6"/>
          <w:kern w:val="0"/>
          <w:szCs w:val="20"/>
        </w:rPr>
        <w:t>고봉찬</w:t>
      </w:r>
      <w:r w:rsidR="00D05A18">
        <w:rPr>
          <w:rFonts w:ascii="바탕" w:eastAsia="바탕" w:hAnsi="바탕" w:hint="eastAsia"/>
          <w:spacing w:val="-6"/>
          <w:kern w:val="0"/>
          <w:szCs w:val="20"/>
        </w:rPr>
        <w:t xml:space="preserve"> </w:t>
      </w:r>
      <w:r w:rsidR="00616B04">
        <w:rPr>
          <w:rFonts w:ascii="바탕" w:eastAsia="바탕" w:hAnsi="바탕"/>
          <w:spacing w:val="-6"/>
          <w:kern w:val="0"/>
          <w:szCs w:val="20"/>
        </w:rPr>
        <w:t xml:space="preserve">(1997)은 1980년부터 1995년까지의 </w:t>
      </w:r>
      <w:r w:rsidR="00F65A19">
        <w:rPr>
          <w:rFonts w:ascii="바탕" w:eastAsia="바탕" w:hAnsi="바탕" w:hint="eastAsia"/>
          <w:spacing w:val="-6"/>
          <w:kern w:val="0"/>
          <w:szCs w:val="20"/>
        </w:rPr>
        <w:t xml:space="preserve">국내 주식시장에서 </w:t>
      </w:r>
      <w:r w:rsidR="00616B04">
        <w:rPr>
          <w:rFonts w:ascii="바탕" w:eastAsia="바탕" w:hAnsi="바탕"/>
          <w:spacing w:val="-6"/>
          <w:kern w:val="0"/>
          <w:szCs w:val="20"/>
        </w:rPr>
        <w:t>과거 수익률이 가장 높은 승자(winner) 포트폴리오(portfolio)를 매수하고, 수익률이 가장 낮은 패자(loser) 포트폴리오를 매도하는</w:t>
      </w:r>
      <w:r w:rsidR="0086053E">
        <w:rPr>
          <w:rFonts w:ascii="바탕" w:eastAsia="바탕" w:hAnsi="바탕"/>
          <w:spacing w:val="-6"/>
          <w:kern w:val="0"/>
          <w:szCs w:val="20"/>
        </w:rPr>
        <w:t xml:space="preserve"> </w:t>
      </w:r>
      <w:r w:rsidR="00616B04">
        <w:rPr>
          <w:rFonts w:ascii="바탕" w:eastAsia="바탕" w:hAnsi="바탕"/>
          <w:spacing w:val="-6"/>
          <w:kern w:val="0"/>
          <w:szCs w:val="20"/>
        </w:rPr>
        <w:t>무비용(zero investment) 포트폴리오의 수익률이 유의한 음(-)의 값을 보임을 밝혔다. 정정현, 김동희</w:t>
      </w:r>
      <w:r w:rsidR="003A0CA0">
        <w:rPr>
          <w:rFonts w:ascii="바탕" w:eastAsia="바탕" w:hAnsi="바탕"/>
          <w:spacing w:val="-6"/>
          <w:kern w:val="0"/>
          <w:szCs w:val="20"/>
        </w:rPr>
        <w:t xml:space="preserve"> </w:t>
      </w:r>
      <w:r w:rsidR="00616B04">
        <w:rPr>
          <w:rFonts w:ascii="바탕" w:eastAsia="바탕" w:hAnsi="바탕"/>
          <w:spacing w:val="-6"/>
          <w:kern w:val="0"/>
          <w:szCs w:val="20"/>
        </w:rPr>
        <w:t>(2002)는 1998년부터 2001년까지 KOSPI에 상장된 기업을 표본으로 한 분석을 실시한 결과, 과거 수익률을 기반으로 구성한 포트폴리오의 보유기간(holding period)이 1개월 이내일 경우 모멘텀 현상이 존재하지만, 보유기간이 길어질수록 음의 모멘텀 현상이 발생함을 보였다. 안영규, 이정도</w:t>
      </w:r>
      <w:r w:rsidR="003A0CA0">
        <w:rPr>
          <w:rFonts w:ascii="바탕" w:eastAsia="바탕" w:hAnsi="바탕" w:hint="eastAsia"/>
          <w:spacing w:val="-6"/>
          <w:kern w:val="0"/>
          <w:szCs w:val="20"/>
        </w:rPr>
        <w:t xml:space="preserve"> </w:t>
      </w:r>
      <w:r w:rsidR="00616B04">
        <w:rPr>
          <w:rFonts w:ascii="바탕" w:eastAsia="바탕" w:hAnsi="바탕"/>
          <w:spacing w:val="-6"/>
          <w:kern w:val="0"/>
          <w:szCs w:val="20"/>
        </w:rPr>
        <w:t>(2004)</w:t>
      </w:r>
      <w:r w:rsidR="00F65A19">
        <w:rPr>
          <w:rFonts w:ascii="바탕" w:eastAsia="바탕" w:hAnsi="바탕" w:hint="eastAsia"/>
          <w:spacing w:val="-6"/>
          <w:kern w:val="0"/>
          <w:szCs w:val="20"/>
        </w:rPr>
        <w:t xml:space="preserve">에서도 </w:t>
      </w:r>
      <w:r w:rsidR="00616B04">
        <w:rPr>
          <w:rFonts w:ascii="바탕" w:eastAsia="바탕" w:hAnsi="바탕"/>
          <w:spacing w:val="-6"/>
          <w:kern w:val="0"/>
          <w:szCs w:val="20"/>
        </w:rPr>
        <w:t xml:space="preserve">과거수익률을 바탕으로 구성한 포트폴리오의 보유기간이 길어질수록 주식수익률의 </w:t>
      </w:r>
      <w:r w:rsidR="00F65A19">
        <w:rPr>
          <w:rFonts w:ascii="바탕" w:eastAsia="바탕" w:hAnsi="바탕" w:hint="eastAsia"/>
          <w:spacing w:val="-6"/>
          <w:kern w:val="0"/>
          <w:szCs w:val="20"/>
        </w:rPr>
        <w:t>반전</w:t>
      </w:r>
      <w:r w:rsidR="00F65A19">
        <w:rPr>
          <w:rFonts w:ascii="바탕" w:eastAsia="바탕" w:hAnsi="바탕"/>
          <w:spacing w:val="-6"/>
          <w:kern w:val="0"/>
          <w:szCs w:val="20"/>
        </w:rPr>
        <w:t xml:space="preserve"> </w:t>
      </w:r>
      <w:r w:rsidR="00616B04">
        <w:rPr>
          <w:rFonts w:ascii="바탕" w:eastAsia="바탕" w:hAnsi="바탕"/>
          <w:spacing w:val="-6"/>
          <w:kern w:val="0"/>
          <w:szCs w:val="20"/>
        </w:rPr>
        <w:t>현상이 존재함을 밝혔다. 고봉찬 (2006)은 채권과 그 해당 기업의 주식에 대하여 모멘텀 현상을 분석한 결과, 주식에서는 모멘텀 투자전략을 통한 양(+)의 수익률을 얻을 수 없었지만 채권에서 양의 수익률을 얻을 수 있다고 주장하였다</w:t>
      </w:r>
      <w:r w:rsidR="0086053E">
        <w:rPr>
          <w:rFonts w:ascii="바탕" w:eastAsia="바탕" w:hAnsi="바탕"/>
          <w:spacing w:val="-6"/>
          <w:kern w:val="0"/>
          <w:szCs w:val="20"/>
        </w:rPr>
        <w:t>.</w:t>
      </w:r>
    </w:p>
    <w:p w:rsidR="00982F33" w:rsidRDefault="0086053E" w:rsidP="00564F18">
      <w:pPr>
        <w:widowControl/>
        <w:spacing w:line="480" w:lineRule="auto"/>
        <w:rPr>
          <w:rFonts w:ascii="바탕" w:eastAsia="바탕" w:hAnsi="바탕"/>
          <w:spacing w:val="-6"/>
          <w:kern w:val="0"/>
          <w:szCs w:val="20"/>
        </w:rPr>
      </w:pPr>
      <w:r>
        <w:rPr>
          <w:rFonts w:ascii="바탕" w:eastAsia="바탕" w:hAnsi="바탕"/>
          <w:spacing w:val="-6"/>
          <w:kern w:val="0"/>
          <w:szCs w:val="20"/>
        </w:rPr>
        <w:t xml:space="preserve">      </w:t>
      </w:r>
      <w:r>
        <w:rPr>
          <w:rFonts w:ascii="바탕" w:eastAsia="바탕" w:hAnsi="바탕" w:hint="eastAsia"/>
          <w:spacing w:val="-6"/>
          <w:kern w:val="0"/>
          <w:szCs w:val="20"/>
        </w:rPr>
        <w:t xml:space="preserve">국내 주식 시장에 대한 이상의 연구는 모두 </w:t>
      </w:r>
      <w:r>
        <w:rPr>
          <w:rFonts w:ascii="바탕" w:eastAsia="바탕" w:hAnsi="바탕"/>
          <w:spacing w:val="-6"/>
          <w:kern w:val="0"/>
          <w:szCs w:val="20"/>
        </w:rPr>
        <w:t>90</w:t>
      </w:r>
      <w:r>
        <w:rPr>
          <w:rFonts w:ascii="바탕" w:eastAsia="바탕" w:hAnsi="바탕" w:hint="eastAsia"/>
          <w:spacing w:val="-6"/>
          <w:kern w:val="0"/>
          <w:szCs w:val="20"/>
        </w:rPr>
        <w:t>년대 말 외환위기 이전의 표본이 주를 이루고 있는데,</w:t>
      </w:r>
      <w:r>
        <w:rPr>
          <w:rFonts w:ascii="바탕" w:eastAsia="바탕" w:hAnsi="바탕"/>
          <w:spacing w:val="-6"/>
          <w:kern w:val="0"/>
          <w:szCs w:val="20"/>
        </w:rPr>
        <w:t xml:space="preserve"> </w:t>
      </w:r>
      <w:r>
        <w:rPr>
          <w:rFonts w:ascii="바탕" w:eastAsia="바탕" w:hAnsi="바탕" w:hint="eastAsia"/>
          <w:spacing w:val="-6"/>
          <w:kern w:val="0"/>
          <w:szCs w:val="20"/>
        </w:rPr>
        <w:t>이후 반전이 일어난다.</w:t>
      </w:r>
      <w:r w:rsidR="003A0CA0">
        <w:rPr>
          <w:rFonts w:ascii="바탕" w:eastAsia="바탕" w:hAnsi="바탕"/>
          <w:spacing w:val="-6"/>
          <w:kern w:val="0"/>
          <w:szCs w:val="20"/>
        </w:rPr>
        <w:t xml:space="preserve"> </w:t>
      </w:r>
      <w:r w:rsidR="00616B04">
        <w:rPr>
          <w:rFonts w:ascii="바탕" w:eastAsia="바탕" w:hAnsi="바탕"/>
          <w:spacing w:val="-6"/>
          <w:kern w:val="0"/>
          <w:szCs w:val="20"/>
        </w:rPr>
        <w:t>김상환 (2012)</w:t>
      </w:r>
      <w:r w:rsidR="003A0CA0">
        <w:rPr>
          <w:rFonts w:ascii="바탕" w:eastAsia="바탕" w:hAnsi="바탕" w:hint="eastAsia"/>
          <w:spacing w:val="-6"/>
          <w:kern w:val="0"/>
          <w:szCs w:val="20"/>
        </w:rPr>
        <w:t>은</w:t>
      </w:r>
      <w:r w:rsidR="00616B04">
        <w:rPr>
          <w:rFonts w:ascii="바탕" w:eastAsia="바탕" w:hAnsi="바탕"/>
          <w:spacing w:val="-6"/>
          <w:kern w:val="0"/>
          <w:szCs w:val="20"/>
        </w:rPr>
        <w:t xml:space="preserve"> KOSPI에 상장된 기업을 대상으로 분석을 실시한 결과, 외환위기 이후의 기간에서는 선진국과 마찬가지로 모멘텀 투자전략을 통해 유의한 양의 수익률을 얻을 수 있음을 보였다. 장지원 (2017)은 1999년부터 2015년까지의 기간에 대하여 과거</w:t>
      </w:r>
      <w:r w:rsidR="00D05A18">
        <w:rPr>
          <w:rFonts w:ascii="바탕" w:eastAsia="바탕" w:hAnsi="바탕"/>
          <w:spacing w:val="-6"/>
          <w:kern w:val="0"/>
          <w:szCs w:val="20"/>
        </w:rPr>
        <w:t xml:space="preserve"> 7</w:t>
      </w:r>
      <w:r w:rsidR="00616B04">
        <w:rPr>
          <w:rFonts w:ascii="바탕" w:eastAsia="바탕" w:hAnsi="바탕"/>
          <w:spacing w:val="-6"/>
          <w:kern w:val="0"/>
          <w:szCs w:val="20"/>
        </w:rPr>
        <w:t>개월에서</w:t>
      </w:r>
      <w:r w:rsidR="00D05A18">
        <w:rPr>
          <w:rFonts w:ascii="바탕" w:eastAsia="바탕" w:hAnsi="바탕"/>
          <w:spacing w:val="-6"/>
          <w:kern w:val="0"/>
          <w:szCs w:val="20"/>
        </w:rPr>
        <w:t xml:space="preserve"> 12개</w:t>
      </w:r>
      <w:r w:rsidR="00D05A18">
        <w:rPr>
          <w:rFonts w:ascii="바탕" w:eastAsia="바탕" w:hAnsi="바탕" w:hint="eastAsia"/>
          <w:spacing w:val="-6"/>
          <w:kern w:val="0"/>
          <w:szCs w:val="20"/>
        </w:rPr>
        <w:t>월</w:t>
      </w:r>
      <w:r w:rsidR="00616B04">
        <w:rPr>
          <w:rFonts w:ascii="바탕" w:eastAsia="바탕" w:hAnsi="바탕"/>
          <w:spacing w:val="-6"/>
          <w:kern w:val="0"/>
          <w:szCs w:val="20"/>
        </w:rPr>
        <w:t>까지의 성과를 바탕으로 구성한 모멘텀 투자전략에서 유의한 양의 수익을 얻을 수 있음을 보였다. 또한 Fama and French (1993)의 3요인 모형(이하 FF3 모형)으로 위험</w:t>
      </w:r>
      <w:r w:rsidR="00D05A18">
        <w:rPr>
          <w:rFonts w:ascii="바탕" w:eastAsia="바탕" w:hAnsi="바탕" w:hint="eastAsia"/>
          <w:spacing w:val="-6"/>
          <w:kern w:val="0"/>
          <w:szCs w:val="20"/>
        </w:rPr>
        <w:t xml:space="preserve"> </w:t>
      </w:r>
      <w:r w:rsidR="00616B04">
        <w:rPr>
          <w:rFonts w:ascii="바탕" w:eastAsia="바탕" w:hAnsi="바탕"/>
          <w:spacing w:val="-6"/>
          <w:kern w:val="0"/>
          <w:szCs w:val="20"/>
        </w:rPr>
        <w:t xml:space="preserve">조정을 한 후에도 모멘텀 투자전략을 통해 유의한 양의 수익을 얻을 수 있음을 보였다.  </w:t>
      </w:r>
    </w:p>
    <w:p w:rsidR="008E02A0" w:rsidRDefault="00D05A18" w:rsidP="008E02A0">
      <w:pPr>
        <w:widowControl/>
        <w:spacing w:line="480" w:lineRule="auto"/>
        <w:rPr>
          <w:rFonts w:ascii="바탕" w:eastAsia="바탕" w:hAnsi="바탕"/>
          <w:spacing w:val="-6"/>
          <w:kern w:val="0"/>
          <w:szCs w:val="20"/>
        </w:rPr>
      </w:pPr>
      <w:r>
        <w:rPr>
          <w:rFonts w:ascii="바탕" w:eastAsia="바탕" w:hAnsi="바탕"/>
          <w:spacing w:val="-6"/>
          <w:kern w:val="0"/>
          <w:szCs w:val="20"/>
        </w:rPr>
        <w:t xml:space="preserve">      </w:t>
      </w:r>
      <w:r>
        <w:rPr>
          <w:rFonts w:ascii="바탕" w:eastAsia="바탕" w:hAnsi="바탕" w:hint="eastAsia"/>
          <w:spacing w:val="-6"/>
          <w:kern w:val="0"/>
          <w:szCs w:val="20"/>
        </w:rPr>
        <w:t>외환위기 이전과는 달리 이후에 모멘텀 현상이 나타난다는 사실은 매우 흥미롭고 이에 대한 본격적인 연구는 어쩌면 모멘텀 현상의 원인을 밝히는데 단서를 제공할 수 있을지도 모른다.</w:t>
      </w:r>
      <w:r>
        <w:rPr>
          <w:rFonts w:ascii="바탕" w:eastAsia="바탕" w:hAnsi="바탕"/>
          <w:spacing w:val="-6"/>
          <w:kern w:val="0"/>
          <w:szCs w:val="20"/>
        </w:rPr>
        <w:t xml:space="preserve"> </w:t>
      </w:r>
      <w:r>
        <w:rPr>
          <w:rFonts w:ascii="바탕" w:eastAsia="바탕" w:hAnsi="바탕" w:hint="eastAsia"/>
          <w:spacing w:val="-6"/>
          <w:kern w:val="0"/>
          <w:szCs w:val="20"/>
        </w:rPr>
        <w:t>국제통화기금(IMF)의 개입에 의해 회계</w:t>
      </w:r>
      <w:r w:rsidR="00626D29">
        <w:rPr>
          <w:rFonts w:ascii="바탕" w:eastAsia="바탕" w:hAnsi="바탕" w:hint="eastAsia"/>
          <w:spacing w:val="-6"/>
          <w:kern w:val="0"/>
          <w:szCs w:val="20"/>
        </w:rPr>
        <w:t xml:space="preserve"> </w:t>
      </w:r>
      <w:r>
        <w:rPr>
          <w:rFonts w:ascii="바탕" w:eastAsia="바탕" w:hAnsi="바탕" w:hint="eastAsia"/>
          <w:spacing w:val="-6"/>
          <w:kern w:val="0"/>
          <w:szCs w:val="20"/>
        </w:rPr>
        <w:t>이익의 투명성이 제고되었다는 점에 주목할 수도 있고,</w:t>
      </w:r>
      <w:r>
        <w:rPr>
          <w:rFonts w:ascii="바탕" w:eastAsia="바탕" w:hAnsi="바탕"/>
          <w:spacing w:val="-6"/>
          <w:kern w:val="0"/>
          <w:szCs w:val="20"/>
        </w:rPr>
        <w:t xml:space="preserve"> </w:t>
      </w:r>
      <w:r>
        <w:rPr>
          <w:rFonts w:ascii="바탕" w:eastAsia="바탕" w:hAnsi="바탕" w:hint="eastAsia"/>
          <w:spacing w:val="-6"/>
          <w:kern w:val="0"/>
          <w:szCs w:val="20"/>
        </w:rPr>
        <w:t xml:space="preserve">외국 자본의 본격적인 유입이 시작되었다는 부분을 </w:t>
      </w:r>
      <w:r w:rsidR="00A210E1">
        <w:rPr>
          <w:rFonts w:ascii="바탕" w:eastAsia="바탕" w:hAnsi="바탕" w:hint="eastAsia"/>
          <w:spacing w:val="-6"/>
          <w:kern w:val="0"/>
          <w:szCs w:val="20"/>
        </w:rPr>
        <w:t>깊게 살펴볼 수도 있겠으나 이는 본 연구의 초점은 아니다.</w:t>
      </w:r>
      <w:r w:rsidR="008E02A0">
        <w:rPr>
          <w:rFonts w:ascii="바탕" w:eastAsia="바탕" w:hAnsi="바탕"/>
          <w:spacing w:val="-6"/>
          <w:kern w:val="0"/>
          <w:szCs w:val="20"/>
        </w:rPr>
        <w:t xml:space="preserve"> </w:t>
      </w:r>
      <w:r w:rsidR="00616B04">
        <w:rPr>
          <w:rFonts w:ascii="바탕" w:eastAsia="바탕" w:hAnsi="바탕"/>
          <w:spacing w:val="-6"/>
          <w:kern w:val="0"/>
          <w:szCs w:val="20"/>
        </w:rPr>
        <w:t xml:space="preserve">본 연구는 국내 주식시장에서 모멘텀 전략을 통해 양의 수익률을 얻을 수 있는지 확인하고 </w:t>
      </w:r>
      <w:r w:rsidR="008E02A0">
        <w:rPr>
          <w:rFonts w:ascii="바탕" w:eastAsia="바탕" w:hAnsi="바탕" w:hint="eastAsia"/>
          <w:spacing w:val="-6"/>
          <w:kern w:val="0"/>
          <w:szCs w:val="20"/>
        </w:rPr>
        <w:t>이에 대한 행태주의 이론(</w:t>
      </w:r>
      <w:r w:rsidR="008E02A0">
        <w:rPr>
          <w:rFonts w:ascii="바탕" w:eastAsia="바탕" w:hAnsi="바탕"/>
          <w:spacing w:val="-6"/>
          <w:kern w:val="0"/>
          <w:szCs w:val="20"/>
        </w:rPr>
        <w:t>behaviral theory)</w:t>
      </w:r>
      <w:r w:rsidR="008E02A0">
        <w:rPr>
          <w:rFonts w:ascii="바탕" w:eastAsia="바탕" w:hAnsi="바탕" w:hint="eastAsia"/>
          <w:spacing w:val="-6"/>
          <w:kern w:val="0"/>
          <w:szCs w:val="20"/>
        </w:rPr>
        <w:t>과 합리적 기대에 기반한 기존의 연구성과를 종합적으로 적용해 보고자 한다.</w:t>
      </w:r>
      <w:r w:rsidR="008E02A0">
        <w:rPr>
          <w:rFonts w:ascii="바탕" w:eastAsia="바탕" w:hAnsi="바탕"/>
          <w:spacing w:val="-6"/>
          <w:kern w:val="0"/>
          <w:szCs w:val="20"/>
        </w:rPr>
        <w:t xml:space="preserve"> </w:t>
      </w:r>
    </w:p>
    <w:p w:rsidR="00B174A7" w:rsidRDefault="008E02A0" w:rsidP="008E02A0">
      <w:pPr>
        <w:widowControl/>
        <w:spacing w:line="480" w:lineRule="auto"/>
        <w:rPr>
          <w:rFonts w:ascii="바탕" w:eastAsia="바탕" w:hAnsi="바탕"/>
          <w:spacing w:val="-6"/>
          <w:kern w:val="0"/>
          <w:szCs w:val="20"/>
        </w:rPr>
      </w:pPr>
      <w:r>
        <w:rPr>
          <w:rFonts w:ascii="바탕" w:eastAsia="바탕" w:hAnsi="바탕"/>
          <w:spacing w:val="-6"/>
          <w:kern w:val="0"/>
          <w:szCs w:val="20"/>
        </w:rPr>
        <w:lastRenderedPageBreak/>
        <w:t xml:space="preserve">      </w:t>
      </w:r>
      <w:r w:rsidR="0068297B">
        <w:rPr>
          <w:rFonts w:ascii="바탕" w:eastAsia="바탕" w:hAnsi="바탕" w:hint="eastAsia"/>
          <w:spacing w:val="-6"/>
          <w:kern w:val="0"/>
          <w:szCs w:val="20"/>
        </w:rPr>
        <w:t xml:space="preserve">본 연구는 외환위기 이후의 국내 주식 표본에 대하여 </w:t>
      </w:r>
      <w:r w:rsidR="0068297B">
        <w:rPr>
          <w:rFonts w:ascii="바탕" w:eastAsia="바탕" w:hAnsi="바탕"/>
          <w:spacing w:val="-6"/>
          <w:kern w:val="0"/>
          <w:szCs w:val="20"/>
        </w:rPr>
        <w:t>Jegadeesh and Titman(1993)</w:t>
      </w:r>
      <w:r w:rsidR="0068297B">
        <w:rPr>
          <w:rFonts w:ascii="바탕" w:eastAsia="바탕" w:hAnsi="바탕" w:hint="eastAsia"/>
          <w:spacing w:val="-6"/>
          <w:kern w:val="0"/>
          <w:szCs w:val="20"/>
        </w:rPr>
        <w:t>의 방</w:t>
      </w:r>
      <w:r w:rsidR="004502BD">
        <w:rPr>
          <w:rFonts w:ascii="바탕" w:eastAsia="바탕" w:hAnsi="바탕" w:hint="eastAsia"/>
          <w:spacing w:val="-6"/>
          <w:kern w:val="0"/>
          <w:szCs w:val="20"/>
        </w:rPr>
        <w:t>식을 이용해 과거 수익률이 가장 높았던 승자(</w:t>
      </w:r>
      <w:r w:rsidR="004502BD">
        <w:rPr>
          <w:rFonts w:ascii="바탕" w:eastAsia="바탕" w:hAnsi="바탕"/>
          <w:spacing w:val="-6"/>
          <w:kern w:val="0"/>
          <w:szCs w:val="20"/>
        </w:rPr>
        <w:t>winner)</w:t>
      </w:r>
      <w:r w:rsidR="004502BD">
        <w:rPr>
          <w:rFonts w:ascii="바탕" w:eastAsia="바탕" w:hAnsi="바탕" w:hint="eastAsia"/>
          <w:spacing w:val="-6"/>
          <w:kern w:val="0"/>
          <w:szCs w:val="20"/>
        </w:rPr>
        <w:t xml:space="preserve"> 포트폴리오를 매입하고 가장 낮았던 패자(</w:t>
      </w:r>
      <w:r w:rsidR="004502BD">
        <w:rPr>
          <w:rFonts w:ascii="바탕" w:eastAsia="바탕" w:hAnsi="바탕"/>
          <w:spacing w:val="-6"/>
          <w:kern w:val="0"/>
          <w:szCs w:val="20"/>
        </w:rPr>
        <w:t xml:space="preserve">loser) </w:t>
      </w:r>
      <w:r w:rsidR="004502BD">
        <w:rPr>
          <w:rFonts w:ascii="바탕" w:eastAsia="바탕" w:hAnsi="바탕" w:hint="eastAsia"/>
          <w:spacing w:val="-6"/>
          <w:kern w:val="0"/>
          <w:szCs w:val="20"/>
        </w:rPr>
        <w:t xml:space="preserve">포트폴리오를 매도하는 </w:t>
      </w:r>
      <w:r w:rsidR="0068297B">
        <w:rPr>
          <w:rFonts w:ascii="바탕" w:eastAsia="바탕" w:hAnsi="바탕" w:hint="eastAsia"/>
          <w:spacing w:val="-6"/>
          <w:kern w:val="0"/>
          <w:szCs w:val="20"/>
        </w:rPr>
        <w:t>모멘텀 포트폴리오가 다수의</w:t>
      </w:r>
      <w:r w:rsidR="004502BD">
        <w:rPr>
          <w:rFonts w:ascii="바탕" w:eastAsia="바탕" w:hAnsi="바탕"/>
          <w:spacing w:val="-6"/>
          <w:kern w:val="0"/>
          <w:szCs w:val="20"/>
        </w:rPr>
        <w:t>formation perio</w:t>
      </w:r>
      <w:r w:rsidR="004502BD">
        <w:rPr>
          <w:rFonts w:ascii="바탕" w:eastAsia="바탕" w:hAnsi="바탕" w:hint="eastAsia"/>
          <w:spacing w:val="-6"/>
          <w:kern w:val="0"/>
          <w:szCs w:val="20"/>
        </w:rPr>
        <w:t xml:space="preserve">d와 </w:t>
      </w:r>
      <w:r w:rsidR="004502BD">
        <w:rPr>
          <w:rFonts w:ascii="바탕" w:eastAsia="바탕" w:hAnsi="바탕"/>
          <w:spacing w:val="-6"/>
          <w:kern w:val="0"/>
          <w:szCs w:val="20"/>
        </w:rPr>
        <w:t>holding period</w:t>
      </w:r>
      <w:r w:rsidR="0068297B">
        <w:rPr>
          <w:rFonts w:ascii="바탕" w:eastAsia="바탕" w:hAnsi="바탕" w:hint="eastAsia"/>
          <w:spacing w:val="-6"/>
          <w:kern w:val="0"/>
          <w:szCs w:val="20"/>
        </w:rPr>
        <w:t>조합에서 양의 수익률을 보임을 밝</w:t>
      </w:r>
      <w:r w:rsidR="004502BD">
        <w:rPr>
          <w:rFonts w:ascii="바탕" w:eastAsia="바탕" w:hAnsi="바탕" w:hint="eastAsia"/>
          <w:spacing w:val="-6"/>
          <w:kern w:val="0"/>
          <w:szCs w:val="20"/>
        </w:rPr>
        <w:t>혔다.</w:t>
      </w:r>
      <w:r w:rsidR="004502BD">
        <w:rPr>
          <w:rFonts w:ascii="바탕" w:eastAsia="바탕" w:hAnsi="바탕"/>
          <w:spacing w:val="-6"/>
          <w:kern w:val="0"/>
          <w:szCs w:val="20"/>
        </w:rPr>
        <w:t xml:space="preserve"> </w:t>
      </w:r>
      <w:r w:rsidR="004502BD">
        <w:rPr>
          <w:rFonts w:ascii="바탕" w:eastAsia="바탕" w:hAnsi="바탕" w:hint="eastAsia"/>
          <w:spacing w:val="-6"/>
          <w:kern w:val="0"/>
          <w:szCs w:val="20"/>
        </w:rPr>
        <w:t>또한</w:t>
      </w:r>
      <w:r w:rsidR="0068297B">
        <w:rPr>
          <w:rFonts w:ascii="바탕" w:eastAsia="바탕" w:hAnsi="바탕" w:hint="eastAsia"/>
          <w:spacing w:val="-6"/>
          <w:kern w:val="0"/>
          <w:szCs w:val="20"/>
        </w:rPr>
        <w:t xml:space="preserve"> 외환위기 이전의 표본을 포함할 경우에는 그와 같은 현상을 발견할 수 없다는 사실</w:t>
      </w:r>
      <w:r w:rsidR="004502BD">
        <w:rPr>
          <w:rFonts w:ascii="바탕" w:eastAsia="바탕" w:hAnsi="바탕" w:hint="eastAsia"/>
          <w:spacing w:val="-6"/>
          <w:kern w:val="0"/>
          <w:szCs w:val="20"/>
        </w:rPr>
        <w:t>도</w:t>
      </w:r>
      <w:r w:rsidR="0068297B">
        <w:rPr>
          <w:rFonts w:ascii="바탕" w:eastAsia="바탕" w:hAnsi="바탕" w:hint="eastAsia"/>
          <w:spacing w:val="-6"/>
          <w:kern w:val="0"/>
          <w:szCs w:val="20"/>
        </w:rPr>
        <w:t xml:space="preserve"> 알아냈다.</w:t>
      </w:r>
      <w:r w:rsidR="004502BD">
        <w:rPr>
          <w:rFonts w:ascii="바탕" w:eastAsia="바탕" w:hAnsi="바탕"/>
          <w:spacing w:val="-6"/>
          <w:kern w:val="0"/>
          <w:szCs w:val="20"/>
        </w:rPr>
        <w:t xml:space="preserve"> </w:t>
      </w:r>
    </w:p>
    <w:p w:rsidR="0014771F" w:rsidRDefault="00B174A7" w:rsidP="008E02A0">
      <w:pPr>
        <w:widowControl/>
        <w:spacing w:line="480" w:lineRule="auto"/>
        <w:rPr>
          <w:rFonts w:ascii="바탕" w:eastAsia="바탕" w:hAnsi="바탕"/>
          <w:spacing w:val="-6"/>
          <w:kern w:val="0"/>
          <w:szCs w:val="20"/>
        </w:rPr>
      </w:pPr>
      <w:r>
        <w:rPr>
          <w:rFonts w:ascii="바탕" w:eastAsia="바탕" w:hAnsi="바탕" w:hint="eastAsia"/>
          <w:spacing w:val="-6"/>
          <w:kern w:val="0"/>
          <w:szCs w:val="20"/>
        </w:rPr>
        <w:t xml:space="preserve"> </w:t>
      </w:r>
      <w:r>
        <w:rPr>
          <w:rFonts w:ascii="바탕" w:eastAsia="바탕" w:hAnsi="바탕"/>
          <w:spacing w:val="-6"/>
          <w:kern w:val="0"/>
          <w:szCs w:val="20"/>
        </w:rPr>
        <w:t xml:space="preserve">     </w:t>
      </w:r>
      <w:r>
        <w:rPr>
          <w:rFonts w:ascii="바탕" w:eastAsia="바탕" w:hAnsi="바탕" w:hint="eastAsia"/>
          <w:spacing w:val="-6"/>
          <w:kern w:val="0"/>
          <w:szCs w:val="20"/>
        </w:rPr>
        <w:t>만약 이와 같은 국내 주식시장의 모멘텀 현상이 차익거래 제한</w:t>
      </w:r>
      <w:r w:rsidR="000F5C01">
        <w:rPr>
          <w:rFonts w:ascii="바탕" w:eastAsia="바탕" w:hAnsi="바탕" w:hint="eastAsia"/>
          <w:spacing w:val="-6"/>
          <w:kern w:val="0"/>
          <w:szCs w:val="20"/>
        </w:rPr>
        <w:t xml:space="preserve"> </w:t>
      </w:r>
      <w:r>
        <w:rPr>
          <w:rFonts w:ascii="바탕" w:eastAsia="바탕" w:hAnsi="바탕" w:hint="eastAsia"/>
          <w:spacing w:val="-6"/>
          <w:kern w:val="0"/>
          <w:szCs w:val="20"/>
        </w:rPr>
        <w:t>요인에 의한 투자자들의 지연 또는 과소 반응(</w:t>
      </w:r>
      <w:r>
        <w:rPr>
          <w:rFonts w:ascii="바탕" w:eastAsia="바탕" w:hAnsi="바탕"/>
          <w:spacing w:val="-6"/>
          <w:kern w:val="0"/>
          <w:szCs w:val="20"/>
        </w:rPr>
        <w:t>underreaction)</w:t>
      </w:r>
      <w:r>
        <w:rPr>
          <w:rFonts w:ascii="바탕" w:eastAsia="바탕" w:hAnsi="바탕" w:hint="eastAsia"/>
          <w:spacing w:val="-6"/>
          <w:kern w:val="0"/>
          <w:szCs w:val="20"/>
        </w:rPr>
        <w:t>에 의한 것이라면,</w:t>
      </w:r>
      <w:r>
        <w:rPr>
          <w:rFonts w:ascii="바탕" w:eastAsia="바탕" w:hAnsi="바탕"/>
          <w:spacing w:val="-6"/>
          <w:kern w:val="0"/>
          <w:szCs w:val="20"/>
        </w:rPr>
        <w:t xml:space="preserve"> </w:t>
      </w:r>
      <w:r>
        <w:rPr>
          <w:rFonts w:ascii="바탕" w:eastAsia="바탕" w:hAnsi="바탕" w:hint="eastAsia"/>
          <w:spacing w:val="-6"/>
          <w:kern w:val="0"/>
          <w:szCs w:val="20"/>
        </w:rPr>
        <w:t>이는 원활한 거래를 제한하는 요소들과 관련을 맺고 있을 것이다. 따라서 모멘텀 현상을 행태주의 관점에서 설명하기 위하여 차익거래 제한</w:t>
      </w:r>
      <w:r w:rsidR="000F5C01">
        <w:rPr>
          <w:rFonts w:ascii="바탕" w:eastAsia="바탕" w:hAnsi="바탕" w:hint="eastAsia"/>
          <w:spacing w:val="-6"/>
          <w:kern w:val="0"/>
          <w:szCs w:val="20"/>
        </w:rPr>
        <w:t xml:space="preserve"> </w:t>
      </w:r>
      <w:r>
        <w:rPr>
          <w:rFonts w:ascii="바탕" w:eastAsia="바탕" w:hAnsi="바탕" w:hint="eastAsia"/>
          <w:spacing w:val="-6"/>
          <w:kern w:val="0"/>
          <w:szCs w:val="20"/>
        </w:rPr>
        <w:t>요인(</w:t>
      </w:r>
      <w:r>
        <w:rPr>
          <w:rFonts w:ascii="바탕" w:eastAsia="바탕" w:hAnsi="바탕"/>
          <w:spacing w:val="-6"/>
          <w:kern w:val="0"/>
          <w:szCs w:val="20"/>
        </w:rPr>
        <w:t>limits-to-arbitrage)</w:t>
      </w:r>
      <w:r>
        <w:rPr>
          <w:rFonts w:ascii="바탕" w:eastAsia="바탕" w:hAnsi="바탕" w:hint="eastAsia"/>
          <w:spacing w:val="-6"/>
          <w:kern w:val="0"/>
          <w:szCs w:val="20"/>
        </w:rPr>
        <w:t>의 대용</w:t>
      </w:r>
      <w:r w:rsidR="000F5C01">
        <w:rPr>
          <w:rFonts w:ascii="바탕" w:eastAsia="바탕" w:hAnsi="바탕" w:hint="eastAsia"/>
          <w:spacing w:val="-6"/>
          <w:kern w:val="0"/>
          <w:szCs w:val="20"/>
        </w:rPr>
        <w:t xml:space="preserve"> </w:t>
      </w:r>
      <w:r>
        <w:rPr>
          <w:rFonts w:ascii="바탕" w:eastAsia="바탕" w:hAnsi="바탕" w:hint="eastAsia"/>
          <w:spacing w:val="-6"/>
          <w:kern w:val="0"/>
          <w:szCs w:val="20"/>
        </w:rPr>
        <w:t>변수(</w:t>
      </w:r>
      <w:r>
        <w:rPr>
          <w:rFonts w:ascii="바탕" w:eastAsia="바탕" w:hAnsi="바탕"/>
          <w:spacing w:val="-6"/>
          <w:kern w:val="0"/>
          <w:szCs w:val="20"/>
        </w:rPr>
        <w:t>proxy variables)</w:t>
      </w:r>
      <w:r>
        <w:rPr>
          <w:rFonts w:ascii="바탕" w:eastAsia="바탕" w:hAnsi="바탕" w:hint="eastAsia"/>
          <w:spacing w:val="-6"/>
          <w:kern w:val="0"/>
          <w:szCs w:val="20"/>
        </w:rPr>
        <w:t>를 제시하고 제한 요인이 크게 나타나는 영역에서의 모멘텀 현상이 더 두드러지는지를 살펴보려고 한다</w:t>
      </w:r>
      <w:r w:rsidR="000F5C01">
        <w:rPr>
          <w:rFonts w:ascii="바탕" w:eastAsia="바탕" w:hAnsi="바탕" w:hint="eastAsia"/>
          <w:spacing w:val="-6"/>
          <w:kern w:val="0"/>
          <w:szCs w:val="20"/>
        </w:rPr>
        <w:t xml:space="preserve">. </w:t>
      </w:r>
      <w:r w:rsidR="00616B04">
        <w:rPr>
          <w:rFonts w:ascii="바탕" w:eastAsia="바탕" w:hAnsi="바탕"/>
          <w:spacing w:val="-6"/>
          <w:kern w:val="0"/>
          <w:szCs w:val="20"/>
        </w:rPr>
        <w:t xml:space="preserve">차익거래를 제한하는 요인으로 차익거래위험(arbitrage risk), 거래비용 (transaction costs), 그리고 정보의 불확실성 (information uncertainty) 3가지 그룹을 고려하였다. 각 그룹의 세부적인 차익거래제한요소로 차익거래위험의 </w:t>
      </w:r>
      <w:r w:rsidR="000F5C01">
        <w:rPr>
          <w:rFonts w:ascii="바탕" w:eastAsia="바탕" w:hAnsi="바탕"/>
          <w:spacing w:val="-6"/>
          <w:kern w:val="0"/>
          <w:szCs w:val="20"/>
        </w:rPr>
        <w:t>대</w:t>
      </w:r>
      <w:r w:rsidR="000F5C01">
        <w:rPr>
          <w:rFonts w:ascii="바탕" w:eastAsia="바탕" w:hAnsi="바탕" w:hint="eastAsia"/>
          <w:spacing w:val="-6"/>
          <w:kern w:val="0"/>
          <w:szCs w:val="20"/>
        </w:rPr>
        <w:t xml:space="preserve">용 </w:t>
      </w:r>
      <w:r w:rsidR="00616B04">
        <w:rPr>
          <w:rFonts w:ascii="바탕" w:eastAsia="바탕" w:hAnsi="바탕"/>
          <w:spacing w:val="-6"/>
          <w:kern w:val="0"/>
          <w:szCs w:val="20"/>
        </w:rPr>
        <w:t xml:space="preserve">변수로 기업의 고유변동성 (idiosyncratic volatility)을 사용하고, 거래비용의 </w:t>
      </w:r>
      <w:r w:rsidR="000F5C01">
        <w:rPr>
          <w:rFonts w:ascii="바탕" w:eastAsia="바탕" w:hAnsi="바탕"/>
          <w:spacing w:val="-6"/>
          <w:kern w:val="0"/>
          <w:szCs w:val="20"/>
        </w:rPr>
        <w:t>대</w:t>
      </w:r>
      <w:r w:rsidR="000F5C01">
        <w:rPr>
          <w:rFonts w:ascii="바탕" w:eastAsia="바탕" w:hAnsi="바탕" w:hint="eastAsia"/>
          <w:spacing w:val="-6"/>
          <w:kern w:val="0"/>
          <w:szCs w:val="20"/>
        </w:rPr>
        <w:t xml:space="preserve">용 </w:t>
      </w:r>
      <w:r w:rsidR="00616B04">
        <w:rPr>
          <w:rFonts w:ascii="바탕" w:eastAsia="바탕" w:hAnsi="바탕"/>
          <w:spacing w:val="-6"/>
          <w:kern w:val="0"/>
          <w:szCs w:val="20"/>
        </w:rPr>
        <w:t>변수로 거래대금(trading volume), Amihud (2002)의 비유동성(illiquidity), 최근</w:t>
      </w:r>
      <w:r w:rsidR="000F5C01">
        <w:rPr>
          <w:rFonts w:ascii="바탕" w:eastAsia="바탕" w:hAnsi="바탕" w:hint="eastAsia"/>
          <w:spacing w:val="-6"/>
          <w:kern w:val="0"/>
          <w:szCs w:val="20"/>
        </w:rPr>
        <w:t xml:space="preserve"> </w:t>
      </w:r>
      <w:r w:rsidR="00616B04">
        <w:rPr>
          <w:rFonts w:ascii="바탕" w:eastAsia="바탕" w:hAnsi="바탕"/>
          <w:spacing w:val="-6"/>
          <w:kern w:val="0"/>
          <w:szCs w:val="20"/>
        </w:rPr>
        <w:t xml:space="preserve">거래된 주가, 그리고 영(zero) 수익률의 개수, 정보의 불확실성의 </w:t>
      </w:r>
      <w:r w:rsidR="000F5C01">
        <w:rPr>
          <w:rFonts w:ascii="바탕" w:eastAsia="바탕" w:hAnsi="바탕"/>
          <w:spacing w:val="-6"/>
          <w:kern w:val="0"/>
          <w:szCs w:val="20"/>
        </w:rPr>
        <w:t>대</w:t>
      </w:r>
      <w:r w:rsidR="000F5C01">
        <w:rPr>
          <w:rFonts w:ascii="바탕" w:eastAsia="바탕" w:hAnsi="바탕" w:hint="eastAsia"/>
          <w:spacing w:val="-6"/>
          <w:kern w:val="0"/>
          <w:szCs w:val="20"/>
        </w:rPr>
        <w:t xml:space="preserve">용 </w:t>
      </w:r>
      <w:r w:rsidR="00616B04">
        <w:rPr>
          <w:rFonts w:ascii="바탕" w:eastAsia="바탕" w:hAnsi="바탕"/>
          <w:spacing w:val="-6"/>
          <w:kern w:val="0"/>
          <w:szCs w:val="20"/>
        </w:rPr>
        <w:t>변수로 재무분석가의 수(number o</w:t>
      </w:r>
      <w:r w:rsidR="000F5C01">
        <w:rPr>
          <w:rFonts w:ascii="바탕" w:eastAsia="바탕" w:hAnsi="바탕"/>
          <w:spacing w:val="-6"/>
          <w:kern w:val="0"/>
          <w:szCs w:val="20"/>
        </w:rPr>
        <w:t>f analy</w:t>
      </w:r>
      <w:r w:rsidR="00616B04">
        <w:rPr>
          <w:rFonts w:ascii="바탕" w:eastAsia="바탕" w:hAnsi="바탕"/>
          <w:spacing w:val="-6"/>
          <w:kern w:val="0"/>
          <w:szCs w:val="20"/>
        </w:rPr>
        <w:t>sts following)와 현금흐름의 변동성 (cash flow volatility)를 살펴보았다</w:t>
      </w:r>
      <w:r w:rsidR="008B28F6">
        <w:rPr>
          <w:rFonts w:ascii="바탕" w:eastAsia="바탕" w:hAnsi="바탕"/>
          <w:spacing w:val="-6"/>
          <w:kern w:val="0"/>
          <w:szCs w:val="20"/>
        </w:rPr>
        <w:t xml:space="preserve">. </w:t>
      </w:r>
      <w:r w:rsidR="008B28F6">
        <w:rPr>
          <w:rFonts w:ascii="바탕" w:eastAsia="바탕" w:hAnsi="바탕" w:hint="eastAsia"/>
          <w:spacing w:val="-6"/>
          <w:kern w:val="0"/>
          <w:szCs w:val="20"/>
        </w:rPr>
        <w:t>하지만 실증 분석의 결과 국내 주식시장의 모멘텀 현상은 차익거래 제한요인과는 별다른 상관없이 나타나는 것으로 보여 행태주의 관점은 설득력이 떨어진다. 이는 미국 시장에서의 연구 결과와는 다소 배치되는 것으로 추후 그 원인에 대한 연구가 필요해 보인다.</w:t>
      </w:r>
      <w:r w:rsidR="008B28F6">
        <w:rPr>
          <w:rFonts w:ascii="바탕" w:eastAsia="바탕" w:hAnsi="바탕"/>
          <w:spacing w:val="-6"/>
          <w:kern w:val="0"/>
          <w:szCs w:val="20"/>
        </w:rPr>
        <w:t xml:space="preserve"> </w:t>
      </w:r>
    </w:p>
    <w:p w:rsidR="00EC3A06" w:rsidRDefault="0014771F" w:rsidP="00EC3A06">
      <w:pPr>
        <w:widowControl/>
        <w:spacing w:line="480" w:lineRule="auto"/>
        <w:rPr>
          <w:rFonts w:ascii="바탕" w:eastAsia="바탕" w:hAnsi="바탕"/>
          <w:spacing w:val="-6"/>
          <w:kern w:val="0"/>
          <w:szCs w:val="20"/>
        </w:rPr>
      </w:pPr>
      <w:r>
        <w:rPr>
          <w:rFonts w:ascii="바탕" w:eastAsia="바탕" w:hAnsi="바탕" w:hint="eastAsia"/>
          <w:spacing w:val="-6"/>
          <w:kern w:val="0"/>
          <w:szCs w:val="20"/>
        </w:rPr>
        <w:t xml:space="preserve">      앞서 장지원(</w:t>
      </w:r>
      <w:r>
        <w:rPr>
          <w:rFonts w:ascii="바탕" w:eastAsia="바탕" w:hAnsi="바탕"/>
          <w:spacing w:val="-6"/>
          <w:kern w:val="0"/>
          <w:szCs w:val="20"/>
        </w:rPr>
        <w:t>2017)</w:t>
      </w:r>
      <w:r>
        <w:rPr>
          <w:rFonts w:ascii="바탕" w:eastAsia="바탕" w:hAnsi="바탕" w:hint="eastAsia"/>
          <w:spacing w:val="-6"/>
          <w:kern w:val="0"/>
          <w:szCs w:val="20"/>
        </w:rPr>
        <w:t xml:space="preserve">의 연구에서는 국내 주식시장의 모멘텀 현상이 </w:t>
      </w:r>
      <w:r>
        <w:rPr>
          <w:rFonts w:ascii="바탕" w:eastAsia="바탕" w:hAnsi="바탕"/>
          <w:spacing w:val="-6"/>
          <w:kern w:val="0"/>
          <w:szCs w:val="20"/>
        </w:rPr>
        <w:t>Fama</w:t>
      </w:r>
      <w:r w:rsidR="00C344B5">
        <w:rPr>
          <w:rFonts w:ascii="바탕" w:eastAsia="바탕" w:hAnsi="바탕"/>
          <w:spacing w:val="-6"/>
          <w:kern w:val="0"/>
          <w:szCs w:val="20"/>
        </w:rPr>
        <w:t xml:space="preserve"> and</w:t>
      </w:r>
      <w:r>
        <w:rPr>
          <w:rFonts w:ascii="바탕" w:eastAsia="바탕" w:hAnsi="바탕"/>
          <w:spacing w:val="-6"/>
          <w:kern w:val="0"/>
          <w:szCs w:val="20"/>
        </w:rPr>
        <w:t xml:space="preserve"> French</w:t>
      </w:r>
      <w:r w:rsidR="00C344B5">
        <w:rPr>
          <w:rFonts w:ascii="바탕" w:eastAsia="바탕" w:hAnsi="바탕"/>
          <w:spacing w:val="-6"/>
          <w:kern w:val="0"/>
          <w:szCs w:val="20"/>
        </w:rPr>
        <w:t>(1993)</w:t>
      </w:r>
      <w:r>
        <w:rPr>
          <w:rFonts w:ascii="바탕" w:eastAsia="바탕" w:hAnsi="바탕"/>
          <w:spacing w:val="-6"/>
          <w:kern w:val="0"/>
          <w:szCs w:val="20"/>
        </w:rPr>
        <w:t xml:space="preserve"> 3</w:t>
      </w:r>
      <w:r>
        <w:rPr>
          <w:rFonts w:ascii="바탕" w:eastAsia="바탕" w:hAnsi="바탕" w:hint="eastAsia"/>
          <w:spacing w:val="-6"/>
          <w:kern w:val="0"/>
          <w:szCs w:val="20"/>
        </w:rPr>
        <w:t xml:space="preserve">요인 </w:t>
      </w:r>
      <w:r w:rsidR="00C344B5">
        <w:rPr>
          <w:rFonts w:ascii="바탕" w:eastAsia="바탕" w:hAnsi="바탕" w:hint="eastAsia"/>
          <w:spacing w:val="-6"/>
          <w:kern w:val="0"/>
          <w:szCs w:val="20"/>
        </w:rPr>
        <w:t xml:space="preserve">모형(이하 </w:t>
      </w:r>
      <w:r w:rsidR="00C344B5">
        <w:rPr>
          <w:rFonts w:ascii="바탕" w:eastAsia="바탕" w:hAnsi="바탕"/>
          <w:spacing w:val="-6"/>
          <w:kern w:val="0"/>
          <w:szCs w:val="20"/>
        </w:rPr>
        <w:t>FF3)</w:t>
      </w:r>
      <w:r>
        <w:rPr>
          <w:rFonts w:ascii="바탕" w:eastAsia="바탕" w:hAnsi="바탕" w:hint="eastAsia"/>
          <w:spacing w:val="-6"/>
          <w:kern w:val="0"/>
          <w:szCs w:val="20"/>
        </w:rPr>
        <w:t>에 의한 위험 프리미엄으로 충분히 설명되지 않음을 언급하였다.</w:t>
      </w:r>
      <w:r>
        <w:rPr>
          <w:rFonts w:ascii="바탕" w:eastAsia="바탕" w:hAnsi="바탕"/>
          <w:spacing w:val="-6"/>
          <w:kern w:val="0"/>
          <w:szCs w:val="20"/>
        </w:rPr>
        <w:t xml:space="preserve"> </w:t>
      </w:r>
      <w:r w:rsidR="00C344B5">
        <w:rPr>
          <w:rFonts w:ascii="바탕" w:eastAsia="바탕" w:hAnsi="바탕" w:hint="eastAsia"/>
          <w:spacing w:val="-6"/>
          <w:kern w:val="0"/>
          <w:szCs w:val="20"/>
        </w:rPr>
        <w:t xml:space="preserve">수익률의 관성을 나타내는 모멘텀 현상이 기업고유의 특성과 관련한 </w:t>
      </w:r>
      <w:r w:rsidR="00C344B5">
        <w:rPr>
          <w:rFonts w:ascii="바탕" w:eastAsia="바탕" w:hAnsi="바탕"/>
          <w:spacing w:val="-6"/>
          <w:kern w:val="0"/>
          <w:szCs w:val="20"/>
        </w:rPr>
        <w:t>FF3</w:t>
      </w:r>
      <w:r w:rsidR="00C344B5">
        <w:rPr>
          <w:rFonts w:ascii="바탕" w:eastAsia="바탕" w:hAnsi="바탕" w:hint="eastAsia"/>
          <w:spacing w:val="-6"/>
          <w:kern w:val="0"/>
          <w:szCs w:val="20"/>
        </w:rPr>
        <w:t xml:space="preserve">의 </w:t>
      </w:r>
      <w:r w:rsidR="00C344B5">
        <w:rPr>
          <w:rFonts w:ascii="바탕" w:eastAsia="바탕" w:hAnsi="바탕"/>
          <w:spacing w:val="-6"/>
          <w:kern w:val="0"/>
          <w:szCs w:val="20"/>
        </w:rPr>
        <w:t>SMB (small minus big)</w:t>
      </w:r>
      <w:r w:rsidR="00C344B5">
        <w:rPr>
          <w:rFonts w:ascii="바탕" w:eastAsia="바탕" w:hAnsi="바탕" w:hint="eastAsia"/>
          <w:spacing w:val="-6"/>
          <w:kern w:val="0"/>
          <w:szCs w:val="20"/>
        </w:rPr>
        <w:t xml:space="preserve">나 </w:t>
      </w:r>
      <w:r w:rsidR="00C344B5">
        <w:rPr>
          <w:rFonts w:ascii="바탕" w:eastAsia="바탕" w:hAnsi="바탕"/>
          <w:spacing w:val="-6"/>
          <w:kern w:val="0"/>
          <w:szCs w:val="20"/>
        </w:rPr>
        <w:t xml:space="preserve">HML(high minus low book to market) </w:t>
      </w:r>
      <w:r w:rsidR="00C344B5">
        <w:rPr>
          <w:rFonts w:ascii="바탕" w:eastAsia="바탕" w:hAnsi="바탕" w:hint="eastAsia"/>
          <w:spacing w:val="-6"/>
          <w:kern w:val="0"/>
          <w:szCs w:val="20"/>
        </w:rPr>
        <w:t>과 관련이 있을거라고 예상하기는 쉽지 않다.</w:t>
      </w:r>
      <w:r w:rsidR="00C344B5">
        <w:rPr>
          <w:rFonts w:ascii="바탕" w:eastAsia="바탕" w:hAnsi="바탕"/>
          <w:spacing w:val="-6"/>
          <w:kern w:val="0"/>
          <w:szCs w:val="20"/>
        </w:rPr>
        <w:t xml:space="preserve"> </w:t>
      </w:r>
      <w:r w:rsidR="00C344B5">
        <w:rPr>
          <w:rFonts w:ascii="바탕" w:eastAsia="바탕" w:hAnsi="바탕" w:hint="eastAsia"/>
          <w:spacing w:val="-6"/>
          <w:kern w:val="0"/>
          <w:szCs w:val="20"/>
        </w:rPr>
        <w:t xml:space="preserve">그 보다는 </w:t>
      </w:r>
      <w:r w:rsidR="00C344B5">
        <w:rPr>
          <w:rFonts w:ascii="바탕" w:eastAsia="바탕" w:hAnsi="바탕"/>
          <w:spacing w:val="-6"/>
          <w:kern w:val="0"/>
          <w:szCs w:val="20"/>
        </w:rPr>
        <w:t>Fama and French (2015)</w:t>
      </w:r>
      <w:r w:rsidR="00C344B5">
        <w:rPr>
          <w:rFonts w:ascii="바탕" w:eastAsia="바탕" w:hAnsi="바탕" w:hint="eastAsia"/>
          <w:spacing w:val="-6"/>
          <w:kern w:val="0"/>
          <w:szCs w:val="20"/>
        </w:rPr>
        <w:t xml:space="preserve"> 5요인 모형(이하 </w:t>
      </w:r>
      <w:r w:rsidR="00C344B5">
        <w:rPr>
          <w:rFonts w:ascii="바탕" w:eastAsia="바탕" w:hAnsi="바탕"/>
          <w:spacing w:val="-6"/>
          <w:kern w:val="0"/>
          <w:szCs w:val="20"/>
        </w:rPr>
        <w:t>FF5)</w:t>
      </w:r>
      <w:r w:rsidR="00C344B5">
        <w:rPr>
          <w:rFonts w:ascii="바탕" w:eastAsia="바탕" w:hAnsi="바탕" w:hint="eastAsia"/>
          <w:spacing w:val="-6"/>
          <w:kern w:val="0"/>
          <w:szCs w:val="20"/>
        </w:rPr>
        <w:t xml:space="preserve">에서의 </w:t>
      </w:r>
      <w:r w:rsidR="00C344B5">
        <w:rPr>
          <w:rFonts w:ascii="바탕" w:eastAsia="바탕" w:hAnsi="바탕"/>
          <w:spacing w:val="-6"/>
          <w:kern w:val="0"/>
          <w:szCs w:val="20"/>
        </w:rPr>
        <w:t xml:space="preserve">RMW (robust minus week operating profiltability) </w:t>
      </w:r>
      <w:r w:rsidR="00C344B5">
        <w:rPr>
          <w:rFonts w:ascii="바탕" w:eastAsia="바탕" w:hAnsi="바탕" w:hint="eastAsia"/>
          <w:spacing w:val="-6"/>
          <w:kern w:val="0"/>
          <w:szCs w:val="20"/>
        </w:rPr>
        <w:t>과 같이 영업이익의 시계열 변동과 관련을 맺고 있으리라 추정하는 것이 자연스러워 보인다.</w:t>
      </w:r>
      <w:r w:rsidR="00C344B5">
        <w:rPr>
          <w:rFonts w:ascii="바탕" w:eastAsia="바탕" w:hAnsi="바탕"/>
          <w:spacing w:val="-6"/>
          <w:kern w:val="0"/>
          <w:szCs w:val="20"/>
        </w:rPr>
        <w:t xml:space="preserve"> </w:t>
      </w:r>
      <w:r w:rsidR="00C344B5">
        <w:rPr>
          <w:rFonts w:ascii="바탕" w:eastAsia="바탕" w:hAnsi="바탕" w:hint="eastAsia"/>
          <w:spacing w:val="-6"/>
          <w:kern w:val="0"/>
          <w:szCs w:val="20"/>
        </w:rPr>
        <w:t>따라서 본 연구는 모멘텀 현상이 누락된 위험요인(omi</w:t>
      </w:r>
      <w:r w:rsidR="00C344B5">
        <w:rPr>
          <w:rFonts w:ascii="바탕" w:eastAsia="바탕" w:hAnsi="바탕"/>
          <w:spacing w:val="-6"/>
          <w:kern w:val="0"/>
          <w:szCs w:val="20"/>
        </w:rPr>
        <w:t>tted risk factor)</w:t>
      </w:r>
      <w:r w:rsidR="00C344B5">
        <w:rPr>
          <w:rFonts w:ascii="바탕" w:eastAsia="바탕" w:hAnsi="바탕" w:hint="eastAsia"/>
          <w:spacing w:val="-6"/>
          <w:kern w:val="0"/>
          <w:szCs w:val="20"/>
        </w:rPr>
        <w:t xml:space="preserve">에 의한 것인지를 분석하기 위하여 기존 문헌에서의 </w:t>
      </w:r>
      <w:r w:rsidR="00C344B5">
        <w:rPr>
          <w:rFonts w:ascii="바탕" w:eastAsia="바탕" w:hAnsi="바탕"/>
          <w:spacing w:val="-6"/>
          <w:kern w:val="0"/>
          <w:szCs w:val="20"/>
        </w:rPr>
        <w:t xml:space="preserve">CAPM, FF3 </w:t>
      </w:r>
      <w:r w:rsidR="00C344B5">
        <w:rPr>
          <w:rFonts w:ascii="바탕" w:eastAsia="바탕" w:hAnsi="바탕" w:hint="eastAsia"/>
          <w:spacing w:val="-6"/>
          <w:kern w:val="0"/>
          <w:szCs w:val="20"/>
        </w:rPr>
        <w:t xml:space="preserve">뿐만 아니라 </w:t>
      </w:r>
      <w:r w:rsidR="00C344B5">
        <w:rPr>
          <w:rFonts w:ascii="바탕" w:eastAsia="바탕" w:hAnsi="바탕"/>
          <w:spacing w:val="-6"/>
          <w:kern w:val="0"/>
          <w:szCs w:val="20"/>
        </w:rPr>
        <w:t xml:space="preserve">FF5 </w:t>
      </w:r>
      <w:r w:rsidR="00C344B5">
        <w:rPr>
          <w:rFonts w:ascii="바탕" w:eastAsia="바탕" w:hAnsi="바탕" w:hint="eastAsia"/>
          <w:spacing w:val="-6"/>
          <w:kern w:val="0"/>
          <w:szCs w:val="20"/>
        </w:rPr>
        <w:t>까지 고려한 위험 조정 후에도 모멘텀 현상이 살아남는지를 살펴보았다.</w:t>
      </w:r>
      <w:r w:rsidR="00EC3A06">
        <w:rPr>
          <w:rFonts w:ascii="바탕" w:eastAsia="바탕" w:hAnsi="바탕"/>
          <w:spacing w:val="-6"/>
          <w:kern w:val="0"/>
          <w:szCs w:val="20"/>
        </w:rPr>
        <w:t xml:space="preserve"> </w:t>
      </w:r>
      <w:r w:rsidR="00C344B5">
        <w:rPr>
          <w:rFonts w:ascii="바탕" w:eastAsia="바탕" w:hAnsi="바탕"/>
          <w:spacing w:val="-6"/>
          <w:kern w:val="0"/>
          <w:szCs w:val="20"/>
        </w:rPr>
        <w:t xml:space="preserve"> </w:t>
      </w:r>
      <w:r w:rsidR="00EC3A06">
        <w:rPr>
          <w:rFonts w:ascii="바탕" w:eastAsia="바탕" w:hAnsi="바탕" w:hint="eastAsia"/>
          <w:spacing w:val="-6"/>
          <w:kern w:val="0"/>
          <w:szCs w:val="20"/>
        </w:rPr>
        <w:t xml:space="preserve">결과적으로 </w:t>
      </w:r>
      <w:r w:rsidR="00EC3A06">
        <w:rPr>
          <w:rFonts w:ascii="바탕" w:eastAsia="바탕" w:hAnsi="바탕" w:hint="eastAsia"/>
          <w:spacing w:val="-6"/>
          <w:kern w:val="0"/>
          <w:szCs w:val="20"/>
        </w:rPr>
        <w:lastRenderedPageBreak/>
        <w:t xml:space="preserve">모멘텀 현상은 </w:t>
      </w:r>
      <w:r w:rsidR="00EC3A06">
        <w:rPr>
          <w:rFonts w:ascii="바탕" w:eastAsia="바탕" w:hAnsi="바탕"/>
          <w:spacing w:val="-6"/>
          <w:kern w:val="0"/>
          <w:szCs w:val="20"/>
        </w:rPr>
        <w:t xml:space="preserve">CAPM </w:t>
      </w:r>
      <w:r w:rsidR="00EC3A06">
        <w:rPr>
          <w:rFonts w:ascii="바탕" w:eastAsia="바탕" w:hAnsi="바탕" w:hint="eastAsia"/>
          <w:spacing w:val="-6"/>
          <w:kern w:val="0"/>
          <w:szCs w:val="20"/>
        </w:rPr>
        <w:t xml:space="preserve">으로는 설명되지 않으나 </w:t>
      </w:r>
      <w:r w:rsidR="00EC3A06">
        <w:rPr>
          <w:rFonts w:ascii="바탕" w:eastAsia="바탕" w:hAnsi="바탕"/>
          <w:spacing w:val="-6"/>
          <w:kern w:val="0"/>
          <w:szCs w:val="20"/>
        </w:rPr>
        <w:t xml:space="preserve">FF3 </w:t>
      </w:r>
      <w:r w:rsidR="00EC3A06">
        <w:rPr>
          <w:rFonts w:ascii="바탕" w:eastAsia="바탕" w:hAnsi="바탕" w:hint="eastAsia"/>
          <w:spacing w:val="-6"/>
          <w:kern w:val="0"/>
          <w:szCs w:val="20"/>
        </w:rPr>
        <w:t xml:space="preserve">와 </w:t>
      </w:r>
      <w:r w:rsidR="00EC3A06">
        <w:rPr>
          <w:rFonts w:ascii="바탕" w:eastAsia="바탕" w:hAnsi="바탕"/>
          <w:spacing w:val="-6"/>
          <w:kern w:val="0"/>
          <w:szCs w:val="20"/>
        </w:rPr>
        <w:t xml:space="preserve">FF5 </w:t>
      </w:r>
      <w:r w:rsidR="00EC3A06">
        <w:rPr>
          <w:rFonts w:ascii="바탕" w:eastAsia="바탕" w:hAnsi="바탕" w:hint="eastAsia"/>
          <w:spacing w:val="-6"/>
          <w:kern w:val="0"/>
          <w:szCs w:val="20"/>
        </w:rPr>
        <w:t>에 의해서는 비교적 잘 설명되는 것으로 나타났다.</w:t>
      </w:r>
      <w:r w:rsidR="00EC3A06">
        <w:rPr>
          <w:rFonts w:ascii="바탕" w:eastAsia="바탕" w:hAnsi="바탕"/>
          <w:spacing w:val="-6"/>
          <w:kern w:val="0"/>
          <w:szCs w:val="20"/>
        </w:rPr>
        <w:t xml:space="preserve"> </w:t>
      </w:r>
      <w:r w:rsidR="00EC3A06">
        <w:rPr>
          <w:rFonts w:ascii="바탕" w:eastAsia="바탕" w:hAnsi="바탕" w:hint="eastAsia"/>
          <w:spacing w:val="-6"/>
          <w:kern w:val="0"/>
          <w:szCs w:val="20"/>
        </w:rPr>
        <w:t xml:space="preserve">비록 모멘텀 현상이 </w:t>
      </w:r>
      <w:r w:rsidR="00EC3A06">
        <w:rPr>
          <w:rFonts w:ascii="바탕" w:eastAsia="바탕" w:hAnsi="바탕"/>
          <w:spacing w:val="-6"/>
          <w:kern w:val="0"/>
          <w:szCs w:val="20"/>
        </w:rPr>
        <w:t xml:space="preserve">FF3 </w:t>
      </w:r>
      <w:r w:rsidR="00EC3A06">
        <w:rPr>
          <w:rFonts w:ascii="바탕" w:eastAsia="바탕" w:hAnsi="바탕" w:hint="eastAsia"/>
          <w:spacing w:val="-6"/>
          <w:kern w:val="0"/>
          <w:szCs w:val="20"/>
        </w:rPr>
        <w:t xml:space="preserve">에 의해서도 설명되는 것으로 나타났으나 </w:t>
      </w:r>
      <w:r w:rsidR="00EC3A06">
        <w:rPr>
          <w:rFonts w:ascii="바탕" w:eastAsia="바탕" w:hAnsi="바탕"/>
          <w:spacing w:val="-6"/>
          <w:kern w:val="0"/>
          <w:szCs w:val="20"/>
        </w:rPr>
        <w:t xml:space="preserve">SMB </w:t>
      </w:r>
      <w:r w:rsidR="00EC3A06">
        <w:rPr>
          <w:rFonts w:ascii="바탕" w:eastAsia="바탕" w:hAnsi="바탕" w:hint="eastAsia"/>
          <w:spacing w:val="-6"/>
          <w:kern w:val="0"/>
          <w:szCs w:val="20"/>
        </w:rPr>
        <w:t xml:space="preserve">와 </w:t>
      </w:r>
      <w:r w:rsidR="00EC3A06">
        <w:rPr>
          <w:rFonts w:ascii="바탕" w:eastAsia="바탕" w:hAnsi="바탕"/>
          <w:spacing w:val="-6"/>
          <w:kern w:val="0"/>
          <w:szCs w:val="20"/>
        </w:rPr>
        <w:t xml:space="preserve">HML </w:t>
      </w:r>
      <w:r w:rsidR="00EC3A06">
        <w:rPr>
          <w:rFonts w:ascii="바탕" w:eastAsia="바탕" w:hAnsi="바탕" w:hint="eastAsia"/>
          <w:spacing w:val="-6"/>
          <w:kern w:val="0"/>
          <w:szCs w:val="20"/>
        </w:rPr>
        <w:t xml:space="preserve">등에 의해 설명되지는 않으며 </w:t>
      </w:r>
      <w:r w:rsidR="00EC3A06">
        <w:rPr>
          <w:rFonts w:ascii="바탕" w:eastAsia="바탕" w:hAnsi="바탕"/>
          <w:spacing w:val="-6"/>
          <w:kern w:val="0"/>
          <w:szCs w:val="20"/>
        </w:rPr>
        <w:t xml:space="preserve">FF5 </w:t>
      </w:r>
      <w:r w:rsidR="00EC3A06">
        <w:rPr>
          <w:rFonts w:ascii="바탕" w:eastAsia="바탕" w:hAnsi="바탕" w:hint="eastAsia"/>
          <w:spacing w:val="-6"/>
          <w:kern w:val="0"/>
          <w:szCs w:val="20"/>
        </w:rPr>
        <w:t xml:space="preserve">의 </w:t>
      </w:r>
      <w:r w:rsidR="00EC3A06">
        <w:rPr>
          <w:rFonts w:ascii="바탕" w:eastAsia="바탕" w:hAnsi="바탕"/>
          <w:spacing w:val="-6"/>
          <w:kern w:val="0"/>
          <w:szCs w:val="20"/>
        </w:rPr>
        <w:t xml:space="preserve">RMW </w:t>
      </w:r>
      <w:r w:rsidR="00EC3A06">
        <w:rPr>
          <w:rFonts w:ascii="바탕" w:eastAsia="바탕" w:hAnsi="바탕" w:hint="eastAsia"/>
          <w:spacing w:val="-6"/>
          <w:kern w:val="0"/>
          <w:szCs w:val="20"/>
        </w:rPr>
        <w:t xml:space="preserve">에 의해 설명되는 것으로 보아 앞서의 예측이 비교적 설득력을 갖는 것으로 생각된다. </w:t>
      </w:r>
    </w:p>
    <w:p w:rsidR="00982F33" w:rsidRPr="00EC3A06" w:rsidRDefault="00EC3A06" w:rsidP="00EC3A06">
      <w:pPr>
        <w:widowControl/>
        <w:spacing w:line="480" w:lineRule="auto"/>
        <w:rPr>
          <w:rFonts w:ascii="바탕" w:eastAsia="바탕" w:hAnsi="바탕" w:hint="eastAsia"/>
          <w:spacing w:val="-6"/>
          <w:kern w:val="0"/>
          <w:szCs w:val="20"/>
        </w:rPr>
      </w:pPr>
      <w:r>
        <w:rPr>
          <w:rFonts w:ascii="바탕" w:eastAsia="바탕" w:hAnsi="바탕"/>
          <w:spacing w:val="-6"/>
          <w:kern w:val="0"/>
          <w:szCs w:val="20"/>
        </w:rPr>
        <w:t xml:space="preserve">      </w:t>
      </w:r>
      <w:r w:rsidR="00616B04">
        <w:rPr>
          <w:rFonts w:ascii="바탕" w:eastAsia="바탕" w:hAnsi="바탕"/>
          <w:spacing w:val="-6"/>
          <w:kern w:val="0"/>
          <w:szCs w:val="20"/>
        </w:rPr>
        <w:t>본 논문의 구성은 다음과 같다. 먼저 2장에서는 본 연구의 자료와 사용된 방법론에 대해 서술하였다. 3장에서는 실증</w:t>
      </w:r>
      <w:r>
        <w:rPr>
          <w:rFonts w:ascii="바탕" w:eastAsia="바탕" w:hAnsi="바탕" w:hint="eastAsia"/>
          <w:spacing w:val="-6"/>
          <w:kern w:val="0"/>
          <w:szCs w:val="20"/>
        </w:rPr>
        <w:t xml:space="preserve"> </w:t>
      </w:r>
      <w:r w:rsidR="00616B04">
        <w:rPr>
          <w:rFonts w:ascii="바탕" w:eastAsia="바탕" w:hAnsi="바탕"/>
          <w:spacing w:val="-6"/>
          <w:kern w:val="0"/>
          <w:szCs w:val="20"/>
        </w:rPr>
        <w:t xml:space="preserve">분석의 결과를 구체적으로 </w:t>
      </w:r>
      <w:r>
        <w:rPr>
          <w:rFonts w:ascii="바탕" w:eastAsia="바탕" w:hAnsi="바탕"/>
          <w:spacing w:val="-6"/>
          <w:kern w:val="0"/>
          <w:szCs w:val="20"/>
        </w:rPr>
        <w:t>제시하였</w:t>
      </w:r>
      <w:r>
        <w:rPr>
          <w:rFonts w:ascii="바탕" w:eastAsia="바탕" w:hAnsi="바탕" w:hint="eastAsia"/>
          <w:spacing w:val="-6"/>
          <w:kern w:val="0"/>
          <w:szCs w:val="20"/>
        </w:rPr>
        <w:t>으며</w:t>
      </w:r>
      <w:r>
        <w:rPr>
          <w:rFonts w:ascii="바탕" w:eastAsia="바탕" w:hAnsi="바탕"/>
          <w:spacing w:val="-6"/>
          <w:kern w:val="0"/>
          <w:szCs w:val="20"/>
        </w:rPr>
        <w:t>,</w:t>
      </w:r>
      <w:r w:rsidR="00616B04">
        <w:rPr>
          <w:rFonts w:ascii="바탕" w:eastAsia="바탕" w:hAnsi="바탕"/>
          <w:spacing w:val="-6"/>
          <w:kern w:val="0"/>
          <w:szCs w:val="20"/>
        </w:rPr>
        <w:t xml:space="preserve"> 마지막으로 4장에서는 결론을 제시하였다. </w:t>
      </w:r>
    </w:p>
    <w:p w:rsidR="008E02A0" w:rsidRDefault="008E02A0">
      <w:pPr>
        <w:spacing w:line="432" w:lineRule="auto"/>
        <w:rPr>
          <w:rFonts w:ascii="바탕" w:eastAsia="바탕" w:hAnsi="바탕" w:hint="eastAsia"/>
          <w:spacing w:val="-6"/>
          <w:szCs w:val="20"/>
        </w:rPr>
      </w:pPr>
    </w:p>
    <w:p w:rsidR="00982F33" w:rsidRDefault="00616B04">
      <w:pPr>
        <w:spacing w:line="432" w:lineRule="auto"/>
        <w:rPr>
          <w:rFonts w:ascii="바탕" w:eastAsia="바탕" w:hAnsi="바탕"/>
          <w:b/>
          <w:spacing w:val="-6"/>
          <w:kern w:val="0"/>
          <w:sz w:val="28"/>
          <w:szCs w:val="28"/>
        </w:rPr>
      </w:pPr>
      <w:r>
        <w:rPr>
          <w:rFonts w:ascii="바탕" w:eastAsia="바탕" w:hAnsi="바탕"/>
          <w:b/>
          <w:spacing w:val="-6"/>
          <w:kern w:val="0"/>
          <w:sz w:val="28"/>
          <w:szCs w:val="28"/>
        </w:rPr>
        <w:t>Ⅱ. 자료 및 연구방법</w:t>
      </w:r>
    </w:p>
    <w:p w:rsidR="00982F33" w:rsidRDefault="00616B04">
      <w:pPr>
        <w:spacing w:after="240" w:line="480" w:lineRule="auto"/>
        <w:rPr>
          <w:rFonts w:ascii="바탕" w:eastAsia="바탕" w:hAnsi="바탕"/>
          <w:b/>
          <w:spacing w:val="-6"/>
          <w:sz w:val="22"/>
        </w:rPr>
      </w:pPr>
      <w:r>
        <w:rPr>
          <w:rFonts w:ascii="바탕" w:eastAsia="바탕" w:hAnsi="바탕"/>
          <w:b/>
          <w:spacing w:val="-6"/>
          <w:sz w:val="22"/>
        </w:rPr>
        <w:t>2.1 자료</w:t>
      </w:r>
    </w:p>
    <w:p w:rsidR="00982F33" w:rsidRDefault="00616B04">
      <w:pPr>
        <w:spacing w:line="432" w:lineRule="auto"/>
        <w:rPr>
          <w:rFonts w:ascii="바탕" w:eastAsia="바탕" w:hAnsi="바탕"/>
          <w:spacing w:val="-6"/>
        </w:rPr>
      </w:pPr>
      <w:r>
        <w:rPr>
          <w:rFonts w:ascii="바탕" w:eastAsia="바탕" w:hAnsi="바탕"/>
          <w:spacing w:val="-6"/>
        </w:rPr>
        <w:t>본 연구는</w:t>
      </w:r>
      <w:r w:rsidR="00C417D4">
        <w:rPr>
          <w:rFonts w:ascii="바탕" w:eastAsia="바탕" w:hAnsi="바탕"/>
          <w:spacing w:val="-6"/>
        </w:rPr>
        <w:t xml:space="preserve"> 1980</w:t>
      </w:r>
      <w:r>
        <w:rPr>
          <w:rFonts w:ascii="바탕" w:eastAsia="바탕" w:hAnsi="바탕"/>
          <w:spacing w:val="-6"/>
        </w:rPr>
        <w:t xml:space="preserve">년 1월부터 2015년 12월까지 유가증권시장(KOSPI)에 상장된 </w:t>
      </w:r>
      <w:r w:rsidR="00C417D4">
        <w:rPr>
          <w:rFonts w:ascii="바탕" w:eastAsia="바탕" w:hAnsi="바탕" w:hint="eastAsia"/>
          <w:spacing w:val="-6"/>
        </w:rPr>
        <w:t xml:space="preserve">펀드를 제외한 모든 종목을 대상으로 </w:t>
      </w:r>
      <w:r w:rsidR="00C417D4">
        <w:rPr>
          <w:rFonts w:ascii="바탕" w:eastAsia="바탕" w:hAnsi="바탕"/>
          <w:spacing w:val="-6"/>
        </w:rPr>
        <w:t>분석하였</w:t>
      </w:r>
      <w:r w:rsidR="00C417D4">
        <w:rPr>
          <w:rFonts w:ascii="바탕" w:eastAsia="바탕" w:hAnsi="바탕" w:hint="eastAsia"/>
          <w:spacing w:val="-6"/>
        </w:rPr>
        <w:t>다</w:t>
      </w:r>
      <w:r>
        <w:rPr>
          <w:rFonts w:ascii="바탕" w:eastAsia="바탕" w:hAnsi="바탕"/>
          <w:spacing w:val="-6"/>
        </w:rPr>
        <w:t>. 개별기업의 주가자료와 회계자료는 FN GUIDE에서 제공하는 DATA GUIDE를 통해 수집하였다.</w:t>
      </w:r>
    </w:p>
    <w:p w:rsidR="00EA1968" w:rsidRDefault="00EA1968">
      <w:pPr>
        <w:spacing w:line="432" w:lineRule="auto"/>
        <w:rPr>
          <w:rFonts w:ascii="바탕" w:eastAsia="바탕" w:hAnsi="바탕"/>
          <w:spacing w:val="-6"/>
        </w:rPr>
      </w:pPr>
    </w:p>
    <w:p w:rsidR="00982F33" w:rsidRDefault="00616B04">
      <w:pPr>
        <w:spacing w:before="240" w:after="240" w:line="480" w:lineRule="auto"/>
        <w:rPr>
          <w:rFonts w:ascii="바탕" w:eastAsia="바탕" w:hAnsi="바탕"/>
          <w:b/>
          <w:spacing w:val="-6"/>
          <w:sz w:val="22"/>
        </w:rPr>
      </w:pPr>
      <w:r>
        <w:rPr>
          <w:rFonts w:ascii="바탕" w:eastAsia="바탕" w:hAnsi="바탕"/>
          <w:b/>
          <w:spacing w:val="-6"/>
          <w:sz w:val="22"/>
        </w:rPr>
        <w:t>2.2 모멘텀 (Mometum) 의 추정</w:t>
      </w:r>
    </w:p>
    <w:p w:rsidR="009234AA" w:rsidRPr="00C76235" w:rsidRDefault="00616B04">
      <w:pPr>
        <w:spacing w:line="432" w:lineRule="auto"/>
        <w:rPr>
          <w:rFonts w:ascii="바탕" w:eastAsia="바탕" w:hAnsi="바탕" w:cs="바탕" w:hint="eastAsia"/>
          <w:spacing w:val="-6"/>
        </w:rPr>
      </w:pPr>
      <w:r>
        <w:rPr>
          <w:rFonts w:ascii="바탕" w:eastAsia="바탕" w:hAnsi="바탕"/>
          <w:spacing w:val="-6"/>
        </w:rPr>
        <w:t xml:space="preserve">본 </w:t>
      </w:r>
      <w:r w:rsidR="00C417D4">
        <w:rPr>
          <w:rFonts w:ascii="바탕" w:eastAsia="바탕" w:hAnsi="바탕"/>
          <w:spacing w:val="-6"/>
        </w:rPr>
        <w:t>연구에서</w:t>
      </w:r>
      <w:r w:rsidR="00C417D4">
        <w:rPr>
          <w:rFonts w:ascii="바탕" w:eastAsia="바탕" w:hAnsi="바탕" w:hint="eastAsia"/>
          <w:spacing w:val="-6"/>
        </w:rPr>
        <w:t xml:space="preserve">는 </w:t>
      </w:r>
      <w:r w:rsidR="00C417D4">
        <w:rPr>
          <w:rFonts w:ascii="바탕" w:eastAsia="바탕" w:hAnsi="바탕"/>
          <w:spacing w:val="-6"/>
        </w:rPr>
        <w:t>Jegadeesh and Titman(1993)</w:t>
      </w:r>
      <w:r w:rsidR="00C417D4">
        <w:rPr>
          <w:rFonts w:ascii="바탕" w:eastAsia="바탕" w:hAnsi="바탕" w:hint="eastAsia"/>
          <w:spacing w:val="-6"/>
        </w:rPr>
        <w:t>의 방식에 따라</w:t>
      </w:r>
      <w:r>
        <w:rPr>
          <w:rFonts w:ascii="바탕" w:eastAsia="바탕" w:hAnsi="바탕"/>
          <w:spacing w:val="-6"/>
        </w:rPr>
        <w:t xml:space="preserve"> 각각 3, 6, 9, 12 개월의 formation period(J) </w:t>
      </w:r>
      <w:r>
        <w:rPr>
          <w:rFonts w:ascii="바탕" w:eastAsia="바탕" w:hAnsi="바탕" w:cs="바탕"/>
          <w:spacing w:val="-6"/>
        </w:rPr>
        <w:t>와 holding period(K)를 갖는 16개의 조합에 대해 formation period 의 보유기간 수익률(holding period return)의 크기 기준으로</w:t>
      </w:r>
      <w:r w:rsidR="00C417D4">
        <w:rPr>
          <w:rFonts w:ascii="바탕" w:eastAsia="바탕" w:hAnsi="바탕" w:cs="바탕"/>
          <w:spacing w:val="-6"/>
        </w:rPr>
        <w:t xml:space="preserve"> </w:t>
      </w:r>
      <w:r>
        <w:rPr>
          <w:rFonts w:ascii="바탕" w:eastAsia="바탕" w:hAnsi="바탕" w:cs="바탕"/>
          <w:spacing w:val="-6"/>
        </w:rPr>
        <w:t xml:space="preserve">5개의 포트폴리오를 </w:t>
      </w:r>
      <w:r w:rsidR="00E57768">
        <w:rPr>
          <w:rFonts w:ascii="바탕" w:eastAsia="바탕" w:hAnsi="바탕" w:cs="바탕"/>
          <w:spacing w:val="-6"/>
        </w:rPr>
        <w:t>구성</w:t>
      </w:r>
      <w:r w:rsidR="00E57768">
        <w:rPr>
          <w:rFonts w:ascii="바탕" w:eastAsia="바탕" w:hAnsi="바탕" w:cs="바탕" w:hint="eastAsia"/>
          <w:spacing w:val="-6"/>
        </w:rPr>
        <w:t xml:space="preserve">하고 포트폴리오별 </w:t>
      </w:r>
      <w:r w:rsidR="00E57768">
        <w:rPr>
          <w:rFonts w:ascii="바탕" w:eastAsia="바탕" w:hAnsi="바탕" w:cs="바탕"/>
          <w:spacing w:val="-6"/>
        </w:rPr>
        <w:t xml:space="preserve">holding period(K) </w:t>
      </w:r>
      <w:r w:rsidR="00E57768">
        <w:rPr>
          <w:rFonts w:ascii="바탕" w:eastAsia="바탕" w:hAnsi="바탕" w:cs="바탕" w:hint="eastAsia"/>
          <w:spacing w:val="-6"/>
        </w:rPr>
        <w:t xml:space="preserve">의 수익률을 분석한다.  </w:t>
      </w:r>
      <w:r>
        <w:rPr>
          <w:rFonts w:ascii="바탕" w:eastAsia="바탕" w:hAnsi="바탕" w:cs="바탕"/>
          <w:spacing w:val="-6"/>
        </w:rPr>
        <w:t xml:space="preserve">다만 1개월 미만의 수익률에 대해 수익률 </w:t>
      </w:r>
      <w:r w:rsidR="00F65A19">
        <w:rPr>
          <w:rFonts w:ascii="바탕" w:eastAsia="바탕" w:hAnsi="바탕" w:cs="바탕" w:hint="eastAsia"/>
          <w:spacing w:val="-6"/>
        </w:rPr>
        <w:t xml:space="preserve">반전 </w:t>
      </w:r>
      <w:r>
        <w:rPr>
          <w:rFonts w:ascii="바탕" w:eastAsia="바탕" w:hAnsi="바탕" w:cs="바탕"/>
          <w:spacing w:val="-6"/>
        </w:rPr>
        <w:t xml:space="preserve">현상(reversal effect)이 발생한다는 사실이 알려져 있으므로 이 효과를 제거하기 위해 formation period와 holding period 사이에 1개월의 간격을 두도록 한다. </w:t>
      </w:r>
      <w:r w:rsidR="00E57768">
        <w:rPr>
          <w:rFonts w:ascii="바탕" w:eastAsia="바탕" w:hAnsi="바탕" w:cs="바탕" w:hint="eastAsia"/>
          <w:spacing w:val="-6"/>
        </w:rPr>
        <w:t xml:space="preserve">신규 상장 이후, 상장 폐지 이전 각각 </w:t>
      </w:r>
      <w:r w:rsidR="00E57768">
        <w:rPr>
          <w:rFonts w:ascii="바탕" w:eastAsia="바탕" w:hAnsi="바탕" w:cs="바탕"/>
          <w:spacing w:val="-6"/>
        </w:rPr>
        <w:t>6</w:t>
      </w:r>
      <w:r w:rsidR="00E57768">
        <w:rPr>
          <w:rFonts w:ascii="바탕" w:eastAsia="바탕" w:hAnsi="바탕" w:cs="바탕" w:hint="eastAsia"/>
          <w:spacing w:val="-6"/>
        </w:rPr>
        <w:t xml:space="preserve">개월의 수익률 데이터는 제거하였으며 </w:t>
      </w:r>
      <w:r w:rsidR="00E57768">
        <w:rPr>
          <w:rFonts w:ascii="바탕" w:eastAsia="바탕" w:hAnsi="바탕" w:cs="바탕"/>
          <w:spacing w:val="-6"/>
        </w:rPr>
        <w:t xml:space="preserve">formation period </w:t>
      </w:r>
      <w:r w:rsidR="00E57768">
        <w:rPr>
          <w:rFonts w:ascii="바탕" w:eastAsia="바탕" w:hAnsi="바탕" w:cs="바탕" w:hint="eastAsia"/>
          <w:spacing w:val="-6"/>
        </w:rPr>
        <w:t xml:space="preserve">의 마지막 </w:t>
      </w:r>
      <w:r w:rsidR="009234AA">
        <w:rPr>
          <w:rFonts w:ascii="바탕" w:eastAsia="바탕" w:hAnsi="바탕" w:cs="바탕" w:hint="eastAsia"/>
          <w:spacing w:val="-6"/>
        </w:rPr>
        <w:t xml:space="preserve">시점의 주가가 </w:t>
      </w:r>
      <w:r w:rsidR="009234AA">
        <w:rPr>
          <w:rFonts w:ascii="바탕" w:eastAsia="바탕" w:hAnsi="바탕" w:cs="바탕"/>
          <w:spacing w:val="-6"/>
        </w:rPr>
        <w:t>500</w:t>
      </w:r>
      <w:r w:rsidR="009234AA">
        <w:rPr>
          <w:rFonts w:ascii="바탕" w:eastAsia="바탕" w:hAnsi="바탕" w:cs="바탕" w:hint="eastAsia"/>
          <w:spacing w:val="-6"/>
        </w:rPr>
        <w:t>원 이하인 경우도 제외하였다.</w:t>
      </w:r>
      <w:r w:rsidR="009234AA">
        <w:rPr>
          <w:rFonts w:ascii="바탕" w:eastAsia="바탕" w:hAnsi="바탕" w:cs="바탕"/>
          <w:spacing w:val="-6"/>
        </w:rPr>
        <w:t xml:space="preserve"> Holding period </w:t>
      </w:r>
      <w:r w:rsidR="009234AA">
        <w:rPr>
          <w:rFonts w:ascii="바탕" w:eastAsia="바탕" w:hAnsi="바탕" w:cs="바탕" w:hint="eastAsia"/>
          <w:spacing w:val="-6"/>
        </w:rPr>
        <w:t>의 수익률은 매월 가중 평균(</w:t>
      </w:r>
      <w:r w:rsidR="009234AA">
        <w:rPr>
          <w:rFonts w:ascii="바탕" w:eastAsia="바탕" w:hAnsi="바탕" w:cs="바탕"/>
          <w:spacing w:val="-6"/>
        </w:rPr>
        <w:t>value weight)</w:t>
      </w:r>
      <w:r w:rsidR="009234AA">
        <w:rPr>
          <w:rStyle w:val="a6"/>
          <w:rFonts w:ascii="바탕" w:eastAsia="바탕" w:hAnsi="바탕" w:cs="바탕"/>
          <w:spacing w:val="-6"/>
        </w:rPr>
        <w:footnoteReference w:id="1"/>
      </w:r>
      <w:r w:rsidR="009234AA">
        <w:rPr>
          <w:rFonts w:ascii="바탕" w:eastAsia="바탕" w:hAnsi="바탕" w:cs="바탕"/>
          <w:spacing w:val="-6"/>
        </w:rPr>
        <w:t xml:space="preserve"> </w:t>
      </w:r>
      <w:r w:rsidR="009234AA">
        <w:rPr>
          <w:rFonts w:ascii="바탕" w:eastAsia="바탕" w:hAnsi="바탕" w:cs="바탕" w:hint="eastAsia"/>
          <w:spacing w:val="-6"/>
        </w:rPr>
        <w:t xml:space="preserve">하였으며 표본의 개수를 늘리기 위하여 매월 </w:t>
      </w:r>
      <w:r w:rsidR="009234AA">
        <w:rPr>
          <w:rFonts w:ascii="바탕" w:eastAsia="바탕" w:hAnsi="바탕" w:cs="바탕"/>
          <w:spacing w:val="-6"/>
        </w:rPr>
        <w:t xml:space="preserve">roll over </w:t>
      </w:r>
      <w:r w:rsidR="009234AA">
        <w:rPr>
          <w:rFonts w:ascii="바탕" w:eastAsia="바탕" w:hAnsi="바탕" w:cs="바탕" w:hint="eastAsia"/>
          <w:spacing w:val="-6"/>
        </w:rPr>
        <w:t xml:space="preserve">하였다. </w:t>
      </w:r>
      <w:r w:rsidR="00C76235">
        <w:rPr>
          <w:rFonts w:ascii="바탕" w:eastAsia="바탕" w:hAnsi="바탕" w:cs="바탕" w:hint="eastAsia"/>
          <w:spacing w:val="-6"/>
        </w:rPr>
        <w:t xml:space="preserve">따라서 매월 </w:t>
      </w:r>
      <w:r w:rsidR="00C76235">
        <w:rPr>
          <w:rFonts w:ascii="바탕" w:eastAsia="바탕" w:hAnsi="바탕" w:cs="바탕"/>
          <w:spacing w:val="-6"/>
        </w:rPr>
        <w:t xml:space="preserve">holding period </w:t>
      </w:r>
      <w:r w:rsidR="00C76235">
        <w:rPr>
          <w:rFonts w:ascii="바탕" w:eastAsia="바탕" w:hAnsi="바탕" w:cs="바탕" w:hint="eastAsia"/>
          <w:spacing w:val="-6"/>
        </w:rPr>
        <w:t xml:space="preserve">수익률은 수익률 계산이 시작되는 초기를 제외하면 </w:t>
      </w:r>
      <w:r w:rsidR="00C76235">
        <w:rPr>
          <w:rFonts w:ascii="바탕" w:eastAsia="바탕" w:hAnsi="바탕" w:cs="바탕"/>
          <w:spacing w:val="-6"/>
        </w:rPr>
        <w:t>holding period</w:t>
      </w:r>
      <w:r w:rsidR="00C76235">
        <w:rPr>
          <w:rFonts w:ascii="바탕" w:eastAsia="바탕" w:hAnsi="바탕" w:cs="바탕" w:hint="eastAsia"/>
          <w:spacing w:val="-6"/>
        </w:rPr>
        <w:t>의 개수와 동일한 관측치가 나오게 되며 이 값들을 다시 평균한 값을 해당 월의 수익률로 하였다.</w:t>
      </w:r>
      <w:r w:rsidR="00C76235">
        <w:rPr>
          <w:rFonts w:ascii="바탕" w:eastAsia="바탕" w:hAnsi="바탕" w:cs="바탕"/>
          <w:spacing w:val="-6"/>
        </w:rPr>
        <w:t xml:space="preserve"> </w:t>
      </w:r>
      <w:r w:rsidR="00C76235">
        <w:rPr>
          <w:rFonts w:ascii="바탕" w:eastAsia="바탕" w:hAnsi="바탕" w:cs="바탕" w:hint="eastAsia"/>
          <w:spacing w:val="-6"/>
        </w:rPr>
        <w:t xml:space="preserve">예를 들어 </w:t>
      </w:r>
      <w:r w:rsidR="00C76235">
        <w:rPr>
          <w:rFonts w:ascii="바탕" w:eastAsia="바탕" w:hAnsi="바탕" w:cs="바탕"/>
          <w:spacing w:val="-6"/>
        </w:rPr>
        <w:t xml:space="preserve">formation </w:t>
      </w:r>
      <w:r w:rsidR="00C76235">
        <w:rPr>
          <w:rFonts w:ascii="바탕" w:eastAsia="바탕" w:hAnsi="바탕" w:cs="바탕"/>
          <w:spacing w:val="-6"/>
        </w:rPr>
        <w:lastRenderedPageBreak/>
        <w:t xml:space="preserve">period </w:t>
      </w:r>
      <w:r w:rsidR="00C76235">
        <w:rPr>
          <w:rFonts w:ascii="바탕" w:eastAsia="바탕" w:hAnsi="바탕" w:cs="바탕" w:hint="eastAsia"/>
          <w:spacing w:val="-6"/>
        </w:rPr>
        <w:t xml:space="preserve">가 </w:t>
      </w:r>
      <w:r w:rsidR="00C76235">
        <w:rPr>
          <w:rFonts w:ascii="바탕" w:eastAsia="바탕" w:hAnsi="바탕" w:cs="바탕"/>
          <w:spacing w:val="-6"/>
        </w:rPr>
        <w:t>6</w:t>
      </w:r>
      <w:r w:rsidR="00C76235">
        <w:rPr>
          <w:rFonts w:ascii="바탕" w:eastAsia="바탕" w:hAnsi="바탕" w:cs="바탕" w:hint="eastAsia"/>
          <w:spacing w:val="-6"/>
        </w:rPr>
        <w:t xml:space="preserve">개월이고 </w:t>
      </w:r>
      <w:r w:rsidR="00C76235">
        <w:rPr>
          <w:rFonts w:ascii="바탕" w:eastAsia="바탕" w:hAnsi="바탕" w:cs="바탕"/>
          <w:spacing w:val="-6"/>
        </w:rPr>
        <w:t>holding period</w:t>
      </w:r>
      <w:r w:rsidR="00C76235">
        <w:rPr>
          <w:rFonts w:ascii="바탕" w:eastAsia="바탕" w:hAnsi="바탕" w:cs="바탕" w:hint="eastAsia"/>
          <w:spacing w:val="-6"/>
        </w:rPr>
        <w:t xml:space="preserve"> 가 </w:t>
      </w:r>
      <w:r w:rsidR="00C76235">
        <w:rPr>
          <w:rFonts w:ascii="바탕" w:eastAsia="바탕" w:hAnsi="바탕" w:cs="바탕"/>
          <w:spacing w:val="-6"/>
        </w:rPr>
        <w:t>3</w:t>
      </w:r>
      <w:r w:rsidR="00C76235">
        <w:rPr>
          <w:rFonts w:ascii="바탕" w:eastAsia="바탕" w:hAnsi="바탕" w:cs="바탕" w:hint="eastAsia"/>
          <w:spacing w:val="-6"/>
        </w:rPr>
        <w:t>개월인 경우(</w:t>
      </w:r>
      <w:r w:rsidR="00C76235">
        <w:rPr>
          <w:rFonts w:ascii="바탕" w:eastAsia="바탕" w:hAnsi="바탕" w:cs="바탕"/>
          <w:spacing w:val="-6"/>
        </w:rPr>
        <w:t>J=6/K=3), 2001</w:t>
      </w:r>
      <w:r w:rsidR="00C76235">
        <w:rPr>
          <w:rFonts w:ascii="바탕" w:eastAsia="바탕" w:hAnsi="바탕" w:cs="바탕" w:hint="eastAsia"/>
          <w:spacing w:val="-6"/>
        </w:rPr>
        <w:t xml:space="preserve">년 </w:t>
      </w:r>
      <w:r w:rsidR="00C76235">
        <w:rPr>
          <w:rFonts w:ascii="바탕" w:eastAsia="바탕" w:hAnsi="바탕" w:cs="바탕"/>
          <w:spacing w:val="-6"/>
        </w:rPr>
        <w:t>1</w:t>
      </w:r>
      <w:r w:rsidR="00C76235">
        <w:rPr>
          <w:rFonts w:ascii="바탕" w:eastAsia="바탕" w:hAnsi="바탕" w:cs="바탕" w:hint="eastAsia"/>
          <w:spacing w:val="-6"/>
        </w:rPr>
        <w:t xml:space="preserve">월의 수익률부터 계산하고 싶다면 </w:t>
      </w:r>
      <w:r w:rsidR="00C76235">
        <w:rPr>
          <w:rFonts w:ascii="바탕" w:eastAsia="바탕" w:hAnsi="바탕" w:cs="바탕"/>
          <w:spacing w:val="-6"/>
        </w:rPr>
        <w:t>2000</w:t>
      </w:r>
      <w:r w:rsidR="00C76235">
        <w:rPr>
          <w:rFonts w:ascii="바탕" w:eastAsia="바탕" w:hAnsi="바탕" w:cs="바탕" w:hint="eastAsia"/>
          <w:spacing w:val="-6"/>
        </w:rPr>
        <w:t xml:space="preserve">년 </w:t>
      </w:r>
      <w:r w:rsidR="00C76235">
        <w:rPr>
          <w:rFonts w:ascii="바탕" w:eastAsia="바탕" w:hAnsi="바탕" w:cs="바탕"/>
          <w:spacing w:val="-6"/>
        </w:rPr>
        <w:t>7</w:t>
      </w:r>
      <w:r w:rsidR="00C76235">
        <w:rPr>
          <w:rFonts w:ascii="바탕" w:eastAsia="바탕" w:hAnsi="바탕" w:cs="바탕" w:hint="eastAsia"/>
          <w:spacing w:val="-6"/>
        </w:rPr>
        <w:t xml:space="preserve">월부터의 수익률이 필요하고 </w:t>
      </w:r>
      <w:r w:rsidR="00C76235">
        <w:rPr>
          <w:rFonts w:ascii="바탕" w:eastAsia="바탕" w:hAnsi="바탕" w:cs="바탕"/>
          <w:spacing w:val="-6"/>
        </w:rPr>
        <w:t>2001</w:t>
      </w:r>
      <w:r w:rsidR="00C76235">
        <w:rPr>
          <w:rFonts w:ascii="바탕" w:eastAsia="바탕" w:hAnsi="바탕" w:cs="바탕" w:hint="eastAsia"/>
          <w:spacing w:val="-6"/>
        </w:rPr>
        <w:t xml:space="preserve">년 </w:t>
      </w:r>
      <w:r w:rsidR="00C76235">
        <w:rPr>
          <w:rFonts w:ascii="바탕" w:eastAsia="바탕" w:hAnsi="바탕" w:cs="바탕"/>
          <w:spacing w:val="-6"/>
        </w:rPr>
        <w:t>1</w:t>
      </w:r>
      <w:r w:rsidR="00C76235">
        <w:rPr>
          <w:rFonts w:ascii="바탕" w:eastAsia="바탕" w:hAnsi="바탕" w:cs="바탕" w:hint="eastAsia"/>
          <w:spacing w:val="-6"/>
        </w:rPr>
        <w:t xml:space="preserve">월의 수익률은 </w:t>
      </w:r>
      <w:r w:rsidR="00C76235">
        <w:rPr>
          <w:rFonts w:ascii="바탕" w:eastAsia="바탕" w:hAnsi="바탕" w:cs="바탕"/>
          <w:spacing w:val="-6"/>
        </w:rPr>
        <w:t xml:space="preserve">roll over </w:t>
      </w:r>
      <w:r w:rsidR="00C76235">
        <w:rPr>
          <w:rFonts w:ascii="바탕" w:eastAsia="바탕" w:hAnsi="바탕" w:cs="바탕" w:hint="eastAsia"/>
          <w:spacing w:val="-6"/>
        </w:rPr>
        <w:t xml:space="preserve">에 의해 겹치는 부분이 발생하지 않으나 </w:t>
      </w:r>
      <w:r w:rsidR="00C76235">
        <w:rPr>
          <w:rFonts w:ascii="바탕" w:eastAsia="바탕" w:hAnsi="바탕" w:cs="바탕"/>
          <w:spacing w:val="-6"/>
        </w:rPr>
        <w:t>2001</w:t>
      </w:r>
      <w:r w:rsidR="00C76235">
        <w:rPr>
          <w:rFonts w:ascii="바탕" w:eastAsia="바탕" w:hAnsi="바탕" w:cs="바탕" w:hint="eastAsia"/>
          <w:spacing w:val="-6"/>
        </w:rPr>
        <w:t xml:space="preserve">년 </w:t>
      </w:r>
      <w:r w:rsidR="00C76235">
        <w:rPr>
          <w:rFonts w:ascii="바탕" w:eastAsia="바탕" w:hAnsi="바탕" w:cs="바탕"/>
          <w:spacing w:val="-6"/>
        </w:rPr>
        <w:t>2</w:t>
      </w:r>
      <w:r w:rsidR="00C76235">
        <w:rPr>
          <w:rFonts w:ascii="바탕" w:eastAsia="바탕" w:hAnsi="바탕" w:cs="바탕" w:hint="eastAsia"/>
          <w:spacing w:val="-6"/>
        </w:rPr>
        <w:t xml:space="preserve">월은 </w:t>
      </w:r>
      <w:r w:rsidR="00C76235">
        <w:rPr>
          <w:rFonts w:ascii="바탕" w:eastAsia="바탕" w:hAnsi="바탕" w:cs="바탕"/>
          <w:spacing w:val="-6"/>
        </w:rPr>
        <w:t>2</w:t>
      </w:r>
      <w:r w:rsidR="00C76235">
        <w:rPr>
          <w:rFonts w:ascii="바탕" w:eastAsia="바탕" w:hAnsi="바탕" w:cs="바탕" w:hint="eastAsia"/>
          <w:spacing w:val="-6"/>
        </w:rPr>
        <w:t xml:space="preserve">개, 그 이후는 </w:t>
      </w:r>
      <w:r w:rsidR="00C76235">
        <w:rPr>
          <w:rFonts w:ascii="바탕" w:eastAsia="바탕" w:hAnsi="바탕" w:cs="바탕"/>
          <w:spacing w:val="-6"/>
        </w:rPr>
        <w:t>3</w:t>
      </w:r>
      <w:r w:rsidR="00C76235">
        <w:rPr>
          <w:rFonts w:ascii="바탕" w:eastAsia="바탕" w:hAnsi="바탕" w:cs="바탕" w:hint="eastAsia"/>
          <w:spacing w:val="-6"/>
        </w:rPr>
        <w:t>개씩의 수익률 값이 계산되며 이 값들을 단순 평균한 값을 보고하게 된다.</w:t>
      </w:r>
      <w:r w:rsidR="00C76235">
        <w:rPr>
          <w:rFonts w:ascii="바탕" w:eastAsia="바탕" w:hAnsi="바탕" w:cs="바탕"/>
          <w:spacing w:val="-6"/>
        </w:rPr>
        <w:t xml:space="preserve"> </w:t>
      </w:r>
    </w:p>
    <w:p w:rsidR="00982F33" w:rsidRDefault="00982F33">
      <w:pPr>
        <w:spacing w:line="432" w:lineRule="auto"/>
        <w:rPr>
          <w:rFonts w:ascii="바탕" w:eastAsia="바탕" w:hAnsi="바탕" w:cs="바탕"/>
          <w:spacing w:val="-6"/>
          <w:kern w:val="0"/>
          <w:szCs w:val="20"/>
        </w:rPr>
      </w:pPr>
    </w:p>
    <w:p w:rsidR="00982F33" w:rsidRDefault="00616B04">
      <w:pPr>
        <w:spacing w:after="240" w:line="480" w:lineRule="auto"/>
      </w:pPr>
      <w:r>
        <w:rPr>
          <w:rFonts w:ascii="바탕" w:eastAsia="바탕" w:hAnsi="바탕"/>
          <w:b/>
          <w:spacing w:val="-6"/>
          <w:kern w:val="0"/>
          <w:sz w:val="22"/>
        </w:rPr>
        <w:t>2.3 위험요인 (</w:t>
      </w:r>
      <w:r>
        <w:rPr>
          <w:rFonts w:ascii="Times New Roman" w:eastAsia="바탕" w:hAnsi="Times New Roman"/>
          <w:b/>
          <w:spacing w:val="-6"/>
          <w:kern w:val="0"/>
          <w:sz w:val="22"/>
        </w:rPr>
        <w:t>risk factor</w:t>
      </w:r>
      <w:r>
        <w:rPr>
          <w:rFonts w:ascii="바탕" w:eastAsia="바탕" w:hAnsi="바탕"/>
          <w:b/>
          <w:spacing w:val="-6"/>
          <w:kern w:val="0"/>
          <w:sz w:val="22"/>
        </w:rPr>
        <w:t>) 구성</w:t>
      </w:r>
    </w:p>
    <w:p w:rsidR="00982F33" w:rsidRDefault="00616B04" w:rsidP="00AA3309">
      <w:pPr>
        <w:spacing w:line="432" w:lineRule="auto"/>
      </w:pPr>
      <w:r>
        <w:rPr>
          <w:rFonts w:ascii="바탕" w:eastAsia="바탕" w:hAnsi="바탕"/>
          <w:spacing w:val="-6"/>
        </w:rPr>
        <w:t xml:space="preserve">위험을 조정한 초과수익률을 계산하기 위하여 Fama and French (1993, 2015)를 참고하여 위험요인들을 작성하였다. 시장요인(MKT)은 유가증권시장(KOSPI)의 월별 가중평균(value-weighted) 수익률에서 무위험 수익률(riskless return)을 차감하여 계산되었다. 무위험 수익률은 </w:t>
      </w:r>
      <w:r>
        <w:rPr>
          <w:rFonts w:ascii="바탕" w:eastAsia="바탕" w:hAnsi="바탕"/>
          <w:spacing w:val="-6"/>
          <w:kern w:val="0"/>
          <w:szCs w:val="20"/>
        </w:rPr>
        <w:t xml:space="preserve">김동철, 신성호(2006), Kim and Kim(2012)의 방법에 따라 1년 만기 통안증권을 </w:t>
      </w:r>
      <w:r w:rsidR="00AA3309">
        <w:rPr>
          <w:rFonts w:ascii="바탕" w:eastAsia="바탕" w:hAnsi="바탕"/>
          <w:spacing w:val="-6"/>
          <w:kern w:val="0"/>
          <w:szCs w:val="20"/>
        </w:rPr>
        <w:t>이용하</w:t>
      </w:r>
      <w:r w:rsidR="00AA3309">
        <w:rPr>
          <w:rFonts w:ascii="바탕" w:eastAsia="바탕" w:hAnsi="바탕" w:hint="eastAsia"/>
          <w:spacing w:val="-6"/>
          <w:kern w:val="0"/>
          <w:szCs w:val="20"/>
        </w:rPr>
        <w:t xml:space="preserve">여 만기가 </w:t>
      </w:r>
      <w:r w:rsidR="00AA3309">
        <w:rPr>
          <w:rFonts w:ascii="바탕" w:eastAsia="바탕" w:hAnsi="바탕"/>
          <w:spacing w:val="-6"/>
          <w:kern w:val="0"/>
          <w:szCs w:val="20"/>
        </w:rPr>
        <w:t>12</w:t>
      </w:r>
      <w:r w:rsidR="00AA3309">
        <w:rPr>
          <w:rFonts w:ascii="바탕" w:eastAsia="바탕" w:hAnsi="바탕" w:hint="eastAsia"/>
          <w:spacing w:val="-6"/>
          <w:kern w:val="0"/>
          <w:szCs w:val="20"/>
        </w:rPr>
        <w:t xml:space="preserve">개월 남은 통안증권의 만기 수익률과 </w:t>
      </w:r>
      <w:r w:rsidR="00AA3309">
        <w:rPr>
          <w:rFonts w:ascii="바탕" w:eastAsia="바탕" w:hAnsi="바탕"/>
          <w:spacing w:val="-6"/>
          <w:kern w:val="0"/>
          <w:szCs w:val="20"/>
        </w:rPr>
        <w:t>11</w:t>
      </w:r>
      <w:r w:rsidR="00AA3309">
        <w:rPr>
          <w:rFonts w:ascii="바탕" w:eastAsia="바탕" w:hAnsi="바탕" w:hint="eastAsia"/>
          <w:spacing w:val="-6"/>
          <w:kern w:val="0"/>
          <w:szCs w:val="20"/>
        </w:rPr>
        <w:t xml:space="preserve">개월 남은 통안증권의 만기 수익률을 이용하여 </w:t>
      </w:r>
      <w:r w:rsidR="00AA3309">
        <w:rPr>
          <w:rFonts w:ascii="바탕" w:eastAsia="바탕" w:hAnsi="바탕"/>
          <w:spacing w:val="-6"/>
          <w:kern w:val="0"/>
          <w:szCs w:val="20"/>
        </w:rPr>
        <w:t>1</w:t>
      </w:r>
      <w:r w:rsidR="00AA3309">
        <w:rPr>
          <w:rFonts w:ascii="바탕" w:eastAsia="바탕" w:hAnsi="바탕" w:hint="eastAsia"/>
          <w:spacing w:val="-6"/>
          <w:kern w:val="0"/>
          <w:szCs w:val="20"/>
        </w:rPr>
        <w:t>개월 실현 수익률을 무위험 수익률로 이용하였다.</w:t>
      </w:r>
      <w:r w:rsidR="00AA3309">
        <w:rPr>
          <w:rFonts w:ascii="바탕" w:eastAsia="바탕" w:hAnsi="바탕"/>
          <w:spacing w:val="-6"/>
          <w:kern w:val="0"/>
          <w:szCs w:val="20"/>
        </w:rPr>
        <w:t xml:space="preserve"> </w:t>
      </w:r>
    </w:p>
    <w:p w:rsidR="00982F33" w:rsidRDefault="00616B04" w:rsidP="00461E8A">
      <w:pPr>
        <w:spacing w:line="432" w:lineRule="auto"/>
        <w:ind w:firstLine="564"/>
        <w:rPr>
          <w:rFonts w:ascii="바탕" w:eastAsia="바탕" w:hAnsi="바탕"/>
          <w:spacing w:val="-6"/>
        </w:rPr>
      </w:pPr>
      <w:r>
        <w:rPr>
          <w:rFonts w:ascii="바탕" w:eastAsia="바탕" w:hAnsi="바탕"/>
          <w:spacing w:val="-6"/>
        </w:rPr>
        <w:t>기업규모요인 (SMB), 장부가-시가요인 (HML), 수익성요인 (RMW), 자본투자요인 (CMA)</w:t>
      </w:r>
      <w:r w:rsidR="00AA3309">
        <w:rPr>
          <w:rFonts w:ascii="바탕" w:eastAsia="바탕" w:hAnsi="바탕" w:hint="eastAsia"/>
          <w:spacing w:val="-6"/>
        </w:rPr>
        <w:t xml:space="preserve">은 </w:t>
      </w:r>
      <w:r w:rsidR="00AA3309">
        <w:rPr>
          <w:rFonts w:ascii="바탕" w:eastAsia="바탕" w:hAnsi="바탕"/>
          <w:spacing w:val="-6"/>
        </w:rPr>
        <w:t>Fama and French(2015)</w:t>
      </w:r>
      <w:r w:rsidR="00AA3309">
        <w:rPr>
          <w:rFonts w:ascii="바탕" w:eastAsia="바탕" w:hAnsi="바탕" w:hint="eastAsia"/>
          <w:spacing w:val="-6"/>
        </w:rPr>
        <w:t>를 바탕으로 계산하였는데,</w:t>
      </w:r>
      <w:r w:rsidR="00AA3309">
        <w:rPr>
          <w:rFonts w:ascii="바탕" w:eastAsia="바탕" w:hAnsi="바탕"/>
          <w:spacing w:val="-6"/>
        </w:rPr>
        <w:t xml:space="preserve"> </w:t>
      </w:r>
      <w:r w:rsidR="00AA3309">
        <w:rPr>
          <w:rFonts w:ascii="바탕" w:eastAsia="바탕" w:hAnsi="바탕" w:hint="eastAsia"/>
          <w:spacing w:val="-6"/>
        </w:rPr>
        <w:t xml:space="preserve">포트폴리오의 구성 시점이 </w:t>
      </w:r>
      <w:r w:rsidR="00AA3309">
        <w:rPr>
          <w:rFonts w:ascii="바탕" w:eastAsia="바탕" w:hAnsi="바탕"/>
          <w:spacing w:val="-6"/>
        </w:rPr>
        <w:t>6</w:t>
      </w:r>
      <w:r w:rsidR="00AA3309">
        <w:rPr>
          <w:rFonts w:ascii="바탕" w:eastAsia="바탕" w:hAnsi="바탕" w:hint="eastAsia"/>
          <w:spacing w:val="-6"/>
        </w:rPr>
        <w:t xml:space="preserve">월말이 아니라 </w:t>
      </w:r>
      <w:r w:rsidR="00AA3309">
        <w:rPr>
          <w:rFonts w:ascii="바탕" w:eastAsia="바탕" w:hAnsi="바탕"/>
          <w:spacing w:val="-6"/>
        </w:rPr>
        <w:t>3</w:t>
      </w:r>
      <w:r w:rsidR="00AA3309">
        <w:rPr>
          <w:rFonts w:ascii="바탕" w:eastAsia="바탕" w:hAnsi="바탕" w:hint="eastAsia"/>
          <w:spacing w:val="-6"/>
        </w:rPr>
        <w:t xml:space="preserve">월말이라는 점이 다소 다르다. </w:t>
      </w:r>
      <w:r w:rsidR="00461E8A">
        <w:rPr>
          <w:rFonts w:ascii="바탕" w:eastAsia="바탕" w:hAnsi="바탕" w:hint="eastAsia"/>
          <w:spacing w:val="-6"/>
        </w:rPr>
        <w:t xml:space="preserve">또한 </w:t>
      </w:r>
      <w:r w:rsidR="00461E8A">
        <w:rPr>
          <w:rFonts w:ascii="바탕" w:eastAsia="바탕" w:hAnsi="바탕"/>
          <w:spacing w:val="-6"/>
        </w:rPr>
        <w:t xml:space="preserve">RMW </w:t>
      </w:r>
      <w:r w:rsidR="00461E8A">
        <w:rPr>
          <w:rFonts w:ascii="바탕" w:eastAsia="바탕" w:hAnsi="바탕" w:hint="eastAsia"/>
          <w:spacing w:val="-6"/>
        </w:rPr>
        <w:t>의 계산에 있어 수익성은 영업이익에서 비금융이자비용을 차감한 값을 총자본으로 나눈 값을 이용하였다.</w:t>
      </w:r>
      <w:r w:rsidR="00461E8A">
        <w:rPr>
          <w:rFonts w:ascii="바탕" w:eastAsia="바탕" w:hAnsi="바탕"/>
          <w:spacing w:val="-6"/>
        </w:rPr>
        <w:t xml:space="preserve"> </w:t>
      </w:r>
      <w:r w:rsidR="00461E8A">
        <w:rPr>
          <w:rFonts w:ascii="바탕" w:eastAsia="바탕" w:hAnsi="바탕" w:hint="eastAsia"/>
          <w:spacing w:val="-6"/>
        </w:rPr>
        <w:t>모멘텀 수익률로 가중평균 수익률을 썼으므로 각각의 위험 요인을 구성하는 과정에서도 동일하게 가중 평균 수익률을 이용하였고 이는 시장 수익률도 마찬가지이다</w:t>
      </w:r>
      <w:r w:rsidR="00461E8A">
        <w:rPr>
          <w:rFonts w:ascii="바탕" w:eastAsia="바탕" w:hAnsi="바탕"/>
          <w:spacing w:val="-6"/>
        </w:rPr>
        <w:t xml:space="preserve">. </w:t>
      </w:r>
      <w:r>
        <w:rPr>
          <w:rFonts w:ascii="바탕" w:eastAsia="바탕" w:hAnsi="바탕"/>
          <w:spacing w:val="-6"/>
        </w:rPr>
        <w:t xml:space="preserve">본 연구에서 사용된 FF5의 위험요인의 평균수익률과 위험요인간 상관계수는 &lt;표 1&gt;에 보고하였다. </w:t>
      </w:r>
    </w:p>
    <w:p w:rsidR="00982F33" w:rsidRDefault="00982F33">
      <w:pPr>
        <w:widowControl/>
        <w:spacing w:after="160" w:line="259" w:lineRule="auto"/>
        <w:rPr>
          <w:rFonts w:ascii="바탕" w:eastAsia="바탕" w:hAnsi="바탕"/>
          <w:b/>
          <w:bCs/>
          <w:spacing w:val="-6"/>
          <w:kern w:val="0"/>
          <w:sz w:val="6"/>
          <w:szCs w:val="20"/>
        </w:rPr>
      </w:pPr>
    </w:p>
    <w:p w:rsidR="00982F33" w:rsidRDefault="00616B04">
      <w:pPr>
        <w:widowControl/>
        <w:spacing w:after="160" w:line="259" w:lineRule="auto"/>
        <w:jc w:val="center"/>
      </w:pPr>
      <w:r>
        <w:rPr>
          <w:rFonts w:ascii="바탕" w:eastAsia="바탕" w:hAnsi="바탕"/>
          <w:b/>
          <w:bCs/>
          <w:spacing w:val="-6"/>
          <w:kern w:val="0"/>
          <w:szCs w:val="20"/>
        </w:rPr>
        <w:t>&lt;표 1&gt; 5 위험요인(</w:t>
      </w:r>
      <w:r>
        <w:rPr>
          <w:rFonts w:ascii="Times New Roman" w:eastAsia="바탕" w:hAnsi="Times New Roman"/>
          <w:b/>
          <w:bCs/>
          <w:spacing w:val="-6"/>
          <w:kern w:val="0"/>
          <w:szCs w:val="20"/>
        </w:rPr>
        <w:t>risk factor</w:t>
      </w:r>
      <w:r>
        <w:rPr>
          <w:rFonts w:ascii="바탕" w:eastAsia="바탕" w:hAnsi="바탕"/>
          <w:b/>
          <w:bCs/>
          <w:spacing w:val="-6"/>
          <w:kern w:val="0"/>
          <w:szCs w:val="20"/>
        </w:rPr>
        <w:t>)의 기초통계량</w:t>
      </w:r>
    </w:p>
    <w:p w:rsidR="00982F33" w:rsidRDefault="00982F33">
      <w:pPr>
        <w:jc w:val="center"/>
        <w:rPr>
          <w:rFonts w:ascii="바탕" w:eastAsia="바탕" w:hAnsi="바탕"/>
          <w:b/>
          <w:bCs/>
          <w:spacing w:val="-6"/>
          <w:kern w:val="0"/>
          <w:szCs w:val="20"/>
        </w:rPr>
      </w:pPr>
    </w:p>
    <w:p w:rsidR="00982F33" w:rsidRDefault="00616B04">
      <w:pPr>
        <w:widowControl/>
        <w:rPr>
          <w:rFonts w:ascii="바탕" w:eastAsia="바탕" w:hAnsi="바탕" w:cs="바탕"/>
          <w:spacing w:val="-6"/>
          <w:kern w:val="0"/>
          <w:szCs w:val="20"/>
        </w:rPr>
      </w:pPr>
      <w:r>
        <w:rPr>
          <w:rFonts w:ascii="바탕" w:eastAsia="바탕" w:hAnsi="바탕" w:cs="바탕"/>
          <w:spacing w:val="-6"/>
          <w:kern w:val="0"/>
          <w:szCs w:val="20"/>
        </w:rPr>
        <w:t>본 표는 2001년 1월부터 2015년 12월까지의 Fama and French(2015) 5요인(FF5)의 평균수익률(%)과 상관계수를 보고한다. 괄호안의 값은 t 통계량을 뜻한다.</w:t>
      </w:r>
    </w:p>
    <w:p w:rsidR="00982F33" w:rsidRDefault="00982F33">
      <w:pPr>
        <w:widowControl/>
        <w:rPr>
          <w:rFonts w:ascii="바탕" w:eastAsia="바탕" w:hAnsi="바탕" w:cs="바탕"/>
          <w:spacing w:val="-6"/>
          <w:kern w:val="0"/>
          <w:szCs w:val="20"/>
        </w:rPr>
      </w:pPr>
    </w:p>
    <w:tbl>
      <w:tblPr>
        <w:tblW w:w="5000" w:type="pct"/>
        <w:jc w:val="center"/>
        <w:tblBorders>
          <w:top w:val="single" w:sz="4" w:space="0" w:color="00000A"/>
        </w:tblBorders>
        <w:tblCellMar>
          <w:left w:w="99" w:type="dxa"/>
          <w:right w:w="99" w:type="dxa"/>
        </w:tblCellMar>
        <w:tblLook w:val="0000" w:firstRow="0" w:lastRow="0" w:firstColumn="0" w:lastColumn="0" w:noHBand="0" w:noVBand="0"/>
      </w:tblPr>
      <w:tblGrid>
        <w:gridCol w:w="1438"/>
        <w:gridCol w:w="1279"/>
        <w:gridCol w:w="1574"/>
        <w:gridCol w:w="752"/>
        <w:gridCol w:w="1042"/>
        <w:gridCol w:w="1046"/>
        <w:gridCol w:w="1042"/>
        <w:gridCol w:w="1051"/>
      </w:tblGrid>
      <w:tr w:rsidR="00982F33">
        <w:trPr>
          <w:trHeight w:val="337"/>
          <w:jc w:val="center"/>
        </w:trPr>
        <w:tc>
          <w:tcPr>
            <w:tcW w:w="1407" w:type="dxa"/>
            <w:vMerge w:val="restart"/>
            <w:tcBorders>
              <w:top w:val="single" w:sz="4" w:space="0" w:color="00000A"/>
            </w:tcBorders>
            <w:shd w:val="clear" w:color="auto" w:fill="FFFFFF"/>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Factors</w:t>
            </w:r>
          </w:p>
        </w:tc>
        <w:tc>
          <w:tcPr>
            <w:tcW w:w="1251" w:type="dxa"/>
            <w:vMerge w:val="restart"/>
            <w:tcBorders>
              <w:top w:val="single" w:sz="4" w:space="0" w:color="00000A"/>
            </w:tcBorders>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Average</w:t>
            </w:r>
          </w:p>
          <w:p w:rsidR="00982F33" w:rsidRDefault="00616B04">
            <w:pPr>
              <w:jc w:val="center"/>
              <w:rPr>
                <w:rFonts w:ascii="Times New Roman" w:eastAsia="바탕" w:hAnsi="Times New Roman"/>
                <w:spacing w:val="-6"/>
                <w:kern w:val="0"/>
                <w:sz w:val="22"/>
              </w:rPr>
            </w:pPr>
            <w:r>
              <w:rPr>
                <w:rFonts w:ascii="Times New Roman" w:eastAsia="바탕" w:hAnsi="Times New Roman"/>
                <w:spacing w:val="-6"/>
                <w:kern w:val="0"/>
                <w:sz w:val="22"/>
              </w:rPr>
              <w:t>return (%)</w:t>
            </w:r>
          </w:p>
        </w:tc>
        <w:tc>
          <w:tcPr>
            <w:tcW w:w="1540" w:type="dxa"/>
            <w:vMerge w:val="restart"/>
            <w:tcBorders>
              <w:top w:val="single" w:sz="4" w:space="0" w:color="00000A"/>
            </w:tcBorders>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Standard</w:t>
            </w:r>
          </w:p>
          <w:p w:rsidR="00982F33" w:rsidRDefault="00616B04">
            <w:pPr>
              <w:jc w:val="center"/>
              <w:rPr>
                <w:rFonts w:ascii="Times New Roman" w:eastAsia="바탕" w:hAnsi="Times New Roman"/>
                <w:spacing w:val="-6"/>
                <w:kern w:val="0"/>
                <w:sz w:val="22"/>
              </w:rPr>
            </w:pPr>
            <w:r>
              <w:rPr>
                <w:rFonts w:ascii="Times New Roman" w:eastAsia="바탕" w:hAnsi="Times New Roman"/>
                <w:spacing w:val="-6"/>
                <w:kern w:val="0"/>
                <w:sz w:val="22"/>
              </w:rPr>
              <w:t>deviation (%)</w:t>
            </w:r>
          </w:p>
        </w:tc>
        <w:tc>
          <w:tcPr>
            <w:tcW w:w="4827" w:type="dxa"/>
            <w:gridSpan w:val="5"/>
            <w:tcBorders>
              <w:top w:val="single" w:sz="4" w:space="0" w:color="00000A"/>
            </w:tcBorders>
            <w:shd w:val="clear" w:color="auto" w:fill="FFFFFF"/>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Correlation coefficients</w:t>
            </w:r>
          </w:p>
        </w:tc>
      </w:tr>
      <w:tr w:rsidR="00982F33">
        <w:trPr>
          <w:trHeight w:val="124"/>
          <w:jc w:val="center"/>
        </w:trPr>
        <w:tc>
          <w:tcPr>
            <w:tcW w:w="1407" w:type="dxa"/>
            <w:vMerge/>
            <w:tcBorders>
              <w:top w:val="single" w:sz="4" w:space="0" w:color="00000A"/>
            </w:tcBorders>
            <w:shd w:val="clear" w:color="auto" w:fill="FFFFFF"/>
            <w:vAlign w:val="center"/>
          </w:tcPr>
          <w:p w:rsidR="00982F33" w:rsidRDefault="00982F33"/>
        </w:tc>
        <w:tc>
          <w:tcPr>
            <w:tcW w:w="1251" w:type="dxa"/>
            <w:vMerge/>
            <w:tcBorders>
              <w:top w:val="single" w:sz="4" w:space="0" w:color="00000A"/>
            </w:tcBorders>
            <w:shd w:val="clear" w:color="auto" w:fill="auto"/>
            <w:vAlign w:val="center"/>
          </w:tcPr>
          <w:p w:rsidR="00982F33" w:rsidRDefault="00982F33"/>
        </w:tc>
        <w:tc>
          <w:tcPr>
            <w:tcW w:w="1540" w:type="dxa"/>
            <w:vMerge/>
            <w:tcBorders>
              <w:top w:val="single" w:sz="4" w:space="0" w:color="00000A"/>
            </w:tcBorders>
            <w:shd w:val="clear" w:color="auto" w:fill="auto"/>
            <w:vAlign w:val="center"/>
          </w:tcPr>
          <w:p w:rsidR="00982F33" w:rsidRDefault="00982F33"/>
        </w:tc>
        <w:tc>
          <w:tcPr>
            <w:tcW w:w="736"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MKT</w:t>
            </w:r>
          </w:p>
        </w:tc>
        <w:tc>
          <w:tcPr>
            <w:tcW w:w="1020"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SMB</w:t>
            </w:r>
          </w:p>
        </w:tc>
        <w:tc>
          <w:tcPr>
            <w:tcW w:w="1023"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HML</w:t>
            </w:r>
          </w:p>
        </w:tc>
        <w:tc>
          <w:tcPr>
            <w:tcW w:w="1020"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CMA</w:t>
            </w:r>
          </w:p>
        </w:tc>
        <w:tc>
          <w:tcPr>
            <w:tcW w:w="1028"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RMW</w:t>
            </w:r>
          </w:p>
        </w:tc>
      </w:tr>
      <w:tr w:rsidR="00982F33">
        <w:trPr>
          <w:trHeight w:val="313"/>
          <w:jc w:val="center"/>
        </w:trPr>
        <w:tc>
          <w:tcPr>
            <w:tcW w:w="1407" w:type="dxa"/>
            <w:tcBorders>
              <w:top w:val="single" w:sz="4" w:space="0" w:color="00000A"/>
            </w:tcBorders>
            <w:shd w:val="clear" w:color="auto" w:fill="FFFFFF"/>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MKT</w:t>
            </w:r>
          </w:p>
        </w:tc>
        <w:tc>
          <w:tcPr>
            <w:tcW w:w="1251" w:type="dxa"/>
            <w:tcBorders>
              <w:top w:val="single" w:sz="4" w:space="0" w:color="00000A"/>
            </w:tcBorders>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0.73</w:t>
            </w:r>
          </w:p>
        </w:tc>
        <w:tc>
          <w:tcPr>
            <w:tcW w:w="1540" w:type="dxa"/>
            <w:tcBorders>
              <w:top w:val="single" w:sz="4" w:space="0" w:color="00000A"/>
            </w:tcBorders>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6.45</w:t>
            </w:r>
          </w:p>
        </w:tc>
        <w:tc>
          <w:tcPr>
            <w:tcW w:w="736" w:type="dxa"/>
            <w:tcBorders>
              <w:top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1</w:t>
            </w:r>
          </w:p>
        </w:tc>
        <w:tc>
          <w:tcPr>
            <w:tcW w:w="1020" w:type="dxa"/>
            <w:tcBorders>
              <w:top w:val="single" w:sz="4" w:space="0" w:color="00000A"/>
            </w:tcBorders>
            <w:shd w:val="clear" w:color="auto" w:fill="FFFFFF"/>
            <w:vAlign w:val="center"/>
          </w:tcPr>
          <w:p w:rsidR="00982F33" w:rsidRDefault="00982F33">
            <w:pPr>
              <w:widowControl/>
              <w:jc w:val="right"/>
              <w:rPr>
                <w:rFonts w:ascii="Times New Roman" w:eastAsia="바탕" w:hAnsi="Times New Roman"/>
                <w:spacing w:val="-6"/>
                <w:kern w:val="0"/>
                <w:sz w:val="22"/>
              </w:rPr>
            </w:pPr>
          </w:p>
        </w:tc>
        <w:tc>
          <w:tcPr>
            <w:tcW w:w="1023" w:type="dxa"/>
            <w:tcBorders>
              <w:top w:val="single" w:sz="4" w:space="0" w:color="00000A"/>
            </w:tcBorders>
            <w:shd w:val="clear" w:color="auto" w:fill="FFFFFF"/>
            <w:vAlign w:val="center"/>
          </w:tcPr>
          <w:p w:rsidR="00982F33" w:rsidRDefault="00982F33">
            <w:pPr>
              <w:widowControl/>
              <w:jc w:val="right"/>
              <w:rPr>
                <w:rFonts w:ascii="Times New Roman" w:eastAsia="바탕" w:hAnsi="Times New Roman"/>
                <w:spacing w:val="-6"/>
                <w:kern w:val="0"/>
                <w:sz w:val="22"/>
              </w:rPr>
            </w:pPr>
          </w:p>
        </w:tc>
        <w:tc>
          <w:tcPr>
            <w:tcW w:w="1020" w:type="dxa"/>
            <w:tcBorders>
              <w:top w:val="single" w:sz="4" w:space="0" w:color="00000A"/>
            </w:tcBorders>
            <w:shd w:val="clear" w:color="auto" w:fill="FFFFFF"/>
            <w:vAlign w:val="center"/>
          </w:tcPr>
          <w:p w:rsidR="00982F33" w:rsidRDefault="00982F33">
            <w:pPr>
              <w:widowControl/>
              <w:jc w:val="right"/>
              <w:rPr>
                <w:rFonts w:ascii="Times New Roman" w:eastAsia="바탕" w:hAnsi="Times New Roman"/>
                <w:spacing w:val="-6"/>
                <w:kern w:val="0"/>
                <w:sz w:val="22"/>
              </w:rPr>
            </w:pPr>
          </w:p>
        </w:tc>
        <w:tc>
          <w:tcPr>
            <w:tcW w:w="1028" w:type="dxa"/>
            <w:tcBorders>
              <w:top w:val="single" w:sz="4" w:space="0" w:color="00000A"/>
            </w:tcBorders>
            <w:shd w:val="clear" w:color="auto" w:fill="FFFFFF"/>
            <w:vAlign w:val="center"/>
          </w:tcPr>
          <w:p w:rsidR="00982F33" w:rsidRDefault="00982F33">
            <w:pPr>
              <w:widowControl/>
              <w:jc w:val="right"/>
              <w:rPr>
                <w:rFonts w:ascii="Times New Roman" w:eastAsia="바탕" w:hAnsi="Times New Roman"/>
                <w:spacing w:val="-6"/>
                <w:kern w:val="0"/>
                <w:sz w:val="22"/>
              </w:rPr>
            </w:pPr>
          </w:p>
        </w:tc>
      </w:tr>
      <w:tr w:rsidR="00982F33">
        <w:trPr>
          <w:trHeight w:val="313"/>
          <w:jc w:val="center"/>
        </w:trPr>
        <w:tc>
          <w:tcPr>
            <w:tcW w:w="1407" w:type="dxa"/>
            <w:shd w:val="clear" w:color="auto" w:fill="FFFFFF"/>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SMB</w:t>
            </w:r>
          </w:p>
        </w:tc>
        <w:tc>
          <w:tcPr>
            <w:tcW w:w="1251" w:type="dxa"/>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0.01</w:t>
            </w:r>
          </w:p>
        </w:tc>
        <w:tc>
          <w:tcPr>
            <w:tcW w:w="1540" w:type="dxa"/>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4.59</w:t>
            </w:r>
          </w:p>
        </w:tc>
        <w:tc>
          <w:tcPr>
            <w:tcW w:w="736"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-0.08</w:t>
            </w:r>
          </w:p>
        </w:tc>
        <w:tc>
          <w:tcPr>
            <w:tcW w:w="1020"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1</w:t>
            </w:r>
          </w:p>
        </w:tc>
        <w:tc>
          <w:tcPr>
            <w:tcW w:w="1023" w:type="dxa"/>
            <w:shd w:val="clear" w:color="auto" w:fill="FFFFFF"/>
            <w:vAlign w:val="center"/>
          </w:tcPr>
          <w:p w:rsidR="00982F33" w:rsidRDefault="00982F33">
            <w:pPr>
              <w:widowControl/>
              <w:jc w:val="right"/>
              <w:rPr>
                <w:rFonts w:ascii="Times New Roman" w:eastAsia="바탕" w:hAnsi="Times New Roman"/>
                <w:spacing w:val="-6"/>
                <w:kern w:val="0"/>
                <w:sz w:val="22"/>
              </w:rPr>
            </w:pPr>
          </w:p>
        </w:tc>
        <w:tc>
          <w:tcPr>
            <w:tcW w:w="1020" w:type="dxa"/>
            <w:shd w:val="clear" w:color="auto" w:fill="FFFFFF"/>
            <w:vAlign w:val="center"/>
          </w:tcPr>
          <w:p w:rsidR="00982F33" w:rsidRDefault="00982F33">
            <w:pPr>
              <w:widowControl/>
              <w:jc w:val="right"/>
              <w:rPr>
                <w:rFonts w:ascii="Times New Roman" w:eastAsia="바탕" w:hAnsi="Times New Roman"/>
                <w:spacing w:val="-6"/>
                <w:kern w:val="0"/>
                <w:sz w:val="22"/>
              </w:rPr>
            </w:pPr>
          </w:p>
        </w:tc>
        <w:tc>
          <w:tcPr>
            <w:tcW w:w="1028" w:type="dxa"/>
            <w:shd w:val="clear" w:color="auto" w:fill="FFFFFF"/>
            <w:vAlign w:val="center"/>
          </w:tcPr>
          <w:p w:rsidR="00982F33" w:rsidRDefault="00982F33">
            <w:pPr>
              <w:widowControl/>
              <w:jc w:val="right"/>
              <w:rPr>
                <w:rFonts w:ascii="Times New Roman" w:eastAsia="바탕" w:hAnsi="Times New Roman"/>
                <w:spacing w:val="-6"/>
                <w:kern w:val="0"/>
                <w:sz w:val="22"/>
              </w:rPr>
            </w:pPr>
          </w:p>
        </w:tc>
      </w:tr>
      <w:tr w:rsidR="00982F33">
        <w:trPr>
          <w:trHeight w:val="313"/>
          <w:jc w:val="center"/>
        </w:trPr>
        <w:tc>
          <w:tcPr>
            <w:tcW w:w="1407" w:type="dxa"/>
            <w:shd w:val="clear" w:color="auto" w:fill="FFFFFF"/>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HML</w:t>
            </w:r>
          </w:p>
        </w:tc>
        <w:tc>
          <w:tcPr>
            <w:tcW w:w="1251" w:type="dxa"/>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1.54</w:t>
            </w:r>
          </w:p>
        </w:tc>
        <w:tc>
          <w:tcPr>
            <w:tcW w:w="1540" w:type="dxa"/>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4.14</w:t>
            </w:r>
          </w:p>
        </w:tc>
        <w:tc>
          <w:tcPr>
            <w:tcW w:w="736"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-0.13</w:t>
            </w:r>
          </w:p>
        </w:tc>
        <w:tc>
          <w:tcPr>
            <w:tcW w:w="1020"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-0.09</w:t>
            </w:r>
          </w:p>
        </w:tc>
        <w:tc>
          <w:tcPr>
            <w:tcW w:w="1023"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1</w:t>
            </w:r>
          </w:p>
        </w:tc>
        <w:tc>
          <w:tcPr>
            <w:tcW w:w="1020" w:type="dxa"/>
            <w:shd w:val="clear" w:color="auto" w:fill="FFFFFF"/>
            <w:vAlign w:val="center"/>
          </w:tcPr>
          <w:p w:rsidR="00982F33" w:rsidRDefault="00982F33">
            <w:pPr>
              <w:widowControl/>
              <w:jc w:val="right"/>
              <w:rPr>
                <w:rFonts w:ascii="Times New Roman" w:eastAsia="바탕" w:hAnsi="Times New Roman"/>
                <w:spacing w:val="-6"/>
                <w:kern w:val="0"/>
                <w:sz w:val="22"/>
              </w:rPr>
            </w:pPr>
          </w:p>
        </w:tc>
        <w:tc>
          <w:tcPr>
            <w:tcW w:w="1028" w:type="dxa"/>
            <w:shd w:val="clear" w:color="auto" w:fill="FFFFFF"/>
            <w:vAlign w:val="center"/>
          </w:tcPr>
          <w:p w:rsidR="00982F33" w:rsidRDefault="00982F33">
            <w:pPr>
              <w:widowControl/>
              <w:jc w:val="right"/>
              <w:rPr>
                <w:rFonts w:ascii="Times New Roman" w:eastAsia="바탕" w:hAnsi="Times New Roman"/>
                <w:spacing w:val="-6"/>
                <w:kern w:val="0"/>
                <w:sz w:val="22"/>
              </w:rPr>
            </w:pPr>
          </w:p>
        </w:tc>
      </w:tr>
      <w:tr w:rsidR="00982F33">
        <w:trPr>
          <w:trHeight w:val="313"/>
          <w:jc w:val="center"/>
        </w:trPr>
        <w:tc>
          <w:tcPr>
            <w:tcW w:w="1407" w:type="dxa"/>
            <w:shd w:val="clear" w:color="auto" w:fill="FFFFFF"/>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CMA</w:t>
            </w:r>
          </w:p>
        </w:tc>
        <w:tc>
          <w:tcPr>
            <w:tcW w:w="1251" w:type="dxa"/>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0.14</w:t>
            </w:r>
          </w:p>
        </w:tc>
        <w:tc>
          <w:tcPr>
            <w:tcW w:w="1540" w:type="dxa"/>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3.10</w:t>
            </w:r>
          </w:p>
        </w:tc>
        <w:tc>
          <w:tcPr>
            <w:tcW w:w="736"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-0.05</w:t>
            </w:r>
          </w:p>
        </w:tc>
        <w:tc>
          <w:tcPr>
            <w:tcW w:w="1020"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0.18</w:t>
            </w:r>
          </w:p>
        </w:tc>
        <w:tc>
          <w:tcPr>
            <w:tcW w:w="1023"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0.21</w:t>
            </w:r>
          </w:p>
        </w:tc>
        <w:tc>
          <w:tcPr>
            <w:tcW w:w="1020" w:type="dxa"/>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1</w:t>
            </w:r>
          </w:p>
        </w:tc>
        <w:tc>
          <w:tcPr>
            <w:tcW w:w="1028" w:type="dxa"/>
            <w:shd w:val="clear" w:color="auto" w:fill="FFFFFF"/>
            <w:vAlign w:val="center"/>
          </w:tcPr>
          <w:p w:rsidR="00982F33" w:rsidRDefault="00982F33">
            <w:pPr>
              <w:widowControl/>
              <w:jc w:val="right"/>
              <w:rPr>
                <w:rFonts w:ascii="Times New Roman" w:eastAsia="바탕" w:hAnsi="Times New Roman"/>
                <w:spacing w:val="-6"/>
                <w:kern w:val="0"/>
                <w:sz w:val="22"/>
              </w:rPr>
            </w:pPr>
          </w:p>
        </w:tc>
      </w:tr>
      <w:tr w:rsidR="00982F33">
        <w:trPr>
          <w:trHeight w:val="313"/>
          <w:jc w:val="center"/>
        </w:trPr>
        <w:tc>
          <w:tcPr>
            <w:tcW w:w="1407" w:type="dxa"/>
            <w:tcBorders>
              <w:top w:val="single" w:sz="4" w:space="0" w:color="00000A"/>
              <w:bottom w:val="single" w:sz="4" w:space="0" w:color="00000A"/>
            </w:tcBorders>
            <w:shd w:val="clear" w:color="auto" w:fill="FFFFFF"/>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RMW</w:t>
            </w:r>
          </w:p>
        </w:tc>
        <w:tc>
          <w:tcPr>
            <w:tcW w:w="1251" w:type="dxa"/>
            <w:tcBorders>
              <w:top w:val="single" w:sz="4" w:space="0" w:color="00000A"/>
              <w:bottom w:val="single" w:sz="4" w:space="0" w:color="00000A"/>
            </w:tcBorders>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0.39</w:t>
            </w:r>
          </w:p>
        </w:tc>
        <w:tc>
          <w:tcPr>
            <w:tcW w:w="1540" w:type="dxa"/>
            <w:tcBorders>
              <w:top w:val="single" w:sz="4" w:space="0" w:color="00000A"/>
              <w:bottom w:val="single" w:sz="4" w:space="0" w:color="00000A"/>
            </w:tcBorders>
            <w:shd w:val="clear" w:color="auto" w:fill="auto"/>
            <w:vAlign w:val="center"/>
          </w:tcPr>
          <w:p w:rsidR="00982F33" w:rsidRDefault="00616B04">
            <w:pPr>
              <w:widowControl/>
              <w:jc w:val="center"/>
              <w:rPr>
                <w:rFonts w:ascii="Times New Roman" w:eastAsia="바탕" w:hAnsi="Times New Roman"/>
                <w:spacing w:val="-6"/>
                <w:kern w:val="0"/>
                <w:sz w:val="22"/>
              </w:rPr>
            </w:pPr>
            <w:r>
              <w:rPr>
                <w:rFonts w:ascii="Times New Roman" w:eastAsia="바탕" w:hAnsi="Times New Roman"/>
                <w:spacing w:val="-6"/>
                <w:kern w:val="0"/>
                <w:sz w:val="22"/>
              </w:rPr>
              <w:t>2.87</w:t>
            </w:r>
          </w:p>
        </w:tc>
        <w:tc>
          <w:tcPr>
            <w:tcW w:w="736"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-0.28</w:t>
            </w:r>
          </w:p>
        </w:tc>
        <w:tc>
          <w:tcPr>
            <w:tcW w:w="1020"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-0.27</w:t>
            </w:r>
          </w:p>
        </w:tc>
        <w:tc>
          <w:tcPr>
            <w:tcW w:w="1023"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-0.01</w:t>
            </w:r>
          </w:p>
        </w:tc>
        <w:tc>
          <w:tcPr>
            <w:tcW w:w="1020"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-0.45</w:t>
            </w:r>
          </w:p>
        </w:tc>
        <w:tc>
          <w:tcPr>
            <w:tcW w:w="1028" w:type="dxa"/>
            <w:tcBorders>
              <w:top w:val="single" w:sz="4" w:space="0" w:color="00000A"/>
              <w:bottom w:val="single" w:sz="4" w:space="0" w:color="00000A"/>
            </w:tcBorders>
            <w:shd w:val="clear" w:color="auto" w:fill="FFFFFF"/>
            <w:vAlign w:val="center"/>
          </w:tcPr>
          <w:p w:rsidR="00982F33" w:rsidRDefault="00616B04">
            <w:pPr>
              <w:widowControl/>
              <w:jc w:val="right"/>
              <w:rPr>
                <w:rFonts w:ascii="Times New Roman" w:eastAsia="바탕" w:hAnsi="Times New Roman"/>
                <w:spacing w:val="-6"/>
                <w:kern w:val="0"/>
                <w:sz w:val="22"/>
              </w:rPr>
            </w:pPr>
            <w:r>
              <w:rPr>
                <w:rFonts w:ascii="Times New Roman" w:eastAsia="바탕" w:hAnsi="Times New Roman"/>
                <w:spacing w:val="-6"/>
                <w:kern w:val="0"/>
                <w:sz w:val="22"/>
              </w:rPr>
              <w:t>1</w:t>
            </w:r>
          </w:p>
        </w:tc>
      </w:tr>
    </w:tbl>
    <w:p w:rsidR="00982F33" w:rsidRDefault="00982F33">
      <w:pPr>
        <w:spacing w:before="240" w:after="240" w:line="480" w:lineRule="auto"/>
        <w:rPr>
          <w:rFonts w:ascii="Times New Roman" w:eastAsia="바탕" w:hAnsi="Times New Roman"/>
          <w:b/>
          <w:spacing w:val="-6"/>
          <w:kern w:val="0"/>
          <w:sz w:val="2"/>
          <w:szCs w:val="2"/>
        </w:rPr>
      </w:pPr>
    </w:p>
    <w:p w:rsidR="00982F33" w:rsidRDefault="00616B04">
      <w:pPr>
        <w:spacing w:before="240" w:after="240" w:line="480" w:lineRule="auto"/>
      </w:pPr>
      <w:r>
        <w:rPr>
          <w:rFonts w:ascii="Times New Roman" w:eastAsia="바탕" w:hAnsi="Times New Roman"/>
          <w:b/>
          <w:spacing w:val="-6"/>
          <w:kern w:val="0"/>
          <w:sz w:val="22"/>
        </w:rPr>
        <w:lastRenderedPageBreak/>
        <w:t xml:space="preserve">2.4 </w:t>
      </w:r>
      <w:r>
        <w:rPr>
          <w:rFonts w:ascii="Times New Roman" w:eastAsia="바탕" w:hAnsi="Times New Roman"/>
          <w:b/>
          <w:spacing w:val="-6"/>
          <w:kern w:val="0"/>
          <w:sz w:val="22"/>
        </w:rPr>
        <w:t>차익거래제한</w:t>
      </w:r>
      <w:r>
        <w:rPr>
          <w:rFonts w:ascii="Times New Roman" w:eastAsia="바탕" w:hAnsi="Times New Roman"/>
          <w:b/>
          <w:spacing w:val="-6"/>
          <w:kern w:val="0"/>
          <w:sz w:val="22"/>
        </w:rPr>
        <w:t xml:space="preserve"> (limits to arbitrage)</w:t>
      </w:r>
      <w:r>
        <w:rPr>
          <w:rFonts w:ascii="Times New Roman" w:eastAsia="바탕" w:hAnsi="Times New Roman"/>
          <w:b/>
          <w:spacing w:val="-6"/>
          <w:kern w:val="0"/>
          <w:sz w:val="22"/>
        </w:rPr>
        <w:t>의</w:t>
      </w:r>
      <w:r>
        <w:rPr>
          <w:rFonts w:ascii="Times New Roman" w:eastAsia="바탕" w:hAnsi="Times New Roman"/>
          <w:b/>
          <w:spacing w:val="-6"/>
          <w:kern w:val="0"/>
          <w:sz w:val="22"/>
        </w:rPr>
        <w:t xml:space="preserve"> </w:t>
      </w:r>
      <w:r>
        <w:rPr>
          <w:rFonts w:ascii="Times New Roman" w:eastAsia="바탕" w:hAnsi="Times New Roman"/>
          <w:b/>
          <w:spacing w:val="-6"/>
          <w:kern w:val="0"/>
          <w:sz w:val="22"/>
        </w:rPr>
        <w:t>대용</w:t>
      </w:r>
      <w:r w:rsidR="006C3A08">
        <w:rPr>
          <w:rFonts w:ascii="Times New Roman" w:eastAsia="바탕" w:hAnsi="Times New Roman" w:hint="eastAsia"/>
          <w:b/>
          <w:spacing w:val="-6"/>
          <w:kern w:val="0"/>
          <w:sz w:val="22"/>
        </w:rPr>
        <w:t xml:space="preserve"> </w:t>
      </w:r>
      <w:r>
        <w:rPr>
          <w:rFonts w:ascii="Times New Roman" w:eastAsia="바탕" w:hAnsi="Times New Roman"/>
          <w:b/>
          <w:spacing w:val="-6"/>
          <w:kern w:val="0"/>
          <w:sz w:val="22"/>
        </w:rPr>
        <w:t>변수</w:t>
      </w:r>
      <w:r w:rsidR="00AA3309">
        <w:rPr>
          <w:rFonts w:ascii="Times New Roman" w:eastAsia="바탕" w:hAnsi="Times New Roman"/>
          <w:b/>
          <w:spacing w:val="-6"/>
          <w:kern w:val="0"/>
          <w:sz w:val="22"/>
        </w:rPr>
        <w:t xml:space="preserve"> (proxy variable) </w:t>
      </w:r>
    </w:p>
    <w:p w:rsidR="00982F33" w:rsidRPr="006C3A08" w:rsidRDefault="00616B04">
      <w:pPr>
        <w:spacing w:line="432" w:lineRule="auto"/>
        <w:rPr>
          <w:rFonts w:hint="eastAsia"/>
        </w:rPr>
      </w:pPr>
      <w:r>
        <w:rPr>
          <w:rFonts w:ascii="바탕" w:eastAsia="바탕" w:hAnsi="바탕"/>
          <w:spacing w:val="-6"/>
          <w:kern w:val="0"/>
          <w:szCs w:val="20"/>
        </w:rPr>
        <w:t>주가가 위험에 대한 보상의 범위를 넘어 가격</w:t>
      </w:r>
      <w:r w:rsidR="001D4C8D">
        <w:rPr>
          <w:rFonts w:ascii="바탕" w:eastAsia="바탕" w:hAnsi="바탕" w:hint="eastAsia"/>
          <w:spacing w:val="-6"/>
          <w:kern w:val="0"/>
          <w:szCs w:val="20"/>
        </w:rPr>
        <w:t xml:space="preserve"> </w:t>
      </w:r>
      <w:r>
        <w:rPr>
          <w:rFonts w:ascii="바탕" w:eastAsia="바탕" w:hAnsi="바탕"/>
          <w:spacing w:val="-6"/>
          <w:kern w:val="0"/>
          <w:szCs w:val="20"/>
        </w:rPr>
        <w:t>왜곡(mispricing)이 발생했음에도 차익거래(arbitrage transaction)에 의해 즉각적으로 해소되지 않는 이유는 크게 두가지로 생각해 볼 수 있다. 첫번째는 차익거래 비용이 수익을 초과하여 실익이 없는 경우이다. 여기서 차익거래 비용이라는 것은 직접적인 거래 수수료를 제외하더라도 유동성(liquidity)이나 공매도 제한(short sale constra</w:t>
      </w:r>
      <w:r w:rsidR="006C3A08">
        <w:rPr>
          <w:rFonts w:ascii="바탕" w:eastAsia="바탕" w:hAnsi="바탕" w:hint="eastAsia"/>
          <w:spacing w:val="-6"/>
          <w:kern w:val="0"/>
          <w:szCs w:val="20"/>
        </w:rPr>
        <w:t>i</w:t>
      </w:r>
      <w:r>
        <w:rPr>
          <w:rFonts w:ascii="바탕" w:eastAsia="바탕" w:hAnsi="바탕"/>
          <w:spacing w:val="-6"/>
          <w:kern w:val="0"/>
          <w:szCs w:val="20"/>
        </w:rPr>
        <w:t>nt)등과 같이 원활한 거래를 제한함으로써 발생하는 간접적인 비용을 포함한다</w:t>
      </w:r>
      <w:r w:rsidR="001D4C8D">
        <w:rPr>
          <w:rFonts w:ascii="바탕" w:eastAsia="바탕" w:hAnsi="바탕"/>
          <w:spacing w:val="-6"/>
          <w:kern w:val="0"/>
          <w:szCs w:val="20"/>
        </w:rPr>
        <w:t xml:space="preserve">. </w:t>
      </w:r>
      <w:r>
        <w:rPr>
          <w:rFonts w:ascii="바탕" w:eastAsia="바탕" w:hAnsi="바탕"/>
          <w:spacing w:val="-6"/>
          <w:kern w:val="0"/>
          <w:szCs w:val="20"/>
        </w:rPr>
        <w:t>다른 하나는 가격</w:t>
      </w:r>
      <w:r w:rsidR="001D4C8D">
        <w:rPr>
          <w:rFonts w:ascii="바탕" w:eastAsia="바탕" w:hAnsi="바탕" w:hint="eastAsia"/>
          <w:spacing w:val="-6"/>
          <w:kern w:val="0"/>
          <w:szCs w:val="20"/>
        </w:rPr>
        <w:t xml:space="preserve"> </w:t>
      </w:r>
      <w:r>
        <w:rPr>
          <w:rFonts w:ascii="바탕" w:eastAsia="바탕" w:hAnsi="바탕"/>
          <w:spacing w:val="-6"/>
          <w:kern w:val="0"/>
          <w:szCs w:val="20"/>
        </w:rPr>
        <w:t>왜곡 여부에 대한 엄밀한 재검토를 필요로 하는 경우를 들 수 있다. 가격</w:t>
      </w:r>
      <w:r w:rsidR="001D4C8D">
        <w:rPr>
          <w:rFonts w:ascii="바탕" w:eastAsia="바탕" w:hAnsi="바탕" w:hint="eastAsia"/>
          <w:spacing w:val="-6"/>
          <w:kern w:val="0"/>
          <w:szCs w:val="20"/>
        </w:rPr>
        <w:t xml:space="preserve"> </w:t>
      </w:r>
      <w:r>
        <w:rPr>
          <w:rFonts w:ascii="바탕" w:eastAsia="바탕" w:hAnsi="바탕"/>
          <w:spacing w:val="-6"/>
          <w:kern w:val="0"/>
          <w:szCs w:val="20"/>
        </w:rPr>
        <w:t xml:space="preserve">왜곡 여부를 결정하기 위해선 자산의 가격 결정 모형(asset pricing model)의 유효성이 담보되어야 한다. 하지만 전통적인 자산 가격 결정 이론은 논의의 편의를 위해 실제 시장을 다소 단순화한 가정에 기반하는데, 이러한 가정이 담보되지 않는다면 이들 이론으로부터 도출된 </w:t>
      </w:r>
      <w:r w:rsidR="006C3A08">
        <w:rPr>
          <w:rFonts w:ascii="바탕" w:eastAsia="바탕" w:hAnsi="바탕"/>
          <w:spacing w:val="-6"/>
          <w:kern w:val="0"/>
          <w:szCs w:val="20"/>
        </w:rPr>
        <w:t>가격</w:t>
      </w:r>
      <w:r w:rsidR="006C3A08">
        <w:rPr>
          <w:rFonts w:ascii="바탕" w:eastAsia="바탕" w:hAnsi="바탕" w:hint="eastAsia"/>
          <w:spacing w:val="-6"/>
          <w:kern w:val="0"/>
          <w:szCs w:val="20"/>
        </w:rPr>
        <w:t>에서</w:t>
      </w:r>
      <w:r>
        <w:rPr>
          <w:rFonts w:ascii="바탕" w:eastAsia="바탕" w:hAnsi="바탕"/>
          <w:spacing w:val="-6"/>
          <w:kern w:val="0"/>
          <w:szCs w:val="20"/>
        </w:rPr>
        <w:t xml:space="preserve"> 벗어났다는 사실만으로는 가격</w:t>
      </w:r>
      <w:r w:rsidR="006C3A08">
        <w:rPr>
          <w:rFonts w:ascii="바탕" w:eastAsia="바탕" w:hAnsi="바탕" w:hint="eastAsia"/>
          <w:spacing w:val="-6"/>
          <w:kern w:val="0"/>
          <w:szCs w:val="20"/>
        </w:rPr>
        <w:t xml:space="preserve"> </w:t>
      </w:r>
      <w:r>
        <w:rPr>
          <w:rFonts w:ascii="바탕" w:eastAsia="바탕" w:hAnsi="바탕"/>
          <w:spacing w:val="-6"/>
          <w:kern w:val="0"/>
          <w:szCs w:val="20"/>
        </w:rPr>
        <w:t xml:space="preserve">왜곡을 주장하기 어렵다. 이와 같이 전통적인 자산 가격결정 이론의 가정을 위배하는 조건들 역시 가격결정이론이 제시하는 </w:t>
      </w:r>
      <w:r w:rsidR="006C3A08">
        <w:rPr>
          <w:rFonts w:ascii="바탕" w:eastAsia="바탕" w:hAnsi="바탕" w:hint="eastAsia"/>
          <w:spacing w:val="-6"/>
          <w:kern w:val="0"/>
          <w:szCs w:val="20"/>
        </w:rPr>
        <w:t>가격과의 차이를</w:t>
      </w:r>
      <w:r>
        <w:rPr>
          <w:rFonts w:ascii="바탕" w:eastAsia="바탕" w:hAnsi="바탕"/>
          <w:spacing w:val="-6"/>
          <w:kern w:val="0"/>
          <w:szCs w:val="20"/>
        </w:rPr>
        <w:t xml:space="preserve"> 해소하지 못하게 한다는 점에서 넓은 의미로 차익거래 제한 요인으로 해석할 수 있다. </w:t>
      </w:r>
    </w:p>
    <w:p w:rsidR="00982F33" w:rsidRDefault="006C3A08">
      <w:pPr>
        <w:spacing w:line="432" w:lineRule="auto"/>
        <w:rPr>
          <w:rFonts w:ascii="바탕" w:eastAsia="바탕" w:hAnsi="바탕"/>
          <w:spacing w:val="-6"/>
          <w:kern w:val="0"/>
          <w:szCs w:val="20"/>
        </w:rPr>
      </w:pPr>
      <w:r>
        <w:rPr>
          <w:rFonts w:ascii="바탕" w:eastAsia="바탕" w:hAnsi="바탕" w:hint="eastAsia"/>
          <w:spacing w:val="-6"/>
          <w:kern w:val="0"/>
          <w:szCs w:val="20"/>
        </w:rPr>
        <w:t xml:space="preserve">      </w:t>
      </w:r>
      <w:r w:rsidR="00616B04">
        <w:rPr>
          <w:rFonts w:ascii="바탕" w:eastAsia="바탕" w:hAnsi="바탕"/>
          <w:spacing w:val="-6"/>
          <w:kern w:val="0"/>
          <w:szCs w:val="20"/>
        </w:rPr>
        <w:t>차익거래제한요인은 그 성격에 따라 차익거래 위험(arbitrage risk), 거래비용</w:t>
      </w:r>
      <w:r>
        <w:rPr>
          <w:rFonts w:ascii="바탕" w:eastAsia="바탕" w:hAnsi="바탕"/>
          <w:spacing w:val="-6"/>
          <w:kern w:val="0"/>
          <w:szCs w:val="20"/>
        </w:rPr>
        <w:t xml:space="preserve">(transaction cost), </w:t>
      </w:r>
      <w:r w:rsidR="00616B04">
        <w:rPr>
          <w:rFonts w:ascii="바탕" w:eastAsia="바탕" w:hAnsi="바탕"/>
          <w:spacing w:val="-6"/>
          <w:kern w:val="0"/>
          <w:szCs w:val="20"/>
        </w:rPr>
        <w:t xml:space="preserve">정보 불확실성(information uncertainty)등으로 분류할 수 있다. </w:t>
      </w:r>
      <w:r w:rsidR="00421897">
        <w:rPr>
          <w:rFonts w:ascii="바탕" w:eastAsia="바탕" w:hAnsi="바탕" w:hint="eastAsia"/>
          <w:spacing w:val="-6"/>
          <w:kern w:val="0"/>
          <w:szCs w:val="20"/>
        </w:rPr>
        <w:t>일반적으로 차익거래라고 하면 위험이 수반되지 않는다. 여기서의 차익거래 위험이란 일반적으로 쉽게 접근하기 힘든 정보에 접근 가능한 소수의 투자자가 충분히 잘 분산되지 않은 포트폴리오를 보유한 경우에 발생한다. 이들 투자자가 자신들이 보유한 차익거래 자원(</w:t>
      </w:r>
      <w:r w:rsidR="00421897">
        <w:rPr>
          <w:rFonts w:ascii="바탕" w:eastAsia="바탕" w:hAnsi="바탕"/>
          <w:spacing w:val="-6"/>
          <w:kern w:val="0"/>
          <w:szCs w:val="20"/>
        </w:rPr>
        <w:t>arbitrage resources)</w:t>
      </w:r>
      <w:r w:rsidR="00421897">
        <w:rPr>
          <w:rFonts w:ascii="바탕" w:eastAsia="바탕" w:hAnsi="바탕" w:hint="eastAsia"/>
          <w:spacing w:val="-6"/>
          <w:kern w:val="0"/>
          <w:szCs w:val="20"/>
        </w:rPr>
        <w:t>의 이익을 실현한다고 할 때, 기업의 고유 변동성(</w:t>
      </w:r>
      <w:r w:rsidR="00421897">
        <w:rPr>
          <w:rFonts w:ascii="바탕" w:eastAsia="바탕" w:hAnsi="바탕"/>
          <w:spacing w:val="-6"/>
          <w:kern w:val="0"/>
          <w:szCs w:val="20"/>
        </w:rPr>
        <w:t>idiosyncratic volatility)</w:t>
      </w:r>
      <w:r w:rsidR="00421897">
        <w:rPr>
          <w:rFonts w:ascii="바탕" w:eastAsia="바탕" w:hAnsi="바탕" w:hint="eastAsia"/>
          <w:spacing w:val="-6"/>
          <w:kern w:val="0"/>
          <w:szCs w:val="20"/>
        </w:rPr>
        <w:t>이 가격을 결정하는 요소가 될 여지가 생기며 고전적 가격결정 모형이 이 부분을 고려하지 않을 경우 가격 왜곡은 해소되지 못한다(</w:t>
      </w:r>
      <w:r w:rsidR="00421897">
        <w:rPr>
          <w:rFonts w:ascii="바탕" w:eastAsia="바탕" w:hAnsi="바탕"/>
          <w:spacing w:val="-6"/>
          <w:kern w:val="0"/>
          <w:szCs w:val="20"/>
        </w:rPr>
        <w:t xml:space="preserve">Shleifer and Vishny, 1997). </w:t>
      </w:r>
      <w:r w:rsidR="00616B04">
        <w:rPr>
          <w:rFonts w:ascii="바탕" w:eastAsia="바탕" w:hAnsi="바탕"/>
          <w:spacing w:val="-6"/>
          <w:kern w:val="0"/>
          <w:szCs w:val="20"/>
        </w:rPr>
        <w:t>이 같은 배경하에서 기업의 고유변동성이 차익거래위험의 대용</w:t>
      </w:r>
      <w:r w:rsidR="00421897">
        <w:rPr>
          <w:rFonts w:ascii="바탕" w:eastAsia="바탕" w:hAnsi="바탕" w:hint="eastAsia"/>
          <w:spacing w:val="-6"/>
          <w:kern w:val="0"/>
          <w:szCs w:val="20"/>
        </w:rPr>
        <w:t xml:space="preserve"> </w:t>
      </w:r>
      <w:r w:rsidR="00616B04">
        <w:rPr>
          <w:rFonts w:ascii="바탕" w:eastAsia="바탕" w:hAnsi="바탕"/>
          <w:spacing w:val="-6"/>
          <w:kern w:val="0"/>
          <w:szCs w:val="20"/>
        </w:rPr>
        <w:t>변수로 제안되었으며(Ali Hwang, Trobley, 2003) 본 연구는 3년간의 월별 수익률을 이용한 시장</w:t>
      </w:r>
      <w:r w:rsidR="00421897">
        <w:rPr>
          <w:rFonts w:ascii="바탕" w:eastAsia="바탕" w:hAnsi="바탕" w:hint="eastAsia"/>
          <w:spacing w:val="-6"/>
          <w:kern w:val="0"/>
          <w:szCs w:val="20"/>
        </w:rPr>
        <w:t xml:space="preserve"> </w:t>
      </w:r>
      <w:r w:rsidR="00616B04">
        <w:rPr>
          <w:rFonts w:ascii="바탕" w:eastAsia="바탕" w:hAnsi="바탕"/>
          <w:spacing w:val="-6"/>
          <w:kern w:val="0"/>
          <w:szCs w:val="20"/>
        </w:rPr>
        <w:t>모형(유가증권시장) 잔차의 표준편차를 식</w:t>
      </w:r>
      <w:r w:rsidR="00421897">
        <w:rPr>
          <w:rFonts w:ascii="바탕" w:eastAsia="바탕" w:hAnsi="바탕"/>
          <w:spacing w:val="-6"/>
          <w:kern w:val="0"/>
          <w:szCs w:val="20"/>
        </w:rPr>
        <w:t xml:space="preserve"> (1</w:t>
      </w:r>
      <w:r w:rsidR="00616B04">
        <w:rPr>
          <w:rFonts w:ascii="바탕" w:eastAsia="바탕" w:hAnsi="바탕"/>
          <w:spacing w:val="-6"/>
          <w:kern w:val="0"/>
          <w:szCs w:val="20"/>
        </w:rPr>
        <w:t>)과 같이 계산하였다.</w:t>
      </w:r>
      <w:r w:rsidR="00421897">
        <w:rPr>
          <w:rStyle w:val="a6"/>
          <w:rFonts w:ascii="바탕" w:eastAsia="바탕" w:hAnsi="바탕"/>
          <w:spacing w:val="-6"/>
          <w:kern w:val="0"/>
          <w:szCs w:val="20"/>
        </w:rPr>
        <w:footnoteReference w:id="2"/>
      </w:r>
    </w:p>
    <w:p w:rsidR="00421897" w:rsidRDefault="00421897">
      <w:pPr>
        <w:spacing w:line="432" w:lineRule="auto"/>
        <w:rPr>
          <w:rFonts w:ascii="바탕" w:eastAsia="바탕" w:hAnsi="바탕" w:hint="eastAsia"/>
          <w:spacing w:val="-6"/>
          <w:kern w:val="0"/>
          <w:szCs w:val="20"/>
        </w:rPr>
      </w:pPr>
    </w:p>
    <w:p w:rsidR="00982F33" w:rsidRPr="00421897" w:rsidRDefault="003A0CA0" w:rsidP="00421897">
      <w:pPr>
        <w:spacing w:after="240" w:line="432" w:lineRule="auto"/>
        <w:ind w:firstLine="400"/>
        <w:rPr>
          <w:rFonts w:hint="eastAsia"/>
        </w:rPr>
      </w:pPr>
      <m:oMathPara>
        <m:oMath>
          <m:sSubSup>
            <m:sSubSupPr>
              <m:ctrlPr>
                <w:rPr>
                  <w:rFonts w:ascii="Cambria Math" w:hAnsi="Cambria Math"/>
                </w:rPr>
              </m:ctrlPr>
            </m:sSubSupPr>
            <m:e>
              <m:r>
                <w:rPr>
                  <w:rFonts w:ascii="Cambria Math" w:hAnsi="Cambria Math"/>
                </w:rPr>
                <m:t>Idiosyncratic</m:t>
              </m:r>
              <m:r>
                <w:rPr>
                  <w:rFonts w:ascii="Cambria Math" w:hAnsi="Cambria Math"/>
                </w:rPr>
                <m:t xml:space="preserve"> </m:t>
              </m:r>
              <m:r>
                <w:rPr>
                  <w:rFonts w:ascii="Cambria Math" w:hAnsi="Cambria Math"/>
                </w:rPr>
                <m:t>volatility</m:t>
              </m:r>
            </m:e>
            <m:sub>
              <m:r>
                <w:rPr>
                  <w:rFonts w:ascii="Cambria Math" w:hAnsi="Cambria Math"/>
                </w:rPr>
                <m:t>t</m:t>
              </m:r>
            </m:sub>
            <m:sup>
              <m:r>
                <w:rPr>
                  <w:rFonts w:ascii="Cambria Math" w:hAnsi="Cambria Math"/>
                </w:rPr>
                <m:t>i</m:t>
              </m:r>
            </m:sup>
          </m:sSubSup>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36</m:t>
                  </m:r>
                </m:den>
              </m:f>
              <m:nary>
                <m:naryPr>
                  <m:chr m:val="∑"/>
                  <m:ctrlPr>
                    <w:rPr>
                      <w:rFonts w:ascii="Cambria Math" w:hAnsi="Cambria Math"/>
                    </w:rPr>
                  </m:ctrlPr>
                </m:naryPr>
                <m:sub>
                  <m:r>
                    <w:rPr>
                      <w:rFonts w:ascii="Cambria Math" w:hAnsi="Cambria Math"/>
                    </w:rPr>
                    <m:t>t=-36</m:t>
                  </m:r>
                </m:sub>
                <m:sup>
                  <m:r>
                    <w:rPr>
                      <w:rFonts w:ascii="Cambria Math" w:hAnsi="Cambria Math"/>
                    </w:rPr>
                    <m:t>-1</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i</m:t>
                              </m:r>
                            </m:sup>
                          </m:sSubSup>
                        </m:e>
                      </m:d>
                    </m:e>
                    <m:sup>
                      <m:r>
                        <w:rPr>
                          <w:rFonts w:ascii="Cambria Math" w:hAnsi="Cambria Math"/>
                        </w:rPr>
                        <m:t>2</m:t>
                      </m:r>
                    </m:sup>
                  </m:sSup>
                </m:e>
              </m:nary>
            </m:e>
          </m:rad>
          <m:r>
            <w:rPr>
              <w:rFonts w:ascii="Cambria Math" w:hAnsi="Cambria Math"/>
            </w:rPr>
            <m:t xml:space="preserve">                                                       </m:t>
          </m:r>
          <m:d>
            <m:dPr>
              <m:ctrlPr>
                <w:rPr>
                  <w:rFonts w:ascii="Cambria Math" w:hAnsi="Cambria Math"/>
                </w:rPr>
              </m:ctrlPr>
            </m:dPr>
            <m:e>
              <m:r>
                <w:rPr>
                  <w:rFonts w:ascii="Cambria Math" w:hAnsi="Cambria Math"/>
                </w:rPr>
                <m:t>1</m:t>
              </m:r>
            </m:e>
          </m:d>
        </m:oMath>
      </m:oMathPara>
    </w:p>
    <w:p w:rsidR="00982F33" w:rsidRDefault="00FB1D71" w:rsidP="005F27A5">
      <w:pPr>
        <w:spacing w:line="432" w:lineRule="auto"/>
        <w:rPr>
          <w:rFonts w:ascii="바탕" w:eastAsia="바탕" w:hAnsi="바탕" w:hint="eastAsia"/>
          <w:spacing w:val="-6"/>
        </w:rPr>
      </w:pPr>
      <w:r>
        <w:rPr>
          <w:rFonts w:ascii="바탕" w:eastAsia="바탕" w:hAnsi="바탕" w:hint="eastAsia"/>
          <w:spacing w:val="-6"/>
        </w:rPr>
        <w:lastRenderedPageBreak/>
        <w:t xml:space="preserve">      거래 비용은 거래수수료와 같은 직접적인 비용을 떠올리기 쉬우나 모든 주식에 동등하게 적용되는 거래 수수료 등과 같은 요소보다는 유동성이 더욱 중요한 거래 제한 요소이다. 본 연구는 유동성의 대용 변수로 거래대금,</w:t>
      </w:r>
      <w:r>
        <w:rPr>
          <w:rFonts w:ascii="바탕" w:eastAsia="바탕" w:hAnsi="바탕"/>
          <w:spacing w:val="-6"/>
        </w:rPr>
        <w:t xml:space="preserve"> </w:t>
      </w:r>
      <w:r w:rsidRPr="00FB1D71">
        <w:rPr>
          <w:rFonts w:ascii="바탕" w:eastAsia="바탕" w:hAnsi="바탕"/>
          <w:spacing w:val="-6"/>
        </w:rPr>
        <w:t>Amihud(2002) illiquidity</w:t>
      </w:r>
      <w:r w:rsidR="00EB2A02">
        <w:rPr>
          <w:rFonts w:ascii="바탕" w:eastAsia="바탕" w:hAnsi="바탕"/>
          <w:spacing w:val="-6"/>
        </w:rPr>
        <w:t xml:space="preserve">, </w:t>
      </w:r>
      <w:r w:rsidR="00EB2A02">
        <w:rPr>
          <w:rFonts w:ascii="바탕" w:eastAsia="바탕" w:hAnsi="바탕" w:hint="eastAsia"/>
          <w:spacing w:val="-6"/>
        </w:rPr>
        <w:t>최근 거래된 주가, 영(</w:t>
      </w:r>
      <w:r w:rsidR="00EB2A02">
        <w:rPr>
          <w:rFonts w:ascii="바탕" w:eastAsia="바탕" w:hAnsi="바탕"/>
          <w:spacing w:val="-6"/>
        </w:rPr>
        <w:t>0)</w:t>
      </w:r>
      <w:r w:rsidR="00EB2A02">
        <w:rPr>
          <w:rFonts w:ascii="바탕" w:eastAsia="바탕" w:hAnsi="바탕" w:hint="eastAsia"/>
          <w:spacing w:val="-6"/>
        </w:rPr>
        <w:t>의 수익률의 개수 등을 사용한다. 첫번째로 거래대금은 식(</w:t>
      </w:r>
      <w:r w:rsidR="00EB2A02">
        <w:rPr>
          <w:rFonts w:ascii="바탕" w:eastAsia="바탕" w:hAnsi="바탕"/>
          <w:spacing w:val="-6"/>
        </w:rPr>
        <w:t>2)</w:t>
      </w:r>
      <w:r w:rsidR="00EB2A02">
        <w:rPr>
          <w:rFonts w:ascii="바탕" w:eastAsia="바탕" w:hAnsi="바탕" w:hint="eastAsia"/>
          <w:spacing w:val="-6"/>
        </w:rPr>
        <w:t xml:space="preserve">와 같이 과거 </w:t>
      </w:r>
      <w:r w:rsidR="00EB2A02">
        <w:rPr>
          <w:rFonts w:ascii="바탕" w:eastAsia="바탕" w:hAnsi="바탕"/>
          <w:spacing w:val="-6"/>
        </w:rPr>
        <w:t>12</w:t>
      </w:r>
      <w:r w:rsidR="00EB2A02">
        <w:rPr>
          <w:rFonts w:ascii="바탕" w:eastAsia="바탕" w:hAnsi="바탕" w:hint="eastAsia"/>
          <w:spacing w:val="-6"/>
        </w:rPr>
        <w:t>개월의 금액 기준 거래량을 합한 값</w:t>
      </w:r>
      <w:r w:rsidR="005F27A5">
        <w:rPr>
          <w:rFonts w:ascii="바탕" w:eastAsia="바탕" w:hAnsi="바탕" w:hint="eastAsia"/>
          <w:spacing w:val="-6"/>
        </w:rPr>
        <w:t>이다.</w:t>
      </w:r>
    </w:p>
    <w:p w:rsidR="005F27A5" w:rsidRPr="005F27A5" w:rsidRDefault="003A0CA0">
      <w:pPr>
        <w:spacing w:after="240" w:line="432" w:lineRule="auto"/>
        <w:ind w:firstLine="289"/>
      </w:pPr>
      <m:oMathPara>
        <m:oMathParaPr>
          <m:jc m:val="right"/>
        </m:oMathParaPr>
        <m:oMath>
          <m:sSubSup>
            <m:sSubSupPr>
              <m:ctrlPr>
                <w:rPr>
                  <w:rFonts w:ascii="Cambria Math" w:hAnsi="Cambria Math"/>
                </w:rPr>
              </m:ctrlPr>
            </m:sSubSupPr>
            <m:e>
              <m:r>
                <m:rPr>
                  <m:lit/>
                  <m:nor/>
                </m:rPr>
                <w:rPr>
                  <w:rFonts w:ascii="Cambria Math" w:hAnsi="Cambria Math"/>
                </w:rPr>
                <m:t>Tvol</m:t>
              </m:r>
            </m:e>
            <m:sub>
              <m:r>
                <w:rPr>
                  <w:rFonts w:ascii="Cambria Math" w:hAnsi="Cambria Math"/>
                </w:rPr>
                <m:t>t</m:t>
              </m:r>
            </m:sub>
            <m:sup>
              <m:r>
                <w:rPr>
                  <w:rFonts w:ascii="Cambria Math" w:hAnsi="Cambria Math"/>
                </w:rPr>
                <m:t>i</m:t>
              </m:r>
            </m:sup>
          </m:sSubSup>
          <m:r>
            <w:rPr>
              <w:rFonts w:ascii="Cambria Math" w:hAnsi="Cambria Math"/>
            </w:rPr>
            <m:t>=</m:t>
          </m:r>
          <m:nary>
            <m:naryPr>
              <m:chr m:val="∑"/>
              <m:ctrlPr>
                <w:rPr>
                  <w:rFonts w:ascii="Cambria Math" w:hAnsi="Cambria Math"/>
                </w:rPr>
              </m:ctrlPr>
            </m:naryPr>
            <m:sub>
              <m:r>
                <w:rPr>
                  <w:rFonts w:ascii="Cambria Math" w:hAnsi="Cambria Math"/>
                </w:rPr>
                <m:t>t=-12</m:t>
              </m:r>
            </m:sub>
            <m:sup>
              <m:r>
                <w:rPr>
                  <w:rFonts w:ascii="Cambria Math" w:hAnsi="Cambria Math"/>
                </w:rPr>
                <m:t>-1</m:t>
              </m:r>
            </m:sup>
            <m:e>
              <m:r>
                <m:rPr>
                  <m:lit/>
                  <m:nor/>
                </m:rPr>
                <w:rPr>
                  <w:rFonts w:ascii="Cambria Math" w:hAnsi="Cambria Math"/>
                </w:rPr>
                <m:t>Trading volum</m:t>
              </m:r>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i</m:t>
                  </m:r>
                </m:sup>
              </m:sSubSup>
              <m:r>
                <w:rPr>
                  <w:rFonts w:ascii="Cambria Math" w:hAnsi="Cambria Math"/>
                </w:rPr>
                <m:t xml:space="preserve">                                                                </m:t>
              </m:r>
            </m:e>
          </m:nary>
          <m:d>
            <m:dPr>
              <m:ctrlPr>
                <w:rPr>
                  <w:rFonts w:ascii="Cambria Math" w:hAnsi="Cambria Math"/>
                </w:rPr>
              </m:ctrlPr>
            </m:dPr>
            <m:e>
              <m:r>
                <w:rPr>
                  <w:rFonts w:ascii="Cambria Math" w:hAnsi="Cambria Math"/>
                </w:rPr>
                <m:t>2</m:t>
              </m:r>
            </m:e>
          </m:d>
        </m:oMath>
      </m:oMathPara>
    </w:p>
    <w:p w:rsidR="005F27A5" w:rsidRPr="005F27A5" w:rsidRDefault="005F27A5">
      <w:pPr>
        <w:spacing w:after="240" w:line="432" w:lineRule="auto"/>
        <w:ind w:firstLine="289"/>
        <w:rPr>
          <w:rFonts w:ascii="바탕" w:eastAsia="바탕" w:hAnsi="바탕" w:hint="eastAsia"/>
        </w:rPr>
      </w:pPr>
      <w:r>
        <w:rPr>
          <w:rFonts w:ascii="바탕" w:eastAsia="바탕" w:hAnsi="바탕" w:hint="eastAsia"/>
        </w:rPr>
        <w:t>Ami</w:t>
      </w:r>
      <w:r>
        <w:rPr>
          <w:rFonts w:ascii="바탕" w:eastAsia="바탕" w:hAnsi="바탕"/>
        </w:rPr>
        <w:t xml:space="preserve">hud illiquidity </w:t>
      </w:r>
      <w:r>
        <w:rPr>
          <w:rFonts w:ascii="바탕" w:eastAsia="바탕" w:hAnsi="바탕" w:hint="eastAsia"/>
        </w:rPr>
        <w:t>는 식(3)과 같이 일간 수익률을 일간 거래량으로 나눈 값의 연평균 값이다.</w:t>
      </w:r>
    </w:p>
    <w:p w:rsidR="00982F33" w:rsidRPr="005F27A5" w:rsidRDefault="003A0CA0">
      <w:pPr>
        <w:spacing w:after="240" w:line="432" w:lineRule="auto"/>
      </w:pPr>
      <m:oMathPara>
        <m:oMathParaPr>
          <m:jc m:val="right"/>
        </m:oMathParaPr>
        <m:oMath>
          <m:sSub>
            <m:sSubPr>
              <m:ctrlPr>
                <w:rPr>
                  <w:rFonts w:ascii="Cambria Math" w:hAnsi="Cambria Math"/>
                </w:rPr>
              </m:ctrlPr>
            </m:sSubPr>
            <m:e>
              <m:r>
                <w:rPr>
                  <w:rFonts w:ascii="Cambria Math" w:hAnsi="Cambria Math"/>
                </w:rPr>
                <m:t>Illiquidity</m:t>
              </m:r>
            </m:e>
            <m:sub>
              <m:r>
                <m:rPr>
                  <m:scr m:val="fraktur"/>
                </m:rP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m:rPr>
                      <m:scr m:val="fraktur"/>
                    </m:rPr>
                    <w:rPr>
                      <w:rFonts w:ascii="Cambria Math" w:hAnsi="Cambria Math"/>
                    </w:rPr>
                    <m:t>I</m:t>
                  </m:r>
                </m:sub>
              </m:sSub>
            </m:den>
          </m:f>
          <m:r>
            <w:rPr>
              <w:rFonts w:ascii="Cambria Math" w:hAnsi="Cambria Math"/>
            </w:rPr>
            <m:t>×</m:t>
          </m:r>
          <m:nary>
            <m:naryPr>
              <m:chr m:val="∑"/>
              <m:ctrlPr>
                <w:rPr>
                  <w:rFonts w:ascii="Cambria Math" w:hAnsi="Cambria Math"/>
                </w:rPr>
              </m:ctrlPr>
            </m:naryPr>
            <m:sub>
              <m:r>
                <w:rPr>
                  <w:rFonts w:ascii="Cambria Math" w:hAnsi="Cambria Math"/>
                </w:rPr>
                <m:t>t=1</m:t>
              </m:r>
            </m:sub>
            <m:sup>
              <m:sSub>
                <m:sSubPr>
                  <m:ctrlPr>
                    <w:rPr>
                      <w:rFonts w:ascii="Cambria Math" w:hAnsi="Cambria Math"/>
                    </w:rPr>
                  </m:ctrlPr>
                </m:sSubPr>
                <m:e>
                  <m:r>
                    <w:rPr>
                      <w:rFonts w:ascii="Cambria Math" w:hAnsi="Cambria Math"/>
                    </w:rPr>
                    <m:t>D</m:t>
                  </m:r>
                </m:e>
                <m:sub>
                  <m:r>
                    <m:rPr>
                      <m:scr m:val="fraktur"/>
                    </m:rPr>
                    <w:rPr>
                      <w:rFonts w:ascii="Cambria Math" w:hAnsi="Cambria Math"/>
                    </w:rPr>
                    <m:t>I</m:t>
                  </m:r>
                </m:sub>
              </m:s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imd</m:t>
                          </m:r>
                        </m:sub>
                      </m:sSub>
                    </m:e>
                  </m:d>
                </m:num>
                <m:den>
                  <m:r>
                    <w:rPr>
                      <w:rFonts w:ascii="Cambria Math" w:hAnsi="Cambria Math"/>
                    </w:rPr>
                    <m:t>VOL</m:t>
                  </m:r>
                  <m:sSub>
                    <m:sSubPr>
                      <m:ctrlPr>
                        <w:rPr>
                          <w:rFonts w:ascii="Cambria Math" w:hAnsi="Cambria Math"/>
                        </w:rPr>
                      </m:ctrlPr>
                    </m:sSubPr>
                    <m:e>
                      <m:r>
                        <w:rPr>
                          <w:rFonts w:ascii="Cambria Math" w:hAnsi="Cambria Math"/>
                        </w:rPr>
                        <m:t>D</m:t>
                      </m:r>
                    </m:e>
                    <m:sub>
                      <m:r>
                        <w:rPr>
                          <w:rFonts w:ascii="Cambria Math" w:hAnsi="Cambria Math"/>
                        </w:rPr>
                        <m:t>imd</m:t>
                      </m:r>
                    </m:sub>
                  </m:sSub>
                </m:den>
              </m:f>
            </m:e>
          </m:nary>
          <m:r>
            <w:rPr>
              <w:rFonts w:ascii="Cambria Math" w:hAnsi="Cambria Math"/>
            </w:rPr>
            <m:t xml:space="preserve">                                                            </m:t>
          </m:r>
          <m:d>
            <m:dPr>
              <m:ctrlPr>
                <w:rPr>
                  <w:rFonts w:ascii="Cambria Math" w:hAnsi="Cambria Math"/>
                </w:rPr>
              </m:ctrlPr>
            </m:dPr>
            <m:e>
              <m:r>
                <w:rPr>
                  <w:rFonts w:ascii="Cambria Math" w:hAnsi="Cambria Math"/>
                </w:rPr>
                <m:t>3</m:t>
              </m:r>
            </m:e>
          </m:d>
        </m:oMath>
      </m:oMathPara>
    </w:p>
    <w:p w:rsidR="00982F33" w:rsidRDefault="005F27A5">
      <w:pPr>
        <w:spacing w:line="432" w:lineRule="auto"/>
      </w:pPr>
      <w:r>
        <w:rPr>
          <w:rFonts w:ascii="바탕" w:eastAsia="바탕" w:hAnsi="바탕" w:hint="eastAsia"/>
          <w:spacing w:val="-6"/>
          <w:kern w:val="0"/>
          <w:szCs w:val="20"/>
        </w:rPr>
        <w:t>최근 거래된 주가는 해당월말 거래일의 주가를 의미하녀,</w:t>
      </w:r>
      <w:r>
        <w:rPr>
          <w:rFonts w:ascii="바탕" w:eastAsia="바탕" w:hAnsi="바탕"/>
          <w:spacing w:val="-6"/>
          <w:kern w:val="0"/>
          <w:szCs w:val="20"/>
        </w:rPr>
        <w:t xml:space="preserve"> </w:t>
      </w:r>
      <w:r w:rsidR="00616B04">
        <w:rPr>
          <w:rFonts w:ascii="바탕" w:eastAsia="바탕" w:hAnsi="바탕"/>
          <w:spacing w:val="-6"/>
          <w:kern w:val="0"/>
          <w:szCs w:val="20"/>
        </w:rPr>
        <w:t xml:space="preserve">영(zero) 수익률의 빈도수는 1년간의 일별 수익률 자료가 200개 이상인 기업 중 일별 수익률이 0%인 날짜의 개수를 나타낸다. </w:t>
      </w:r>
    </w:p>
    <w:p w:rsidR="00982F33" w:rsidRDefault="005F27A5">
      <w:pPr>
        <w:spacing w:line="432" w:lineRule="auto"/>
        <w:sectPr w:rsidR="00982F33">
          <w:footerReference w:type="default" r:id="rId7"/>
          <w:pgSz w:w="11906" w:h="16838"/>
          <w:pgMar w:top="1440" w:right="1440" w:bottom="1440" w:left="1440" w:header="0" w:footer="1191" w:gutter="0"/>
          <w:cols w:space="720"/>
          <w:formProt w:val="0"/>
          <w:docGrid w:linePitch="312" w:charSpace="1638"/>
        </w:sectPr>
      </w:pPr>
      <w:r>
        <w:rPr>
          <w:rFonts w:ascii="바탕" w:eastAsia="바탕" w:hAnsi="바탕"/>
          <w:spacing w:val="-6"/>
          <w:kern w:val="0"/>
          <w:szCs w:val="20"/>
        </w:rPr>
        <w:t xml:space="preserve">      </w:t>
      </w:r>
      <w:r w:rsidR="00616B04">
        <w:rPr>
          <w:rFonts w:ascii="바탕" w:eastAsia="바탕" w:hAnsi="바탕"/>
          <w:spacing w:val="-6"/>
          <w:kern w:val="0"/>
          <w:szCs w:val="20"/>
        </w:rPr>
        <w:t xml:space="preserve">기업에 대한 새로운 정보가 알려졌다 하더라도 그 정보의 불확실성이 크다면 투자자는 해당 정보를 주가에 온전히 반영하는데 주저하게 될 것이다. 이에 Zhang(2006)은 좋은 뉴스 이후에는 underpricing, 나쁜 뉴스 이후에는 overpricing 현상이 나타나 결과적으로 drift 가 발생할 것이라 주장하며 정보의 불확실성의 대용변수로 애널리스트 투자의견의 수(number of analyst following)와 현금흐름의 변동성(cashflow volatility)를 제시한다. 애널리스트 투자의견의 수가 많을 수록, 현금흐름의 변동성이 작을수록 정보의 불확실성은 작아질 것이며 mispricing 의 크기를 줄일 것이다. 구체적으로 애널리스트 투자의견의 수는 개별 기업별 향후 3개월 투자의견의 수를 나타내며, 현금흐름 변동성은 개별 기업별로 과거 4년동안의 연간 영업현금흐름(operating cashflow)을 총자산(total asset)으로 나눈 값의 표준편차를 뜻한다. 이와 같은 대용변수에 대한 기초통계량은 &lt;표 2&gt;로 정리하였다. </w:t>
      </w:r>
    </w:p>
    <w:p w:rsidR="00922E31" w:rsidRDefault="00922E31" w:rsidP="00922E31">
      <w:pPr>
        <w:widowControl/>
        <w:spacing w:after="160" w:line="259" w:lineRule="auto"/>
        <w:rPr>
          <w:rFonts w:ascii="바탕" w:eastAsia="바탕" w:hAnsi="바탕"/>
          <w:b/>
          <w:bCs/>
          <w:spacing w:val="-6"/>
          <w:kern w:val="0"/>
          <w:sz w:val="6"/>
          <w:szCs w:val="20"/>
        </w:rPr>
      </w:pPr>
    </w:p>
    <w:p w:rsidR="00922E31" w:rsidRDefault="00922E31" w:rsidP="00F93D89">
      <w:pPr>
        <w:widowControl/>
        <w:spacing w:after="160" w:line="259" w:lineRule="auto"/>
        <w:jc w:val="center"/>
        <w:rPr>
          <w:rFonts w:ascii="바탕" w:eastAsia="바탕" w:hAnsi="바탕" w:hint="eastAsia"/>
          <w:b/>
          <w:bCs/>
          <w:spacing w:val="-6"/>
          <w:kern w:val="0"/>
          <w:szCs w:val="20"/>
        </w:rPr>
      </w:pPr>
      <w:r>
        <w:rPr>
          <w:rFonts w:ascii="바탕" w:eastAsia="바탕" w:hAnsi="바탕"/>
          <w:b/>
          <w:bCs/>
          <w:spacing w:val="-6"/>
          <w:kern w:val="0"/>
          <w:szCs w:val="20"/>
        </w:rPr>
        <w:t>&lt;표</w:t>
      </w:r>
      <w:r w:rsidR="00C73857">
        <w:rPr>
          <w:rFonts w:ascii="바탕" w:eastAsia="바탕" w:hAnsi="바탕"/>
          <w:b/>
          <w:bCs/>
          <w:spacing w:val="-6"/>
          <w:kern w:val="0"/>
          <w:szCs w:val="20"/>
        </w:rPr>
        <w:t xml:space="preserve"> 2</w:t>
      </w:r>
      <w:r>
        <w:rPr>
          <w:rFonts w:ascii="바탕" w:eastAsia="바탕" w:hAnsi="바탕"/>
          <w:b/>
          <w:bCs/>
          <w:spacing w:val="-6"/>
          <w:kern w:val="0"/>
          <w:szCs w:val="20"/>
        </w:rPr>
        <w:t xml:space="preserve">&gt; </w:t>
      </w:r>
      <w:r w:rsidR="00C73857">
        <w:rPr>
          <w:rFonts w:ascii="바탕" w:eastAsia="바탕" w:hAnsi="바탕" w:hint="eastAsia"/>
          <w:b/>
          <w:bCs/>
          <w:spacing w:val="-6"/>
          <w:kern w:val="0"/>
          <w:szCs w:val="20"/>
        </w:rPr>
        <w:t>차익거래 제한 요인(limit-to-arbitrage)변수 간의 상관관계</w:t>
      </w:r>
    </w:p>
    <w:p w:rsidR="00982F33" w:rsidRDefault="00F93D89">
      <w:pPr>
        <w:spacing w:line="432" w:lineRule="auto"/>
        <w:rPr>
          <w:rFonts w:ascii="바탕" w:eastAsia="바탕" w:hAnsi="바탕" w:hint="eastAsia"/>
          <w:spacing w:val="-6"/>
          <w:szCs w:val="20"/>
        </w:rPr>
      </w:pPr>
      <w:r>
        <w:rPr>
          <w:rFonts w:ascii="바탕" w:eastAsia="바탕" w:hAnsi="바탕" w:hint="eastAsia"/>
          <w:spacing w:val="-6"/>
          <w:szCs w:val="20"/>
        </w:rPr>
        <w:t>IV</w:t>
      </w:r>
      <w:r>
        <w:rPr>
          <w:rFonts w:ascii="바탕" w:eastAsia="바탕" w:hAnsi="바탕"/>
          <w:spacing w:val="-6"/>
          <w:szCs w:val="20"/>
        </w:rPr>
        <w:t xml:space="preserve">OL </w:t>
      </w:r>
      <w:r>
        <w:rPr>
          <w:rFonts w:ascii="바탕" w:eastAsia="바탕" w:hAnsi="바탕" w:hint="eastAsia"/>
          <w:spacing w:val="-6"/>
          <w:szCs w:val="20"/>
        </w:rPr>
        <w:t xml:space="preserve">은 </w:t>
      </w:r>
      <w:r w:rsidRPr="00F93D89">
        <w:rPr>
          <w:rFonts w:ascii="바탕" w:eastAsia="바탕" w:hAnsi="바탕"/>
          <w:spacing w:val="-6"/>
          <w:szCs w:val="20"/>
        </w:rPr>
        <w:t>3년간의 월별 수익률을 이용한 시장</w:t>
      </w:r>
      <w:r w:rsidRPr="00F93D89">
        <w:rPr>
          <w:rFonts w:ascii="바탕" w:eastAsia="바탕" w:hAnsi="바탕" w:hint="eastAsia"/>
          <w:spacing w:val="-6"/>
          <w:szCs w:val="20"/>
        </w:rPr>
        <w:t xml:space="preserve"> </w:t>
      </w:r>
      <w:r w:rsidRPr="00F93D89">
        <w:rPr>
          <w:rFonts w:ascii="바탕" w:eastAsia="바탕" w:hAnsi="바탕"/>
          <w:spacing w:val="-6"/>
          <w:szCs w:val="20"/>
        </w:rPr>
        <w:t xml:space="preserve">모형(유가증권시장) 잔차의 </w:t>
      </w:r>
      <w:r>
        <w:rPr>
          <w:rFonts w:ascii="바탕" w:eastAsia="바탕" w:hAnsi="바탕"/>
          <w:spacing w:val="-6"/>
          <w:szCs w:val="20"/>
        </w:rPr>
        <w:t>표준편차, TVO</w:t>
      </w:r>
      <w:r>
        <w:rPr>
          <w:rFonts w:ascii="바탕" w:eastAsia="바탕" w:hAnsi="바탕" w:hint="eastAsia"/>
          <w:spacing w:val="-6"/>
          <w:szCs w:val="20"/>
        </w:rPr>
        <w:t>L 은 12개월간의 월별 거래대금의 합,</w:t>
      </w:r>
      <w:r>
        <w:rPr>
          <w:rFonts w:ascii="바탕" w:eastAsia="바탕" w:hAnsi="바탕"/>
          <w:spacing w:val="-6"/>
          <w:szCs w:val="20"/>
        </w:rPr>
        <w:t xml:space="preserve"> ILLIQ </w:t>
      </w:r>
      <w:r>
        <w:rPr>
          <w:rFonts w:ascii="바탕" w:eastAsia="바탕" w:hAnsi="바탕" w:hint="eastAsia"/>
          <w:spacing w:val="-6"/>
          <w:szCs w:val="20"/>
        </w:rPr>
        <w:t>는 Amihu</w:t>
      </w:r>
      <w:r>
        <w:rPr>
          <w:rFonts w:ascii="바탕" w:eastAsia="바탕" w:hAnsi="바탕"/>
          <w:spacing w:val="-6"/>
          <w:szCs w:val="20"/>
        </w:rPr>
        <w:t xml:space="preserve">d illiquidity, PRC </w:t>
      </w:r>
      <w:r>
        <w:rPr>
          <w:rFonts w:ascii="바탕" w:eastAsia="바탕" w:hAnsi="바탕" w:hint="eastAsia"/>
          <w:spacing w:val="-6"/>
          <w:szCs w:val="20"/>
        </w:rPr>
        <w:t>는 최근의 주가,</w:t>
      </w:r>
      <w:r>
        <w:rPr>
          <w:rFonts w:ascii="바탕" w:eastAsia="바탕" w:hAnsi="바탕"/>
          <w:spacing w:val="-6"/>
          <w:szCs w:val="20"/>
        </w:rPr>
        <w:t xml:space="preserve"> ZERO</w:t>
      </w:r>
      <w:r>
        <w:rPr>
          <w:rFonts w:ascii="바탕" w:eastAsia="바탕" w:hAnsi="바탕" w:hint="eastAsia"/>
          <w:spacing w:val="-6"/>
          <w:szCs w:val="20"/>
        </w:rPr>
        <w:t>는 년간 영(</w:t>
      </w:r>
      <w:r>
        <w:rPr>
          <w:rFonts w:ascii="바탕" w:eastAsia="바탕" w:hAnsi="바탕"/>
          <w:spacing w:val="-6"/>
          <w:szCs w:val="20"/>
        </w:rPr>
        <w:t>0)</w:t>
      </w:r>
      <w:r>
        <w:rPr>
          <w:rFonts w:ascii="바탕" w:eastAsia="바탕" w:hAnsi="바탕" w:hint="eastAsia"/>
          <w:spacing w:val="-6"/>
          <w:szCs w:val="20"/>
        </w:rPr>
        <w:t>의 수익률의 개수,</w:t>
      </w:r>
      <w:r>
        <w:rPr>
          <w:rFonts w:ascii="바탕" w:eastAsia="바탕" w:hAnsi="바탕"/>
          <w:spacing w:val="-6"/>
          <w:szCs w:val="20"/>
        </w:rPr>
        <w:t xml:space="preserve"> ACOV</w:t>
      </w:r>
      <w:r>
        <w:rPr>
          <w:rFonts w:ascii="바탕" w:eastAsia="바탕" w:hAnsi="바탕" w:hint="eastAsia"/>
          <w:spacing w:val="-6"/>
          <w:szCs w:val="20"/>
        </w:rPr>
        <w:t xml:space="preserve">는 </w:t>
      </w:r>
      <w:r w:rsidR="00534F4F" w:rsidRPr="00534F4F">
        <w:rPr>
          <w:rFonts w:ascii="바탕" w:eastAsia="바탕" w:hAnsi="바탕"/>
          <w:spacing w:val="-6"/>
          <w:szCs w:val="20"/>
        </w:rPr>
        <w:t xml:space="preserve">개별 기업별 향후 3개월 투자의견의 </w:t>
      </w:r>
      <w:r w:rsidR="00534F4F">
        <w:rPr>
          <w:rFonts w:ascii="바탕" w:eastAsia="바탕" w:hAnsi="바탕"/>
          <w:spacing w:val="-6"/>
          <w:szCs w:val="20"/>
        </w:rPr>
        <w:t>수</w:t>
      </w:r>
      <w:r w:rsidR="00534F4F" w:rsidRPr="00534F4F">
        <w:rPr>
          <w:rFonts w:ascii="바탕" w:eastAsia="바탕" w:hAnsi="바탕" w:hint="eastAsia"/>
          <w:spacing w:val="-6"/>
          <w:szCs w:val="20"/>
        </w:rPr>
        <w:t>,</w:t>
      </w:r>
      <w:r w:rsidR="00534F4F">
        <w:rPr>
          <w:rFonts w:ascii="바탕" w:eastAsia="바탕" w:hAnsi="바탕"/>
          <w:spacing w:val="-6"/>
          <w:szCs w:val="20"/>
        </w:rPr>
        <w:t xml:space="preserve"> CVOL </w:t>
      </w:r>
      <w:r w:rsidR="00534F4F">
        <w:rPr>
          <w:rFonts w:ascii="바탕" w:eastAsia="바탕" w:hAnsi="바탕" w:hint="eastAsia"/>
          <w:spacing w:val="-6"/>
          <w:szCs w:val="20"/>
        </w:rPr>
        <w:t>과거</w:t>
      </w:r>
      <w:r w:rsidR="00534F4F" w:rsidRPr="00534F4F">
        <w:rPr>
          <w:rFonts w:ascii="바탕" w:eastAsia="바탕" w:hAnsi="바탕"/>
          <w:spacing w:val="-6"/>
          <w:szCs w:val="20"/>
        </w:rPr>
        <w:t>4년동안의 연간 영업현금흐름(operating cashflow)을 총자산(total asset)으로 나눈 값의 표준편차를 뜻한다</w:t>
      </w:r>
    </w:p>
    <w:tbl>
      <w:tblPr>
        <w:tblW w:w="13300" w:type="dxa"/>
        <w:tblInd w:w="93" w:type="dxa"/>
        <w:tblBorders>
          <w:bottom w:val="single" w:sz="4" w:space="0" w:color="00000A"/>
          <w:insideH w:val="single" w:sz="4" w:space="0" w:color="00000A"/>
        </w:tblBorders>
        <w:tblLook w:val="0000" w:firstRow="0" w:lastRow="0" w:firstColumn="0" w:lastColumn="0" w:noHBand="0" w:noVBand="0"/>
      </w:tblPr>
      <w:tblGrid>
        <w:gridCol w:w="4202"/>
        <w:gridCol w:w="1299"/>
        <w:gridCol w:w="1299"/>
        <w:gridCol w:w="1301"/>
        <w:gridCol w:w="1300"/>
        <w:gridCol w:w="1300"/>
        <w:gridCol w:w="1300"/>
        <w:gridCol w:w="1299"/>
      </w:tblGrid>
      <w:tr w:rsidR="00982F33">
        <w:trPr>
          <w:trHeight w:val="300"/>
        </w:trPr>
        <w:tc>
          <w:tcPr>
            <w:tcW w:w="4200"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c>
          <w:tcPr>
            <w:tcW w:w="1299"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c>
          <w:tcPr>
            <w:tcW w:w="1299"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c>
          <w:tcPr>
            <w:tcW w:w="1301"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c>
          <w:tcPr>
            <w:tcW w:w="1300"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c>
          <w:tcPr>
            <w:tcW w:w="1300"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c>
          <w:tcPr>
            <w:tcW w:w="1300"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c>
          <w:tcPr>
            <w:tcW w:w="1299" w:type="dxa"/>
            <w:tcBorders>
              <w:bottom w:val="single" w:sz="4" w:space="0" w:color="00000A"/>
            </w:tcBorders>
            <w:shd w:val="clear" w:color="auto" w:fill="FFFFFF"/>
            <w:vAlign w:val="bottom"/>
          </w:tcPr>
          <w:p w:rsidR="00982F33" w:rsidRDefault="00616B04">
            <w:pPr>
              <w:widowControl/>
              <w:rPr>
                <w:rFonts w:ascii="Times New Roman" w:eastAsia="Times New Roman" w:hAnsi="Times New Roman"/>
                <w:color w:val="000000"/>
                <w:kern w:val="0"/>
                <w:sz w:val="21"/>
                <w:szCs w:val="21"/>
              </w:rPr>
            </w:pPr>
            <w:r>
              <w:rPr>
                <w:rFonts w:ascii="Times New Roman" w:eastAsia="Times New Roman" w:hAnsi="Times New Roman"/>
                <w:color w:val="000000"/>
                <w:kern w:val="0"/>
                <w:sz w:val="21"/>
                <w:szCs w:val="21"/>
              </w:rPr>
              <w:t> </w:t>
            </w: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rPr>
            </w:pP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IVOL</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TVOL</w:t>
            </w:r>
          </w:p>
        </w:tc>
        <w:tc>
          <w:tcPr>
            <w:tcW w:w="1301"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ILLIQ</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PRC</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ZERO</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ACOV</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CVOL</w:t>
            </w: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 </w:t>
            </w:r>
          </w:p>
        </w:tc>
        <w:tc>
          <w:tcPr>
            <w:tcW w:w="9098" w:type="dxa"/>
            <w:gridSpan w:val="7"/>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Panel B: Correlation coefficients</w:t>
            </w: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IVOL</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1</w:t>
            </w:r>
          </w:p>
        </w:tc>
        <w:tc>
          <w:tcPr>
            <w:tcW w:w="1299"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1"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299"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TVOL</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-0.11</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1</w:t>
            </w:r>
          </w:p>
        </w:tc>
        <w:tc>
          <w:tcPr>
            <w:tcW w:w="1301"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299"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ILLIQ</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0.01</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-0.01</w:t>
            </w:r>
          </w:p>
        </w:tc>
        <w:tc>
          <w:tcPr>
            <w:tcW w:w="1301"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1</w:t>
            </w: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299"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PRC</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-0.14</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0.23</w:t>
            </w:r>
          </w:p>
        </w:tc>
        <w:tc>
          <w:tcPr>
            <w:tcW w:w="1301"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0.00</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1</w:t>
            </w: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299"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ZERO</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-0.03</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-0.22</w:t>
            </w:r>
          </w:p>
        </w:tc>
        <w:tc>
          <w:tcPr>
            <w:tcW w:w="1301"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0.08</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-0.09</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1</w:t>
            </w:r>
          </w:p>
        </w:tc>
        <w:tc>
          <w:tcPr>
            <w:tcW w:w="1300"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c>
          <w:tcPr>
            <w:tcW w:w="1299"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ACOV</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-0.33</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0.51</w:t>
            </w:r>
          </w:p>
        </w:tc>
        <w:tc>
          <w:tcPr>
            <w:tcW w:w="1301"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-0.01</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0.15</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-0.24</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1</w:t>
            </w:r>
          </w:p>
        </w:tc>
        <w:tc>
          <w:tcPr>
            <w:tcW w:w="1299" w:type="dxa"/>
            <w:tcBorders>
              <w:top w:val="single" w:sz="4" w:space="0" w:color="00000A"/>
              <w:bottom w:val="single" w:sz="4" w:space="0" w:color="00000A"/>
            </w:tcBorders>
            <w:shd w:val="clear" w:color="auto" w:fill="FFFFFF"/>
            <w:vAlign w:val="bottom"/>
          </w:tcPr>
          <w:p w:rsidR="00982F33" w:rsidRDefault="00982F33">
            <w:pPr>
              <w:widowControl/>
              <w:jc w:val="center"/>
              <w:rPr>
                <w:rFonts w:ascii="Times New Roman" w:eastAsia="Times New Roman" w:hAnsi="Times New Roman"/>
                <w:color w:val="000000"/>
                <w:kern w:val="0"/>
                <w:sz w:val="21"/>
                <w:szCs w:val="21"/>
                <w:lang w:eastAsia="en-US"/>
              </w:rPr>
            </w:pPr>
          </w:p>
        </w:tc>
      </w:tr>
      <w:tr w:rsidR="00982F33">
        <w:trPr>
          <w:trHeight w:val="300"/>
        </w:trPr>
        <w:tc>
          <w:tcPr>
            <w:tcW w:w="42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CVOL</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0.02</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-0.01</w:t>
            </w:r>
          </w:p>
        </w:tc>
        <w:tc>
          <w:tcPr>
            <w:tcW w:w="1301"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0.00</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-0.02</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0.00</w:t>
            </w:r>
          </w:p>
        </w:tc>
        <w:tc>
          <w:tcPr>
            <w:tcW w:w="1300"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-0.03</w:t>
            </w:r>
          </w:p>
        </w:tc>
        <w:tc>
          <w:tcPr>
            <w:tcW w:w="1299" w:type="dxa"/>
            <w:tcBorders>
              <w:top w:val="single" w:sz="4" w:space="0" w:color="00000A"/>
              <w:bottom w:val="single" w:sz="4" w:space="0" w:color="00000A"/>
            </w:tcBorders>
            <w:shd w:val="clear" w:color="auto" w:fill="FFFFFF"/>
            <w:vAlign w:val="bottom"/>
          </w:tcPr>
          <w:p w:rsidR="00982F33" w:rsidRDefault="00616B04">
            <w:pPr>
              <w:widowControl/>
              <w:jc w:val="center"/>
              <w:rPr>
                <w:rFonts w:ascii="Times New Roman" w:eastAsia="Times New Roman" w:hAnsi="Times New Roman"/>
                <w:color w:val="000000"/>
                <w:kern w:val="0"/>
                <w:sz w:val="21"/>
                <w:szCs w:val="21"/>
                <w:lang w:eastAsia="en-US"/>
              </w:rPr>
            </w:pPr>
            <w:r>
              <w:rPr>
                <w:rFonts w:ascii="Times New Roman" w:eastAsia="Times New Roman" w:hAnsi="Times New Roman"/>
                <w:color w:val="000000"/>
                <w:kern w:val="0"/>
                <w:sz w:val="21"/>
                <w:szCs w:val="21"/>
                <w:lang w:eastAsia="en-US"/>
              </w:rPr>
              <w:t>1</w:t>
            </w:r>
          </w:p>
        </w:tc>
      </w:tr>
    </w:tbl>
    <w:p w:rsidR="00982F33" w:rsidRDefault="00982F33">
      <w:pPr>
        <w:spacing w:line="432" w:lineRule="auto"/>
        <w:rPr>
          <w:rFonts w:ascii="바탕" w:eastAsia="바탕" w:hAnsi="바탕"/>
          <w:spacing w:val="-6"/>
          <w:szCs w:val="20"/>
        </w:rPr>
        <w:sectPr w:rsidR="00982F33">
          <w:footerReference w:type="default" r:id="rId8"/>
          <w:pgSz w:w="16838" w:h="11906" w:orient="landscape"/>
          <w:pgMar w:top="1440" w:right="1440" w:bottom="1440" w:left="1440" w:header="0" w:footer="1191" w:gutter="0"/>
          <w:cols w:space="720"/>
          <w:formProt w:val="0"/>
          <w:docGrid w:linePitch="360" w:charSpace="8192"/>
        </w:sectPr>
      </w:pPr>
    </w:p>
    <w:p w:rsidR="00982F33" w:rsidRDefault="00616B04">
      <w:pPr>
        <w:widowControl/>
        <w:spacing w:after="240" w:line="276" w:lineRule="auto"/>
        <w:rPr>
          <w:rFonts w:ascii="바탕" w:eastAsia="바탕" w:hAnsi="바탕"/>
          <w:b/>
          <w:spacing w:val="-6"/>
          <w:kern w:val="0"/>
          <w:sz w:val="28"/>
          <w:szCs w:val="28"/>
        </w:rPr>
      </w:pPr>
      <w:r>
        <w:rPr>
          <w:rFonts w:ascii="바탕" w:eastAsia="바탕" w:hAnsi="바탕"/>
          <w:b/>
          <w:spacing w:val="-6"/>
          <w:kern w:val="0"/>
          <w:sz w:val="28"/>
          <w:szCs w:val="28"/>
        </w:rPr>
        <w:lastRenderedPageBreak/>
        <w:t>Ⅲ. 실증분석 결과</w:t>
      </w:r>
    </w:p>
    <w:p w:rsidR="00982F33" w:rsidRDefault="00616B04">
      <w:pPr>
        <w:spacing w:line="432" w:lineRule="auto"/>
      </w:pPr>
      <w:r>
        <w:rPr>
          <w:rFonts w:ascii="바탕" w:eastAsia="바탕" w:hAnsi="바탕"/>
          <w:spacing w:val="-6"/>
          <w:kern w:val="0"/>
          <w:szCs w:val="28"/>
        </w:rPr>
        <w:t xml:space="preserve">모멘텀 투자전략(momentum strategies)에 따른 포트폴리오별 </w:t>
      </w:r>
      <w:r>
        <w:rPr>
          <w:rFonts w:ascii="바탕" w:eastAsia="바탕" w:hAnsi="바탕" w:cs="바탕"/>
          <w:spacing w:val="-6"/>
          <w:kern w:val="0"/>
          <w:szCs w:val="20"/>
        </w:rPr>
        <w:t>무위험수익률을 초과하는 월 평균 수익률</w:t>
      </w:r>
      <w:r>
        <w:rPr>
          <w:rFonts w:ascii="바탕" w:eastAsia="바탕" w:hAnsi="바탕"/>
          <w:spacing w:val="-6"/>
          <w:kern w:val="0"/>
          <w:szCs w:val="28"/>
        </w:rPr>
        <w:t xml:space="preserve">(excess return)(%)을 &lt;표 3&gt;에 보고하였으며, 각 포트폴리오별 수익률은 </w:t>
      </w:r>
      <w:r>
        <w:rPr>
          <w:rFonts w:ascii="바탕" w:eastAsia="바탕" w:hAnsi="바탕" w:cs="바탕"/>
          <w:spacing w:val="-6"/>
          <w:kern w:val="0"/>
          <w:szCs w:val="20"/>
        </w:rPr>
        <w:t>시가총액에 따라 가중평균(value-weighted)한</w:t>
      </w:r>
      <w:r>
        <w:rPr>
          <w:rFonts w:ascii="바탕" w:eastAsia="바탕" w:hAnsi="바탕"/>
          <w:spacing w:val="-6"/>
          <w:kern w:val="0"/>
          <w:szCs w:val="28"/>
        </w:rPr>
        <w:t xml:space="preserve"> 월 평균 수익률이다. 각 주식의</w:t>
      </w:r>
      <w:r>
        <w:rPr>
          <w:rFonts w:ascii="바탕" w:eastAsia="바탕" w:hAnsi="바탕" w:cs="바탕"/>
          <w:spacing w:val="-6"/>
          <w:kern w:val="0"/>
          <w:szCs w:val="20"/>
        </w:rPr>
        <w:t xml:space="preserve"> 월별 수익률의 크기에 따라 4개의 Formation Period (3, 6, 9, 12개월) 각각에 대하여 5개의 포트폴리오를 구성한 후, 3, 6, 9, 12개월 보유한 포트폴리오의 월 평균 수익률을 Panel A와 Panel B에 보고하였다. 또한 과거 수익률이 가장 높은 종목(winner)을 매입하고 가장 낮은 종목(loser)를 매도하는 무비용 포트폴리오(WML)의 수익률을 보고하였다. Panel A의 경우 1981년 1월부터 2015년 12월까지를 대상으로 모멘텀 투자전략의 수익률을 살펴보았으며, Panel B의 경우 2001년 1월부터 2015년 12월까지를 표본기간으로 삼았다. </w:t>
      </w:r>
    </w:p>
    <w:p w:rsidR="00982F33" w:rsidRDefault="00616B04">
      <w:pPr>
        <w:spacing w:line="432" w:lineRule="auto"/>
        <w:ind w:firstLine="376"/>
        <w:rPr>
          <w:rFonts w:ascii="바탕" w:eastAsia="바탕" w:hAnsi="바탕" w:cs="바탕"/>
          <w:spacing w:val="-6"/>
          <w:kern w:val="0"/>
          <w:szCs w:val="20"/>
        </w:rPr>
      </w:pPr>
      <w:r>
        <w:rPr>
          <w:rFonts w:ascii="바탕" w:eastAsia="바탕" w:hAnsi="바탕" w:cs="바탕"/>
          <w:spacing w:val="-6"/>
          <w:kern w:val="0"/>
          <w:szCs w:val="20"/>
        </w:rPr>
        <w:t xml:space="preserve">Panel A의 분석결과, 모든 모멘텀 투자전략에서 무비용 포트폴리오 (WML)의 수익률이 통계적으로 유의한 양의 값을 갖지 않았다. 예를 들어, J=3/K=9에서 패자(loser) 포트폴리오의 수익률은 1.15% 이지만, 승자(winner) 포트폴리오의 수익률은 1.40%로 패자 포트폴리오에 비해 높지만 무비용 포트폴리오의 수익률은 0.25% (t=1.14)로 통계적으로 유의하지 않았다. 이는 기존의 국내 주식시장을 대상으로 한 연구 중 2000년대 이전의 표본기간을 포함한 연구에서 모멘텀 투자전략이 유의한 양의 수익률을 얻지 못함을 보인것과 일치하는 결과이다. 반면, 2001년부터 2015년의 표본기간에서는 16개 중 10개의 모멘텀 투자전략에서 통계적으로 유의한 양의 값을 보였다. 예를 들어, J=9/K=6에서 패자(lower) 포트폴리오의 수익률은 0.76% 이고, 승자(winner) 포트폴리오의 수익률은 1.93%로 과거 수익률이 높은 종목일수록 월 평균 수익률이 일정하게 증가하는 패턴을 보였으며, 과거 수익률을 기반으로 한 무비용 포트폴리오(WML)의 수익률은 1.16% (t=2.35)로 통계적으로 유의한 양의 수익률을 나타냈다. 이는 외환 위기 이후에는 국내 주식시장에서도 선진국시장과 마찬가지로 모멘텀 현상이 나타난다는 기존 문헌의 결과와 일치한다. &lt;표 3&gt;의 분석결과는 2001년 이후의 기간에서 과거 수익률을 바탕으로 한 모멘텀 투자전략을 통해 통계적으로 유의한 양의 수익률을 얻을 수 있음을 보여주고 있다. </w:t>
      </w:r>
    </w:p>
    <w:p w:rsidR="00982F33" w:rsidRDefault="00616B04">
      <w:pPr>
        <w:spacing w:line="432" w:lineRule="auto"/>
        <w:ind w:firstLine="376"/>
        <w:rPr>
          <w:rFonts w:ascii="바탕" w:eastAsia="바탕" w:hAnsi="바탕" w:cs="바탕"/>
          <w:spacing w:val="-6"/>
          <w:kern w:val="0"/>
          <w:szCs w:val="20"/>
        </w:rPr>
      </w:pPr>
      <w:r>
        <w:rPr>
          <w:rFonts w:ascii="바탕" w:eastAsia="바탕" w:hAnsi="바탕" w:cs="바탕"/>
          <w:spacing w:val="-6"/>
          <w:kern w:val="0"/>
          <w:szCs w:val="20"/>
        </w:rPr>
        <w:t xml:space="preserve">&lt;표 4&gt;는 동일한 모멘텀 투자 전략에 대해 동일 가중(equally-weighted)한 월평균 수익률이다. &lt;표 4&gt;의 결과는 &lt;표 3&gt;의 결과와 마찬가지로 2001년 이전의 기간을 포함할 경우 16개의 WML 포트폴리오 중 무려 6개에서 음(-)의 수익률을 보이며 유의한 무위험 수익률을 나타내는 경우가 존재하지 않는다. 패널 B의 2001년부터 2015년까지의 결과를 살펴보면, 앞서 가중평균한 경우와 마찬가지로 16개의 WML 포트폴리오중 10개에서 유의한 양(+)의 수익률을 보이며 유의하지 않은 경우에도 대체로 양의 수익율을 보여 &lt;표 3&gt;의 결과와 큰 차이를 보이지 않는다. 따라서 이후로는 가중평균 포트폴리오의 경우만을 다루도록 한다. </w:t>
      </w:r>
      <w:r>
        <w:br w:type="page"/>
      </w:r>
    </w:p>
    <w:p w:rsidR="00982F33" w:rsidRDefault="00616B04">
      <w:pPr>
        <w:widowControl/>
        <w:spacing w:line="259" w:lineRule="auto"/>
        <w:jc w:val="center"/>
        <w:rPr>
          <w:rFonts w:ascii="바탕" w:eastAsia="바탕" w:hAnsi="바탕"/>
          <w:b/>
          <w:spacing w:val="-6"/>
          <w:szCs w:val="20"/>
        </w:rPr>
      </w:pPr>
      <w:r>
        <w:rPr>
          <w:rFonts w:ascii="바탕" w:eastAsia="바탕" w:hAnsi="바탕"/>
          <w:b/>
          <w:spacing w:val="-6"/>
          <w:szCs w:val="20"/>
        </w:rPr>
        <w:lastRenderedPageBreak/>
        <w:t>&lt;표 3&gt;모멘텀 투자전략의 가중평균(value-weighted) 월 평균 수익률(excess return)</w:t>
      </w:r>
    </w:p>
    <w:p w:rsidR="00982F33" w:rsidRDefault="00982F33">
      <w:pPr>
        <w:rPr>
          <w:rFonts w:ascii="바탕" w:eastAsia="바탕" w:hAnsi="바탕"/>
          <w:spacing w:val="-6"/>
          <w:szCs w:val="20"/>
        </w:rPr>
      </w:pPr>
    </w:p>
    <w:p w:rsidR="00982F33" w:rsidRDefault="00616B04">
      <w:pPr>
        <w:spacing w:after="240" w:line="276" w:lineRule="auto"/>
        <w:rPr>
          <w:rFonts w:ascii="바탕" w:eastAsia="바탕" w:hAnsi="바탕" w:cs="바탕"/>
          <w:spacing w:val="-6"/>
          <w:kern w:val="0"/>
          <w:szCs w:val="20"/>
        </w:rPr>
      </w:pPr>
      <w:r>
        <w:rPr>
          <w:rFonts w:ascii="바탕" w:eastAsia="바탕" w:hAnsi="바탕" w:cs="바탕"/>
          <w:spacing w:val="-6"/>
          <w:kern w:val="0"/>
          <w:szCs w:val="20"/>
        </w:rPr>
        <w:t xml:space="preserve">본 표는 2001년부터 2015년까지 KOSPI시장에 속한 종목의 월별 수익률의 크기에 따라 Formation Period J=3, 6, 9, 12개월 각각에 대하여 4개의 포트폴리오를 구성한 후, 과거 수익률이 가장 높은 종목(winner)을 매입하고 가장 낮은 종목(loser)를 매도하는 무비용 포트폴리오(WML)의 수익률을 보유기간 (holding period) K=3, 6, 9, 12개월로 나누어 월 평균수익률(excess return)(%)을 보고하고 있다. Panel A와 Panel 는 각각 1981년부터 2015년까지의 표본기간과 2001년부터 2015년까지의 표본기간을 대상으로 각 모멘텀 전략에 따른 월 평균 수익률을 나타낸다. [ ] 안의 값은 t-통계량이다.   </w:t>
      </w:r>
    </w:p>
    <w:p w:rsidR="00982F33" w:rsidRDefault="00982F33">
      <w:pPr>
        <w:jc w:val="center"/>
        <w:rPr>
          <w:rFonts w:ascii="바탕" w:eastAsia="바탕" w:hAnsi="바탕" w:cs="바탕"/>
          <w:spacing w:val="-6"/>
          <w:kern w:val="0"/>
          <w:sz w:val="10"/>
          <w:szCs w:val="10"/>
        </w:rPr>
      </w:pPr>
    </w:p>
    <w:tbl>
      <w:tblPr>
        <w:tblW w:w="9923" w:type="dxa"/>
        <w:jc w:val="center"/>
        <w:tblBorders>
          <w:top w:val="single" w:sz="4" w:space="0" w:color="00000A"/>
        </w:tblBorders>
        <w:tblLook w:val="0000" w:firstRow="0" w:lastRow="0" w:firstColumn="0" w:lastColumn="0" w:noHBand="0" w:noVBand="0"/>
      </w:tblPr>
      <w:tblGrid>
        <w:gridCol w:w="826"/>
        <w:gridCol w:w="822"/>
        <w:gridCol w:w="788"/>
        <w:gridCol w:w="787"/>
        <w:gridCol w:w="789"/>
        <w:gridCol w:w="793"/>
        <w:gridCol w:w="236"/>
        <w:gridCol w:w="771"/>
        <w:gridCol w:w="848"/>
        <w:gridCol w:w="721"/>
        <w:gridCol w:w="849"/>
        <w:gridCol w:w="845"/>
        <w:gridCol w:w="848"/>
      </w:tblGrid>
      <w:tr w:rsidR="00982F33">
        <w:trPr>
          <w:trHeight w:val="280"/>
          <w:jc w:val="center"/>
        </w:trPr>
        <w:tc>
          <w:tcPr>
            <w:tcW w:w="1651" w:type="dxa"/>
            <w:gridSpan w:val="2"/>
            <w:vMerge w:val="restart"/>
            <w:tcBorders>
              <w:top w:val="single" w:sz="4" w:space="0" w:color="00000A"/>
            </w:tcBorders>
            <w:shd w:val="clear" w:color="auto" w:fill="auto"/>
            <w:vAlign w:val="center"/>
          </w:tcPr>
          <w:p w:rsidR="00982F33" w:rsidRDefault="00616B04">
            <w:pPr>
              <w:spacing w:line="276" w:lineRule="auto"/>
              <w:rPr>
                <w:kern w:val="0"/>
                <w:szCs w:val="20"/>
              </w:rPr>
            </w:pPr>
            <w:r>
              <w:rPr>
                <w:rFonts w:ascii="Times New Roman" w:eastAsia="바탕" w:hAnsi="Times New Roman"/>
                <w:kern w:val="0"/>
                <w:szCs w:val="20"/>
              </w:rPr>
              <w:t xml:space="preserve">Formation </w:t>
            </w:r>
            <w:r>
              <w:rPr>
                <w:rFonts w:ascii="Times New Roman" w:hAnsi="Times New Roman"/>
                <w:color w:val="000000"/>
                <w:kern w:val="0"/>
                <w:szCs w:val="20"/>
              </w:rPr>
              <w:t>period (J)</w:t>
            </w:r>
          </w:p>
        </w:tc>
        <w:tc>
          <w:tcPr>
            <w:tcW w:w="3158" w:type="dxa"/>
            <w:gridSpan w:val="4"/>
            <w:tcBorders>
              <w:top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Holding period (K)</w:t>
            </w:r>
          </w:p>
        </w:tc>
        <w:tc>
          <w:tcPr>
            <w:tcW w:w="236" w:type="dxa"/>
            <w:tcBorders>
              <w:top w:val="single" w:sz="4" w:space="0" w:color="00000A"/>
            </w:tcBorders>
            <w:shd w:val="clear" w:color="auto" w:fill="FFFFFF"/>
            <w:vAlign w:val="center"/>
          </w:tcPr>
          <w:p w:rsidR="00982F33" w:rsidRDefault="00982F33">
            <w:pPr>
              <w:spacing w:line="276" w:lineRule="auto"/>
              <w:rPr>
                <w:kern w:val="0"/>
                <w:szCs w:val="20"/>
              </w:rPr>
            </w:pPr>
          </w:p>
        </w:tc>
        <w:tc>
          <w:tcPr>
            <w:tcW w:w="1620" w:type="dxa"/>
            <w:gridSpan w:val="2"/>
            <w:tcBorders>
              <w:top w:val="single" w:sz="4" w:space="0" w:color="00000A"/>
            </w:tcBorders>
            <w:shd w:val="clear" w:color="auto" w:fill="auto"/>
            <w:vAlign w:val="center"/>
          </w:tcPr>
          <w:p w:rsidR="00982F33" w:rsidRDefault="00616B04">
            <w:pPr>
              <w:spacing w:line="276" w:lineRule="auto"/>
              <w:rPr>
                <w:kern w:val="0"/>
                <w:szCs w:val="20"/>
              </w:rPr>
            </w:pPr>
            <w:r>
              <w:rPr>
                <w:rFonts w:ascii="Times New Roman" w:eastAsia="바탕" w:hAnsi="Times New Roman"/>
                <w:kern w:val="0"/>
                <w:szCs w:val="20"/>
              </w:rPr>
              <w:t xml:space="preserve">Formation </w:t>
            </w:r>
            <w:r>
              <w:rPr>
                <w:rFonts w:ascii="Times New Roman" w:hAnsi="Times New Roman"/>
                <w:color w:val="000000"/>
                <w:kern w:val="0"/>
                <w:szCs w:val="20"/>
              </w:rPr>
              <w:t>period</w:t>
            </w:r>
          </w:p>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(J)</w:t>
            </w:r>
          </w:p>
        </w:tc>
        <w:tc>
          <w:tcPr>
            <w:tcW w:w="3257" w:type="dxa"/>
            <w:gridSpan w:val="4"/>
            <w:tcBorders>
              <w:top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Holding period (K)</w:t>
            </w:r>
          </w:p>
        </w:tc>
      </w:tr>
      <w:tr w:rsidR="00982F33">
        <w:trPr>
          <w:trHeight w:val="280"/>
          <w:jc w:val="center"/>
        </w:trPr>
        <w:tc>
          <w:tcPr>
            <w:tcW w:w="1651" w:type="dxa"/>
            <w:gridSpan w:val="2"/>
            <w:vMerge/>
            <w:tcBorders>
              <w:top w:val="single" w:sz="4" w:space="0" w:color="00000A"/>
            </w:tcBorders>
            <w:shd w:val="clear" w:color="auto" w:fill="auto"/>
            <w:vAlign w:val="center"/>
          </w:tcPr>
          <w:p w:rsidR="00982F33" w:rsidRDefault="00982F33"/>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3</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6</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9</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12</w:t>
            </w:r>
          </w:p>
        </w:tc>
        <w:tc>
          <w:tcPr>
            <w:tcW w:w="236" w:type="dxa"/>
            <w:shd w:val="clear" w:color="auto" w:fill="FFFFFF"/>
            <w:vAlign w:val="center"/>
          </w:tcPr>
          <w:p w:rsidR="00982F33" w:rsidRDefault="00982F33">
            <w:pPr>
              <w:spacing w:line="276" w:lineRule="auto"/>
              <w:rPr>
                <w:kern w:val="0"/>
                <w:szCs w:val="20"/>
              </w:rPr>
            </w:pPr>
          </w:p>
        </w:tc>
        <w:tc>
          <w:tcPr>
            <w:tcW w:w="1620" w:type="dxa"/>
            <w:gridSpan w:val="2"/>
            <w:tcBorders>
              <w:top w:val="single" w:sz="4" w:space="0" w:color="00000A"/>
            </w:tcBorders>
            <w:shd w:val="clear" w:color="auto" w:fill="auto"/>
            <w:vAlign w:val="center"/>
          </w:tcPr>
          <w:p w:rsidR="00982F33" w:rsidRDefault="00982F33"/>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3</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6</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9</w:t>
            </w:r>
          </w:p>
        </w:tc>
        <w:tc>
          <w:tcPr>
            <w:tcW w:w="844"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12</w:t>
            </w:r>
          </w:p>
        </w:tc>
      </w:tr>
      <w:tr w:rsidR="00982F33">
        <w:trPr>
          <w:trHeight w:val="350"/>
          <w:jc w:val="center"/>
        </w:trPr>
        <w:tc>
          <w:tcPr>
            <w:tcW w:w="828" w:type="dxa"/>
            <w:tcBorders>
              <w:top w:val="single" w:sz="4" w:space="0" w:color="00000A"/>
            </w:tcBorders>
            <w:shd w:val="clear" w:color="auto" w:fill="auto"/>
            <w:vAlign w:val="center"/>
          </w:tcPr>
          <w:p w:rsidR="00982F33" w:rsidRDefault="00982F33">
            <w:pPr>
              <w:spacing w:line="276" w:lineRule="auto"/>
              <w:rPr>
                <w:color w:val="000000"/>
                <w:kern w:val="0"/>
                <w:szCs w:val="20"/>
              </w:rPr>
            </w:pPr>
          </w:p>
        </w:tc>
        <w:tc>
          <w:tcPr>
            <w:tcW w:w="9094" w:type="dxa"/>
            <w:gridSpan w:val="12"/>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u w:val="single"/>
              </w:rPr>
            </w:pPr>
            <w:r>
              <w:rPr>
                <w:rFonts w:ascii="Times New Roman" w:hAnsi="Times New Roman"/>
                <w:color w:val="000000"/>
                <w:kern w:val="0"/>
                <w:szCs w:val="20"/>
                <w:u w:val="single"/>
              </w:rPr>
              <w:t>Panel A: January 1981 – December 2015</w:t>
            </w:r>
          </w:p>
        </w:tc>
      </w:tr>
      <w:tr w:rsidR="00982F33">
        <w:trPr>
          <w:trHeight w:val="65"/>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1.36</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1.30</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1.15</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1.24</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1.16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1.22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1.26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1.43 </w:t>
            </w:r>
          </w:p>
        </w:tc>
      </w:tr>
      <w:tr w:rsidR="00982F33">
        <w:trPr>
          <w:trHeight w:val="65"/>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1.37</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1.33</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1.28</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1.28</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1.22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1.20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1.31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1.35 </w:t>
            </w:r>
          </w:p>
        </w:tc>
      </w:tr>
      <w:tr w:rsidR="00982F33">
        <w:trPr>
          <w:trHeight w:val="65"/>
          <w:jc w:val="center"/>
        </w:trPr>
        <w:tc>
          <w:tcPr>
            <w:tcW w:w="828" w:type="dxa"/>
            <w:shd w:val="clear" w:color="auto" w:fill="auto"/>
            <w:vAlign w:val="center"/>
          </w:tcPr>
          <w:p w:rsidR="00982F33" w:rsidRDefault="00616B04">
            <w:pPr>
              <w:spacing w:line="276" w:lineRule="auto"/>
              <w:rPr>
                <w:kern w:val="0"/>
                <w:szCs w:val="20"/>
              </w:rPr>
            </w:pPr>
            <m:oMathPara>
              <m:oMath>
                <m:r>
                  <w:rPr>
                    <w:rFonts w:ascii="Cambria Math" w:hAnsi="Cambria Math"/>
                  </w:rPr>
                  <m:t>3</m:t>
                </m:r>
              </m:oMath>
            </m:oMathPara>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1.00</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1.20</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1.23</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1.25</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616B04">
            <w:pPr>
              <w:spacing w:line="276" w:lineRule="auto"/>
              <w:rPr>
                <w:kern w:val="0"/>
                <w:szCs w:val="20"/>
              </w:rPr>
            </w:pPr>
            <m:oMathPara>
              <m:oMath>
                <m:r>
                  <w:rPr>
                    <w:rFonts w:ascii="Cambria Math" w:hAnsi="Cambria Math"/>
                  </w:rPr>
                  <m:t>9</m:t>
                </m:r>
              </m:oMath>
            </m:oMathPara>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1.10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1.27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1.31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1.28 </w:t>
            </w:r>
          </w:p>
        </w:tc>
      </w:tr>
      <w:tr w:rsidR="00982F33">
        <w:trPr>
          <w:trHeight w:val="65"/>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1.35</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1.31</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1.42</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1.39</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1.54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1.57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1.49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1.40 </w:t>
            </w:r>
          </w:p>
        </w:tc>
      </w:tr>
      <w:tr w:rsidR="00982F33">
        <w:trPr>
          <w:trHeight w:val="65"/>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1.49</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1.40</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1.40</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1.31</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1.40 </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1.340</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1.27 </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1.20 </w:t>
            </w:r>
          </w:p>
        </w:tc>
      </w:tr>
      <w:tr w:rsidR="00982F33">
        <w:trPr>
          <w:trHeight w:val="280"/>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0.13</w:t>
            </w:r>
          </w:p>
        </w:tc>
        <w:tc>
          <w:tcPr>
            <w:tcW w:w="787"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0.10</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0.25</w:t>
            </w:r>
          </w:p>
        </w:tc>
        <w:tc>
          <w:tcPr>
            <w:tcW w:w="7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0.08</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0.25 </w:t>
            </w:r>
          </w:p>
        </w:tc>
        <w:tc>
          <w:tcPr>
            <w:tcW w:w="84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0.12 </w:t>
            </w:r>
          </w:p>
        </w:tc>
        <w:tc>
          <w:tcPr>
            <w:tcW w:w="84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0.01 </w:t>
            </w:r>
          </w:p>
        </w:tc>
        <w:tc>
          <w:tcPr>
            <w:tcW w:w="848"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-0.23 </w:t>
            </w:r>
          </w:p>
        </w:tc>
      </w:tr>
      <w:tr w:rsidR="00982F33">
        <w:trPr>
          <w:trHeight w:val="65"/>
          <w:jc w:val="center"/>
        </w:trPr>
        <w:tc>
          <w:tcPr>
            <w:tcW w:w="828"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[0.39]</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[0.38]</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[1.14]</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[0.39]</w:t>
            </w:r>
          </w:p>
        </w:tc>
        <w:tc>
          <w:tcPr>
            <w:tcW w:w="236" w:type="dxa"/>
            <w:shd w:val="clear" w:color="auto" w:fill="FFFFFF"/>
            <w:vAlign w:val="center"/>
          </w:tcPr>
          <w:p w:rsidR="00982F33" w:rsidRDefault="00982F33">
            <w:pPr>
              <w:spacing w:line="276" w:lineRule="auto"/>
              <w:rPr>
                <w:kern w:val="0"/>
                <w:szCs w:val="20"/>
              </w:rPr>
            </w:pPr>
          </w:p>
        </w:tc>
        <w:tc>
          <w:tcPr>
            <w:tcW w:w="772"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[0.62]</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[0.35]</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[0.02]</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[-0.84]</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1.43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1.14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1.17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1.34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1.20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1.30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1.39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1.49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1.26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1.32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1.30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1.39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1.31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1.35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1.35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1.35 </w:t>
            </w:r>
          </w:p>
        </w:tc>
      </w:tr>
      <w:tr w:rsidR="00982F33">
        <w:trPr>
          <w:trHeight w:val="259"/>
          <w:jc w:val="center"/>
        </w:trPr>
        <w:tc>
          <w:tcPr>
            <w:tcW w:w="828" w:type="dxa"/>
            <w:shd w:val="clear" w:color="auto" w:fill="auto"/>
            <w:vAlign w:val="center"/>
          </w:tcPr>
          <w:p w:rsidR="00982F33" w:rsidRDefault="00616B04">
            <w:pPr>
              <w:spacing w:line="276" w:lineRule="auto"/>
              <w:rPr>
                <w:kern w:val="0"/>
                <w:szCs w:val="20"/>
              </w:rPr>
            </w:pPr>
            <m:oMathPara>
              <m:oMath>
                <m:r>
                  <w:rPr>
                    <w:rFonts w:ascii="Cambria Math" w:hAnsi="Cambria Math"/>
                  </w:rPr>
                  <m:t>6</m:t>
                </m:r>
              </m:oMath>
            </m:oMathPara>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1.03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1.08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1.20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1.19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616B04">
            <w:pPr>
              <w:spacing w:line="276" w:lineRule="auto"/>
              <w:rPr>
                <w:kern w:val="0"/>
                <w:szCs w:val="20"/>
              </w:rPr>
            </w:pPr>
            <m:oMathPara>
              <m:oMath>
                <m:r>
                  <w:rPr>
                    <w:rFonts w:ascii="Cambria Math" w:hAnsi="Cambria Math"/>
                  </w:rPr>
                  <m:t>12</m:t>
                </m:r>
              </m:oMath>
            </m:oMathPara>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1.34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1.46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1.47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1.42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1.27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1.45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1.45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1.40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1.41</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1.51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1.43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1.41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1.37 </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1.42 </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1.36 </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1.26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1.44 </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1.25 </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1.140</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1.07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-0.06 </w:t>
            </w:r>
          </w:p>
        </w:tc>
        <w:tc>
          <w:tcPr>
            <w:tcW w:w="787"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0.27 </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0.190</w:t>
            </w:r>
          </w:p>
        </w:tc>
        <w:tc>
          <w:tcPr>
            <w:tcW w:w="7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-0.08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0.24 </w:t>
            </w:r>
          </w:p>
        </w:tc>
        <w:tc>
          <w:tcPr>
            <w:tcW w:w="84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-0.04 </w:t>
            </w:r>
          </w:p>
        </w:tc>
        <w:tc>
          <w:tcPr>
            <w:tcW w:w="84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-0.25 </w:t>
            </w:r>
          </w:p>
        </w:tc>
        <w:tc>
          <w:tcPr>
            <w:tcW w:w="848"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-0.41 </w:t>
            </w:r>
          </w:p>
        </w:tc>
      </w:tr>
      <w:tr w:rsidR="00982F33">
        <w:trPr>
          <w:trHeight w:val="259"/>
          <w:jc w:val="center"/>
        </w:trPr>
        <w:tc>
          <w:tcPr>
            <w:tcW w:w="828"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[-0.17]</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[0.83]</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[0.67]</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[-0.32]</w:t>
            </w:r>
          </w:p>
        </w:tc>
        <w:tc>
          <w:tcPr>
            <w:tcW w:w="236" w:type="dxa"/>
            <w:tcBorders>
              <w:top w:val="single" w:sz="4" w:space="0" w:color="00000A"/>
              <w:bottom w:val="single" w:sz="4" w:space="0" w:color="00000A"/>
            </w:tcBorders>
            <w:shd w:val="clear" w:color="auto" w:fill="FFFFFF"/>
            <w:vAlign w:val="center"/>
          </w:tcPr>
          <w:p w:rsidR="00982F33" w:rsidRDefault="00982F33">
            <w:pPr>
              <w:spacing w:line="276" w:lineRule="auto"/>
              <w:rPr>
                <w:kern w:val="0"/>
                <w:szCs w:val="20"/>
              </w:rPr>
            </w:pPr>
          </w:p>
        </w:tc>
        <w:tc>
          <w:tcPr>
            <w:tcW w:w="772"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[0.60]</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[-0.12]</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[-0.76]</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[-1.37]</w:t>
            </w:r>
          </w:p>
        </w:tc>
      </w:tr>
      <w:tr w:rsidR="00982F33">
        <w:trPr>
          <w:trHeight w:val="305"/>
          <w:jc w:val="center"/>
        </w:trPr>
        <w:tc>
          <w:tcPr>
            <w:tcW w:w="828" w:type="dxa"/>
            <w:tcBorders>
              <w:top w:val="single" w:sz="4" w:space="0" w:color="00000A"/>
            </w:tcBorders>
            <w:shd w:val="clear" w:color="auto" w:fill="auto"/>
            <w:vAlign w:val="center"/>
          </w:tcPr>
          <w:p w:rsidR="00982F33" w:rsidRDefault="00982F33">
            <w:pPr>
              <w:spacing w:line="276" w:lineRule="auto"/>
              <w:rPr>
                <w:kern w:val="0"/>
                <w:szCs w:val="20"/>
              </w:rPr>
            </w:pPr>
          </w:p>
        </w:tc>
        <w:tc>
          <w:tcPr>
            <w:tcW w:w="9094" w:type="dxa"/>
            <w:gridSpan w:val="12"/>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u w:val="single"/>
              </w:rPr>
            </w:pPr>
            <w:r>
              <w:rPr>
                <w:rFonts w:ascii="Times New Roman" w:hAnsi="Times New Roman"/>
                <w:color w:val="000000"/>
                <w:kern w:val="0"/>
                <w:szCs w:val="20"/>
                <w:u w:val="single"/>
              </w:rPr>
              <w:t>Panel B: January 2001 – December 2015</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1.46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1.18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0.96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1.01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0.73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0.76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0.89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1.04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1.40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1.20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1.13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1.13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0.98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0.81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0.99</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1.03 </w:t>
            </w:r>
          </w:p>
        </w:tc>
      </w:tr>
      <w:tr w:rsidR="00982F33">
        <w:trPr>
          <w:trHeight w:val="259"/>
          <w:jc w:val="center"/>
        </w:trPr>
        <w:tc>
          <w:tcPr>
            <w:tcW w:w="828" w:type="dxa"/>
            <w:shd w:val="clear" w:color="auto" w:fill="auto"/>
            <w:vAlign w:val="center"/>
          </w:tcPr>
          <w:p w:rsidR="00982F33" w:rsidRDefault="00616B04">
            <w:pPr>
              <w:spacing w:line="276" w:lineRule="auto"/>
              <w:rPr>
                <w:kern w:val="0"/>
                <w:szCs w:val="20"/>
              </w:rPr>
            </w:pPr>
            <m:oMathPara>
              <m:oMath>
                <m:r>
                  <w:rPr>
                    <w:rFonts w:ascii="Cambria Math" w:hAnsi="Cambria Math"/>
                  </w:rPr>
                  <m:t>3</m:t>
                </m:r>
              </m:oMath>
            </m:oMathPara>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0.98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1.07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1.04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1.02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616B04">
            <w:pPr>
              <w:spacing w:line="276" w:lineRule="auto"/>
              <w:rPr>
                <w:kern w:val="0"/>
                <w:szCs w:val="20"/>
              </w:rPr>
            </w:pPr>
            <m:oMathPara>
              <m:oMath>
                <m:r>
                  <w:rPr>
                    <w:rFonts w:ascii="Cambria Math" w:hAnsi="Cambria Math"/>
                  </w:rPr>
                  <m:t>9</m:t>
                </m:r>
              </m:oMath>
            </m:oMathPara>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0.82</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1.04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1.06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1.02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1.19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1.17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1.29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1.28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1.58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1.44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1.33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1.31</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1.40 </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1.56 </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1.65 </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1.60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1.89 </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1.83 </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1.75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-0.05 </w:t>
            </w:r>
          </w:p>
        </w:tc>
        <w:tc>
          <w:tcPr>
            <w:tcW w:w="787"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0.38 </w:t>
            </w:r>
          </w:p>
        </w:tc>
        <w:tc>
          <w:tcPr>
            <w:tcW w:w="789"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0.69</w:t>
            </w:r>
            <w:r>
              <w:rPr>
                <w:rFonts w:ascii="Times New Roman" w:hAnsi="Times New Roman"/>
                <w:color w:val="000000"/>
                <w:kern w:val="0"/>
                <w:sz w:val="18"/>
                <w:szCs w:val="18"/>
                <w:vertAlign w:val="superscript"/>
              </w:rPr>
              <w:t>**</w:t>
            </w:r>
          </w:p>
        </w:tc>
        <w:tc>
          <w:tcPr>
            <w:tcW w:w="791"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0.59</w:t>
            </w:r>
            <w:r>
              <w:rPr>
                <w:rFonts w:ascii="Times New Roman" w:hAnsi="Times New Roman"/>
                <w:color w:val="000000"/>
                <w:kern w:val="0"/>
                <w:sz w:val="18"/>
                <w:szCs w:val="18"/>
                <w:vertAlign w:val="superscript"/>
              </w:rPr>
              <w:t>**</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21"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1.15</w:t>
            </w:r>
            <w:r>
              <w:rPr>
                <w:rFonts w:ascii="Times New Roman" w:hAnsi="Times New Roman"/>
                <w:color w:val="000000"/>
                <w:kern w:val="0"/>
                <w:sz w:val="18"/>
                <w:szCs w:val="18"/>
                <w:vertAlign w:val="superscript"/>
              </w:rPr>
              <w:t>**</w:t>
            </w:r>
          </w:p>
        </w:tc>
        <w:tc>
          <w:tcPr>
            <w:tcW w:w="849"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1.16</w:t>
            </w:r>
            <w:r>
              <w:rPr>
                <w:rFonts w:ascii="Times New Roman" w:hAnsi="Times New Roman"/>
                <w:color w:val="000000"/>
                <w:kern w:val="0"/>
                <w:sz w:val="18"/>
                <w:szCs w:val="18"/>
                <w:vertAlign w:val="superscript"/>
              </w:rPr>
              <w:t>**</w:t>
            </w:r>
          </w:p>
        </w:tc>
        <w:tc>
          <w:tcPr>
            <w:tcW w:w="845"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0.94</w:t>
            </w:r>
            <w:r>
              <w:rPr>
                <w:rFonts w:ascii="Times New Roman" w:hAnsi="Times New Roman"/>
                <w:color w:val="000000"/>
                <w:kern w:val="0"/>
                <w:sz w:val="18"/>
                <w:szCs w:val="18"/>
                <w:vertAlign w:val="superscript"/>
              </w:rPr>
              <w:t>**</w:t>
            </w:r>
          </w:p>
        </w:tc>
        <w:tc>
          <w:tcPr>
            <w:tcW w:w="848"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0.70</w:t>
            </w:r>
            <w:r>
              <w:rPr>
                <w:rFonts w:ascii="Times New Roman" w:hAnsi="Times New Roman"/>
                <w:color w:val="000000"/>
                <w:kern w:val="0"/>
                <w:sz w:val="18"/>
                <w:szCs w:val="18"/>
                <w:vertAlign w:val="superscript"/>
              </w:rPr>
              <w:t>*</w:t>
            </w:r>
          </w:p>
        </w:tc>
      </w:tr>
      <w:tr w:rsidR="00982F33">
        <w:trPr>
          <w:trHeight w:val="259"/>
          <w:jc w:val="center"/>
        </w:trPr>
        <w:tc>
          <w:tcPr>
            <w:tcW w:w="828"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[-0.14]</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[1.15]</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[2.37]</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[2.21]</w:t>
            </w:r>
          </w:p>
        </w:tc>
        <w:tc>
          <w:tcPr>
            <w:tcW w:w="236" w:type="dxa"/>
            <w:shd w:val="clear" w:color="auto" w:fill="FFFFFF"/>
            <w:vAlign w:val="center"/>
          </w:tcPr>
          <w:p w:rsidR="00982F33" w:rsidRDefault="00982F33">
            <w:pPr>
              <w:spacing w:line="276" w:lineRule="auto"/>
              <w:rPr>
                <w:kern w:val="0"/>
                <w:szCs w:val="20"/>
              </w:rPr>
            </w:pPr>
          </w:p>
        </w:tc>
        <w:tc>
          <w:tcPr>
            <w:tcW w:w="772"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[2.17]</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[2.35]</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[2.09]</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[1.78]</w:t>
            </w:r>
          </w:p>
        </w:tc>
      </w:tr>
      <w:tr w:rsidR="00982F33">
        <w:trPr>
          <w:trHeight w:val="259"/>
          <w:jc w:val="center"/>
        </w:trPr>
        <w:tc>
          <w:tcPr>
            <w:tcW w:w="828" w:type="dxa"/>
            <w:tcBorders>
              <w:top w:val="single" w:sz="4" w:space="0" w:color="00000A"/>
            </w:tcBorders>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1.20 </w:t>
            </w:r>
          </w:p>
        </w:tc>
        <w:tc>
          <w:tcPr>
            <w:tcW w:w="787"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0.83</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0.87 </w:t>
            </w:r>
          </w:p>
        </w:tc>
        <w:tc>
          <w:tcPr>
            <w:tcW w:w="7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1.11 </w:t>
            </w:r>
          </w:p>
        </w:tc>
        <w:tc>
          <w:tcPr>
            <w:tcW w:w="236" w:type="dxa"/>
            <w:shd w:val="clear" w:color="auto" w:fill="FFFFFF"/>
            <w:vAlign w:val="center"/>
          </w:tcPr>
          <w:p w:rsidR="00982F33" w:rsidRDefault="00982F33">
            <w:pPr>
              <w:spacing w:line="276" w:lineRule="auto"/>
              <w:rPr>
                <w:kern w:val="0"/>
                <w:szCs w:val="20"/>
              </w:rPr>
            </w:pPr>
          </w:p>
        </w:tc>
        <w:tc>
          <w:tcPr>
            <w:tcW w:w="772" w:type="dxa"/>
            <w:tcBorders>
              <w:top w:val="single" w:sz="4" w:space="0" w:color="00000A"/>
            </w:tcBorders>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0.90 </w:t>
            </w:r>
          </w:p>
        </w:tc>
        <w:tc>
          <w:tcPr>
            <w:tcW w:w="84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0.96 </w:t>
            </w:r>
          </w:p>
        </w:tc>
        <w:tc>
          <w:tcPr>
            <w:tcW w:w="84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1.02 </w:t>
            </w:r>
          </w:p>
        </w:tc>
        <w:tc>
          <w:tcPr>
            <w:tcW w:w="848"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1.17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1.04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0.96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0.89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0.95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0.79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0.83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0.88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0.87</w:t>
            </w:r>
          </w:p>
        </w:tc>
      </w:tr>
      <w:tr w:rsidR="00982F33">
        <w:trPr>
          <w:trHeight w:val="259"/>
          <w:jc w:val="center"/>
        </w:trPr>
        <w:tc>
          <w:tcPr>
            <w:tcW w:w="828" w:type="dxa"/>
            <w:shd w:val="clear" w:color="auto" w:fill="auto"/>
            <w:vAlign w:val="center"/>
          </w:tcPr>
          <w:p w:rsidR="00982F33" w:rsidRDefault="00616B04">
            <w:pPr>
              <w:spacing w:line="276" w:lineRule="auto"/>
              <w:rPr>
                <w:kern w:val="0"/>
                <w:szCs w:val="20"/>
              </w:rPr>
            </w:pPr>
            <m:oMathPara>
              <m:oMath>
                <m:r>
                  <w:rPr>
                    <w:rFonts w:ascii="Cambria Math" w:hAnsi="Cambria Math"/>
                  </w:rPr>
                  <m:t>6</m:t>
                </m:r>
              </m:oMath>
            </m:oMathPara>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1.14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1.06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1.11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1.08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616B04">
            <w:pPr>
              <w:spacing w:line="276" w:lineRule="auto"/>
              <w:rPr>
                <w:kern w:val="0"/>
                <w:szCs w:val="20"/>
              </w:rPr>
            </w:pPr>
            <m:oMathPara>
              <m:oMath>
                <m:r>
                  <w:rPr>
                    <w:rFonts w:ascii="Cambria Math" w:hAnsi="Cambria Math"/>
                  </w:rPr>
                  <m:t>12</m:t>
                </m:r>
              </m:oMath>
            </m:oMathPara>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1.20 </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1.150</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1.07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1.04</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1.15 </w:t>
            </w:r>
          </w:p>
        </w:tc>
        <w:tc>
          <w:tcPr>
            <w:tcW w:w="787"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1.29 </w:t>
            </w:r>
          </w:p>
        </w:tc>
        <w:tc>
          <w:tcPr>
            <w:tcW w:w="78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1.32 </w:t>
            </w:r>
          </w:p>
        </w:tc>
        <w:tc>
          <w:tcPr>
            <w:tcW w:w="7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1.27</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2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1.43</w:t>
            </w:r>
          </w:p>
        </w:tc>
        <w:tc>
          <w:tcPr>
            <w:tcW w:w="849"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1.40 </w:t>
            </w:r>
          </w:p>
        </w:tc>
        <w:tc>
          <w:tcPr>
            <w:tcW w:w="84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1.41 </w:t>
            </w:r>
          </w:p>
        </w:tc>
        <w:tc>
          <w:tcPr>
            <w:tcW w:w="848"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1.42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1.65 </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1.87</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1.81 </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1.67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1.89 </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1.81 </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1.70 </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1.63 </w:t>
            </w:r>
          </w:p>
        </w:tc>
      </w:tr>
      <w:tr w:rsidR="00982F33">
        <w:trPr>
          <w:trHeight w:val="259"/>
          <w:jc w:val="center"/>
        </w:trPr>
        <w:tc>
          <w:tcPr>
            <w:tcW w:w="828" w:type="dxa"/>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89"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0.45 </w:t>
            </w:r>
          </w:p>
        </w:tc>
        <w:tc>
          <w:tcPr>
            <w:tcW w:w="787"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1.04</w:t>
            </w:r>
            <w:r>
              <w:rPr>
                <w:rFonts w:ascii="Times New Roman" w:hAnsi="Times New Roman"/>
                <w:color w:val="000000"/>
                <w:kern w:val="0"/>
                <w:sz w:val="18"/>
                <w:szCs w:val="18"/>
                <w:vertAlign w:val="superscript"/>
              </w:rPr>
              <w:t>**</w:t>
            </w:r>
          </w:p>
        </w:tc>
        <w:tc>
          <w:tcPr>
            <w:tcW w:w="789"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0.94</w:t>
            </w:r>
            <w:r>
              <w:rPr>
                <w:rFonts w:ascii="Times New Roman" w:hAnsi="Times New Roman"/>
                <w:color w:val="000000"/>
                <w:kern w:val="0"/>
                <w:sz w:val="18"/>
                <w:szCs w:val="18"/>
                <w:vertAlign w:val="superscript"/>
              </w:rPr>
              <w:t>**</w:t>
            </w:r>
          </w:p>
        </w:tc>
        <w:tc>
          <w:tcPr>
            <w:tcW w:w="7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0.56 </w:t>
            </w:r>
          </w:p>
        </w:tc>
        <w:tc>
          <w:tcPr>
            <w:tcW w:w="236" w:type="dxa"/>
            <w:shd w:val="clear" w:color="auto" w:fill="FFFFFF"/>
            <w:vAlign w:val="center"/>
          </w:tcPr>
          <w:p w:rsidR="00982F33" w:rsidRDefault="00982F33">
            <w:pPr>
              <w:spacing w:line="276" w:lineRule="auto"/>
              <w:rPr>
                <w:kern w:val="0"/>
                <w:szCs w:val="20"/>
              </w:rPr>
            </w:pPr>
          </w:p>
        </w:tc>
        <w:tc>
          <w:tcPr>
            <w:tcW w:w="772" w:type="dxa"/>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21"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0.99</w:t>
            </w:r>
            <w:r>
              <w:rPr>
                <w:rFonts w:ascii="Times New Roman" w:hAnsi="Times New Roman"/>
                <w:color w:val="000000"/>
                <w:kern w:val="0"/>
                <w:sz w:val="18"/>
                <w:szCs w:val="18"/>
                <w:vertAlign w:val="superscript"/>
              </w:rPr>
              <w:t>*</w:t>
            </w:r>
          </w:p>
        </w:tc>
        <w:tc>
          <w:tcPr>
            <w:tcW w:w="849" w:type="dxa"/>
            <w:tcBorders>
              <w:top w:val="single" w:sz="4" w:space="0" w:color="00000A"/>
            </w:tcBorders>
            <w:shd w:val="clear" w:color="auto" w:fill="FFFFFF"/>
            <w:vAlign w:val="center"/>
          </w:tcPr>
          <w:p w:rsidR="00982F33" w:rsidRDefault="00616B04">
            <w:pPr>
              <w:spacing w:line="276" w:lineRule="auto"/>
              <w:rPr>
                <w:kern w:val="0"/>
              </w:rPr>
            </w:pPr>
            <w:r>
              <w:rPr>
                <w:rFonts w:ascii="Times New Roman" w:hAnsi="Times New Roman"/>
                <w:color w:val="000000"/>
                <w:kern w:val="0"/>
              </w:rPr>
              <w:t>0.85</w:t>
            </w:r>
            <w:r>
              <w:rPr>
                <w:rFonts w:ascii="Times New Roman" w:hAnsi="Times New Roman"/>
                <w:color w:val="000000"/>
                <w:kern w:val="0"/>
                <w:sz w:val="18"/>
                <w:szCs w:val="18"/>
                <w:vertAlign w:val="superscript"/>
              </w:rPr>
              <w:t>*</w:t>
            </w:r>
          </w:p>
        </w:tc>
        <w:tc>
          <w:tcPr>
            <w:tcW w:w="84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0.68 </w:t>
            </w:r>
          </w:p>
        </w:tc>
        <w:tc>
          <w:tcPr>
            <w:tcW w:w="848"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0.47 </w:t>
            </w:r>
          </w:p>
        </w:tc>
      </w:tr>
      <w:tr w:rsidR="00982F33">
        <w:trPr>
          <w:trHeight w:val="259"/>
          <w:jc w:val="center"/>
        </w:trPr>
        <w:tc>
          <w:tcPr>
            <w:tcW w:w="828"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[0.93]</w:t>
            </w:r>
          </w:p>
        </w:tc>
        <w:tc>
          <w:tcPr>
            <w:tcW w:w="787"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[2.28]</w:t>
            </w:r>
          </w:p>
        </w:tc>
        <w:tc>
          <w:tcPr>
            <w:tcW w:w="78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[2.29]</w:t>
            </w:r>
          </w:p>
        </w:tc>
        <w:tc>
          <w:tcPr>
            <w:tcW w:w="7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[1.54]</w:t>
            </w:r>
          </w:p>
        </w:tc>
        <w:tc>
          <w:tcPr>
            <w:tcW w:w="236" w:type="dxa"/>
            <w:tcBorders>
              <w:top w:val="single" w:sz="4" w:space="0" w:color="00000A"/>
              <w:bottom w:val="single" w:sz="4" w:space="0" w:color="00000A"/>
            </w:tcBorders>
            <w:shd w:val="clear" w:color="auto" w:fill="FFFFFF"/>
            <w:vAlign w:val="center"/>
          </w:tcPr>
          <w:p w:rsidR="00982F33" w:rsidRDefault="00982F33">
            <w:pPr>
              <w:spacing w:line="276" w:lineRule="auto"/>
              <w:rPr>
                <w:kern w:val="0"/>
                <w:szCs w:val="20"/>
              </w:rPr>
            </w:pPr>
          </w:p>
        </w:tc>
        <w:tc>
          <w:tcPr>
            <w:tcW w:w="772"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846"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2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[1.84]</w:t>
            </w:r>
          </w:p>
        </w:tc>
        <w:tc>
          <w:tcPr>
            <w:tcW w:w="849"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[1.73]</w:t>
            </w:r>
          </w:p>
        </w:tc>
        <w:tc>
          <w:tcPr>
            <w:tcW w:w="84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[1.53]</w:t>
            </w:r>
          </w:p>
        </w:tc>
        <w:tc>
          <w:tcPr>
            <w:tcW w:w="84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[1.16]</w:t>
            </w:r>
          </w:p>
        </w:tc>
      </w:tr>
    </w:tbl>
    <w:p w:rsidR="00982F33" w:rsidRDefault="00982F33">
      <w:pPr>
        <w:spacing w:after="240" w:line="480" w:lineRule="auto"/>
        <w:rPr>
          <w:rFonts w:ascii="바탕" w:eastAsia="바탕" w:hAnsi="바탕"/>
          <w:b/>
          <w:spacing w:val="-6"/>
          <w:szCs w:val="20"/>
        </w:rPr>
      </w:pPr>
    </w:p>
    <w:p w:rsidR="00982F33" w:rsidRDefault="00616B04">
      <w:pPr>
        <w:widowControl/>
        <w:spacing w:after="160" w:line="259" w:lineRule="auto"/>
        <w:rPr>
          <w:rFonts w:ascii="바탕" w:eastAsia="바탕" w:hAnsi="바탕"/>
          <w:b/>
          <w:spacing w:val="-6"/>
          <w:sz w:val="22"/>
          <w:szCs w:val="20"/>
        </w:rPr>
      </w:pPr>
      <w:r>
        <w:br w:type="page"/>
      </w:r>
    </w:p>
    <w:p w:rsidR="00982F33" w:rsidRPr="00BC2BF4" w:rsidRDefault="00616B04" w:rsidP="00BC2BF4">
      <w:pPr>
        <w:widowControl/>
        <w:spacing w:line="259" w:lineRule="auto"/>
        <w:jc w:val="center"/>
        <w:rPr>
          <w:rFonts w:hint="eastAsia"/>
        </w:rPr>
      </w:pPr>
      <w:r>
        <w:rPr>
          <w:rFonts w:ascii="바탕" w:eastAsia="바탕" w:hAnsi="바탕"/>
          <w:b/>
          <w:spacing w:val="-6"/>
          <w:szCs w:val="20"/>
        </w:rPr>
        <w:lastRenderedPageBreak/>
        <w:t xml:space="preserve">&lt;표 </w:t>
      </w:r>
      <w:r>
        <w:rPr>
          <w:rFonts w:ascii="바탕" w:eastAsia="바탕" w:hAnsi="바탕" w:cs="바탕"/>
          <w:b/>
          <w:spacing w:val="-6"/>
          <w:szCs w:val="20"/>
        </w:rPr>
        <w:t>4</w:t>
      </w:r>
      <w:r>
        <w:rPr>
          <w:rFonts w:ascii="바탕" w:eastAsia="바탕" w:hAnsi="바탕"/>
          <w:b/>
          <w:spacing w:val="-6"/>
          <w:szCs w:val="20"/>
        </w:rPr>
        <w:t>&gt;모멘텀 투자전략의 동일가중(Equal-weighted) 월 평균 수익률(excess return)</w:t>
      </w:r>
    </w:p>
    <w:p w:rsidR="00982F33" w:rsidRDefault="00982F33">
      <w:pPr>
        <w:jc w:val="center"/>
        <w:rPr>
          <w:rFonts w:ascii="바탕" w:eastAsia="바탕" w:hAnsi="바탕" w:cs="바탕"/>
          <w:spacing w:val="-6"/>
          <w:kern w:val="0"/>
          <w:sz w:val="10"/>
          <w:szCs w:val="10"/>
        </w:rPr>
      </w:pPr>
    </w:p>
    <w:tbl>
      <w:tblPr>
        <w:tblW w:w="9953" w:type="dxa"/>
        <w:jc w:val="center"/>
        <w:tblBorders>
          <w:top w:val="single" w:sz="4" w:space="0" w:color="00000A"/>
        </w:tblBorders>
        <w:tblLook w:val="0000" w:firstRow="0" w:lastRow="0" w:firstColumn="0" w:lastColumn="0" w:noHBand="0" w:noVBand="0"/>
      </w:tblPr>
      <w:tblGrid>
        <w:gridCol w:w="472"/>
        <w:gridCol w:w="1191"/>
        <w:gridCol w:w="792"/>
        <w:gridCol w:w="793"/>
        <w:gridCol w:w="793"/>
        <w:gridCol w:w="795"/>
        <w:gridCol w:w="230"/>
        <w:gridCol w:w="563"/>
        <w:gridCol w:w="1104"/>
        <w:gridCol w:w="794"/>
        <w:gridCol w:w="793"/>
        <w:gridCol w:w="793"/>
        <w:gridCol w:w="840"/>
      </w:tblGrid>
      <w:tr w:rsidR="00982F33">
        <w:trPr>
          <w:trHeight w:val="282"/>
          <w:jc w:val="center"/>
        </w:trPr>
        <w:tc>
          <w:tcPr>
            <w:tcW w:w="1665" w:type="dxa"/>
            <w:gridSpan w:val="2"/>
            <w:vMerge w:val="restart"/>
            <w:tcBorders>
              <w:top w:val="single" w:sz="4" w:space="0" w:color="00000A"/>
            </w:tcBorders>
            <w:shd w:val="clear" w:color="auto" w:fill="auto"/>
            <w:vAlign w:val="center"/>
          </w:tcPr>
          <w:p w:rsidR="00982F33" w:rsidRDefault="00616B04">
            <w:pPr>
              <w:spacing w:line="276" w:lineRule="auto"/>
              <w:rPr>
                <w:kern w:val="0"/>
                <w:szCs w:val="20"/>
              </w:rPr>
            </w:pPr>
            <w:r>
              <w:rPr>
                <w:rFonts w:ascii="Times New Roman" w:eastAsia="바탕" w:hAnsi="Times New Roman"/>
                <w:kern w:val="0"/>
                <w:szCs w:val="20"/>
              </w:rPr>
              <w:t xml:space="preserve">Formation </w:t>
            </w:r>
            <w:r>
              <w:rPr>
                <w:rFonts w:ascii="Times New Roman" w:hAnsi="Times New Roman"/>
                <w:color w:val="000000"/>
                <w:kern w:val="0"/>
                <w:szCs w:val="20"/>
              </w:rPr>
              <w:t xml:space="preserve">period </w:t>
            </w:r>
          </w:p>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(J)</w:t>
            </w:r>
          </w:p>
        </w:tc>
        <w:tc>
          <w:tcPr>
            <w:tcW w:w="3171" w:type="dxa"/>
            <w:gridSpan w:val="4"/>
            <w:tcBorders>
              <w:top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Holding period (K)</w:t>
            </w:r>
          </w:p>
        </w:tc>
        <w:tc>
          <w:tcPr>
            <w:tcW w:w="230" w:type="dxa"/>
            <w:tcBorders>
              <w:top w:val="single" w:sz="4" w:space="0" w:color="00000A"/>
            </w:tcBorders>
            <w:shd w:val="clear" w:color="auto" w:fill="FFFFFF"/>
            <w:vAlign w:val="center"/>
          </w:tcPr>
          <w:p w:rsidR="00982F33" w:rsidRDefault="00982F33">
            <w:pPr>
              <w:spacing w:line="276" w:lineRule="auto"/>
              <w:rPr>
                <w:kern w:val="0"/>
                <w:szCs w:val="20"/>
              </w:rPr>
            </w:pPr>
          </w:p>
        </w:tc>
        <w:tc>
          <w:tcPr>
            <w:tcW w:w="1666" w:type="dxa"/>
            <w:gridSpan w:val="2"/>
            <w:tcBorders>
              <w:top w:val="single" w:sz="4" w:space="0" w:color="00000A"/>
            </w:tcBorders>
            <w:shd w:val="clear" w:color="auto" w:fill="auto"/>
            <w:vAlign w:val="center"/>
          </w:tcPr>
          <w:p w:rsidR="00982F33" w:rsidRDefault="00616B04">
            <w:pPr>
              <w:spacing w:line="276" w:lineRule="auto"/>
              <w:rPr>
                <w:kern w:val="0"/>
                <w:szCs w:val="20"/>
              </w:rPr>
            </w:pPr>
            <w:r>
              <w:rPr>
                <w:rFonts w:ascii="Times New Roman" w:eastAsia="바탕" w:hAnsi="Times New Roman"/>
                <w:kern w:val="0"/>
                <w:szCs w:val="20"/>
              </w:rPr>
              <w:t xml:space="preserve">Formation </w:t>
            </w:r>
            <w:r>
              <w:rPr>
                <w:rFonts w:ascii="Times New Roman" w:hAnsi="Times New Roman"/>
                <w:color w:val="000000"/>
                <w:kern w:val="0"/>
                <w:szCs w:val="20"/>
              </w:rPr>
              <w:t>period</w:t>
            </w:r>
          </w:p>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(J)</w:t>
            </w:r>
          </w:p>
        </w:tc>
        <w:tc>
          <w:tcPr>
            <w:tcW w:w="3220" w:type="dxa"/>
            <w:gridSpan w:val="4"/>
            <w:tcBorders>
              <w:top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Holding period (K)</w:t>
            </w:r>
          </w:p>
        </w:tc>
      </w:tr>
      <w:tr w:rsidR="00982F33">
        <w:trPr>
          <w:trHeight w:val="282"/>
          <w:jc w:val="center"/>
        </w:trPr>
        <w:tc>
          <w:tcPr>
            <w:tcW w:w="1665" w:type="dxa"/>
            <w:gridSpan w:val="2"/>
            <w:vMerge/>
            <w:tcBorders>
              <w:top w:val="single" w:sz="4" w:space="0" w:color="00000A"/>
            </w:tcBorders>
            <w:shd w:val="clear" w:color="auto" w:fill="auto"/>
            <w:vAlign w:val="center"/>
          </w:tcPr>
          <w:p w:rsidR="00982F33" w:rsidRDefault="00982F33"/>
        </w:tc>
        <w:tc>
          <w:tcPr>
            <w:tcW w:w="792"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3</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6</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9</w:t>
            </w:r>
          </w:p>
        </w:tc>
        <w:tc>
          <w:tcPr>
            <w:tcW w:w="79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12</w:t>
            </w:r>
          </w:p>
        </w:tc>
        <w:tc>
          <w:tcPr>
            <w:tcW w:w="230" w:type="dxa"/>
            <w:shd w:val="clear" w:color="auto" w:fill="FFFFFF"/>
            <w:vAlign w:val="center"/>
          </w:tcPr>
          <w:p w:rsidR="00982F33" w:rsidRDefault="00982F33">
            <w:pPr>
              <w:spacing w:line="276" w:lineRule="auto"/>
              <w:rPr>
                <w:kern w:val="0"/>
                <w:szCs w:val="20"/>
              </w:rPr>
            </w:pPr>
          </w:p>
        </w:tc>
        <w:tc>
          <w:tcPr>
            <w:tcW w:w="1666" w:type="dxa"/>
            <w:gridSpan w:val="2"/>
            <w:tcBorders>
              <w:top w:val="single" w:sz="4" w:space="0" w:color="00000A"/>
            </w:tcBorders>
            <w:shd w:val="clear" w:color="auto" w:fill="auto"/>
            <w:vAlign w:val="center"/>
          </w:tcPr>
          <w:p w:rsidR="00982F33" w:rsidRDefault="00982F33"/>
        </w:tc>
        <w:tc>
          <w:tcPr>
            <w:tcW w:w="794"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3</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6</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9</w:t>
            </w:r>
          </w:p>
        </w:tc>
        <w:tc>
          <w:tcPr>
            <w:tcW w:w="838"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eastAsia="바탕" w:hAnsi="Times New Roman"/>
                <w:kern w:val="0"/>
                <w:szCs w:val="20"/>
              </w:rPr>
            </w:pPr>
            <w:r>
              <w:rPr>
                <w:rFonts w:ascii="Times New Roman" w:eastAsia="바탕" w:hAnsi="Times New Roman"/>
                <w:kern w:val="0"/>
                <w:szCs w:val="20"/>
              </w:rPr>
              <w:t>12</w:t>
            </w:r>
          </w:p>
        </w:tc>
      </w:tr>
      <w:tr w:rsidR="00982F33">
        <w:trPr>
          <w:trHeight w:val="352"/>
          <w:jc w:val="center"/>
        </w:trPr>
        <w:tc>
          <w:tcPr>
            <w:tcW w:w="473" w:type="dxa"/>
            <w:tcBorders>
              <w:top w:val="single" w:sz="4" w:space="0" w:color="00000A"/>
            </w:tcBorders>
            <w:shd w:val="clear" w:color="auto" w:fill="auto"/>
            <w:vAlign w:val="center"/>
          </w:tcPr>
          <w:p w:rsidR="00982F33" w:rsidRDefault="00982F33">
            <w:pPr>
              <w:spacing w:line="276" w:lineRule="auto"/>
              <w:rPr>
                <w:color w:val="000000"/>
                <w:kern w:val="0"/>
                <w:szCs w:val="20"/>
              </w:rPr>
            </w:pPr>
          </w:p>
        </w:tc>
        <w:tc>
          <w:tcPr>
            <w:tcW w:w="9479" w:type="dxa"/>
            <w:gridSpan w:val="12"/>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u w:val="single"/>
              </w:rPr>
            </w:pPr>
            <w:r>
              <w:rPr>
                <w:rFonts w:ascii="Times New Roman" w:hAnsi="Times New Roman"/>
                <w:color w:val="000000"/>
                <w:kern w:val="0"/>
                <w:szCs w:val="20"/>
                <w:u w:val="single"/>
              </w:rPr>
              <w:t>Panel A: January 1981 – December 2015</w:t>
            </w:r>
          </w:p>
        </w:tc>
      </w:tr>
      <w:tr w:rsidR="00982F33">
        <w:trPr>
          <w:trHeight w:val="65"/>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2"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1.80 </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1.84 </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1.81 </w:t>
            </w:r>
          </w:p>
        </w:tc>
        <w:tc>
          <w:tcPr>
            <w:tcW w:w="79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1.88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4"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1.89</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1.91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2.00</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2.11 </w:t>
            </w:r>
          </w:p>
        </w:tc>
      </w:tr>
      <w:tr w:rsidR="00982F33">
        <w:trPr>
          <w:trHeight w:val="65"/>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2"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1.95 </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1.95</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1.94 </w:t>
            </w:r>
          </w:p>
        </w:tc>
        <w:tc>
          <w:tcPr>
            <w:tcW w:w="79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1.97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4"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1.78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1.94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2.00 </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2.02 </w:t>
            </w:r>
          </w:p>
        </w:tc>
      </w:tr>
      <w:tr w:rsidR="00982F33">
        <w:trPr>
          <w:trHeight w:val="65"/>
          <w:jc w:val="center"/>
        </w:trPr>
        <w:tc>
          <w:tcPr>
            <w:tcW w:w="473" w:type="dxa"/>
            <w:shd w:val="clear" w:color="auto" w:fill="auto"/>
            <w:vAlign w:val="center"/>
          </w:tcPr>
          <w:p w:rsidR="00982F33" w:rsidRDefault="00616B04">
            <w:pPr>
              <w:spacing w:line="276" w:lineRule="auto"/>
              <w:rPr>
                <w:kern w:val="0"/>
                <w:szCs w:val="20"/>
              </w:rPr>
            </w:pPr>
            <m:oMathPara>
              <m:oMath>
                <m:r>
                  <w:rPr>
                    <w:rFonts w:ascii="Cambria Math" w:hAnsi="Cambria Math"/>
                  </w:rPr>
                  <m:t>3</m:t>
                </m:r>
              </m:oMath>
            </m:oMathPara>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2"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1.84 </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1.90 </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1.91 </w:t>
            </w:r>
          </w:p>
        </w:tc>
        <w:tc>
          <w:tcPr>
            <w:tcW w:w="79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616B04">
            <w:pPr>
              <w:spacing w:line="276" w:lineRule="auto"/>
              <w:rPr>
                <w:kern w:val="0"/>
                <w:szCs w:val="20"/>
              </w:rPr>
            </w:pPr>
            <m:oMathPara>
              <m:oMath>
                <m:r>
                  <w:rPr>
                    <w:rFonts w:ascii="Cambria Math" w:hAnsi="Cambria Math"/>
                  </w:rPr>
                  <m:t>9</m:t>
                </m:r>
              </m:oMath>
            </m:oMathPara>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4"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1.930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1.910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1.91 </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r>
      <w:tr w:rsidR="00982F33">
        <w:trPr>
          <w:trHeight w:val="65"/>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2"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2.00 </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1.96 </w:t>
            </w:r>
          </w:p>
        </w:tc>
        <w:tc>
          <w:tcPr>
            <w:tcW w:w="793"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1.98 </w:t>
            </w:r>
          </w:p>
        </w:tc>
        <w:tc>
          <w:tcPr>
            <w:tcW w:w="79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4"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1.97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1.90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1.87 </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1.81 </w:t>
            </w:r>
          </w:p>
        </w:tc>
      </w:tr>
      <w:tr w:rsidR="00982F33">
        <w:trPr>
          <w:trHeight w:val="65"/>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2"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1.92 </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1.84 </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1.85 </w:t>
            </w:r>
          </w:p>
        </w:tc>
        <w:tc>
          <w:tcPr>
            <w:tcW w:w="79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1.77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4"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1.83 </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1.73 </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1.62</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1.53 </w:t>
            </w:r>
          </w:p>
        </w:tc>
      </w:tr>
      <w:tr w:rsidR="00982F33">
        <w:trPr>
          <w:trHeight w:val="282"/>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2"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0.12 </w:t>
            </w:r>
          </w:p>
        </w:tc>
        <w:tc>
          <w:tcPr>
            <w:tcW w:w="793"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0.01 </w:t>
            </w:r>
          </w:p>
        </w:tc>
        <w:tc>
          <w:tcPr>
            <w:tcW w:w="793"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0.04 </w:t>
            </w:r>
          </w:p>
        </w:tc>
        <w:tc>
          <w:tcPr>
            <w:tcW w:w="79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-0.10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4"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-0.06 </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-0.18 </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-0.38 </w:t>
            </w:r>
          </w:p>
        </w:tc>
        <w:tc>
          <w:tcPr>
            <w:tcW w:w="837"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-0.58</w:t>
            </w:r>
            <w:r>
              <w:rPr>
                <w:rFonts w:ascii="Times New Roman" w:hAnsi="Times New Roman"/>
                <w:color w:val="000000"/>
                <w:kern w:val="0"/>
                <w:sz w:val="18"/>
                <w:szCs w:val="18"/>
                <w:vertAlign w:val="superscript"/>
              </w:rPr>
              <w:t>**</w:t>
            </w:r>
          </w:p>
        </w:tc>
      </w:tr>
      <w:tr w:rsidR="00982F33">
        <w:trPr>
          <w:trHeight w:val="65"/>
          <w:jc w:val="center"/>
        </w:trPr>
        <w:tc>
          <w:tcPr>
            <w:tcW w:w="47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2"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[0.46]</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[0.02]</w:t>
            </w:r>
          </w:p>
        </w:tc>
        <w:tc>
          <w:tcPr>
            <w:tcW w:w="793"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[0.19]</w:t>
            </w:r>
          </w:p>
        </w:tc>
        <w:tc>
          <w:tcPr>
            <w:tcW w:w="79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[-0.63]</w:t>
            </w:r>
          </w:p>
        </w:tc>
        <w:tc>
          <w:tcPr>
            <w:tcW w:w="230" w:type="dxa"/>
            <w:shd w:val="clear" w:color="auto" w:fill="FFFFFF"/>
            <w:vAlign w:val="center"/>
          </w:tcPr>
          <w:p w:rsidR="00982F33" w:rsidRDefault="00982F33">
            <w:pPr>
              <w:spacing w:line="276" w:lineRule="auto"/>
              <w:rPr>
                <w:kern w:val="0"/>
                <w:szCs w:val="20"/>
              </w:rPr>
            </w:pPr>
          </w:p>
        </w:tc>
        <w:tc>
          <w:tcPr>
            <w:tcW w:w="56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4"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[-0.18]</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[-0.61]</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[-1.48]</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[-2.48]</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1.92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1.86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1.89 </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1.99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1.96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2.07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2.14</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2.21</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1.87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1.94 </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1.99</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1.95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2.02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2.07</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2.08 </w:t>
            </w:r>
          </w:p>
        </w:tc>
      </w:tr>
      <w:tr w:rsidR="00982F33">
        <w:trPr>
          <w:trHeight w:val="261"/>
          <w:jc w:val="center"/>
        </w:trPr>
        <w:tc>
          <w:tcPr>
            <w:tcW w:w="473" w:type="dxa"/>
            <w:shd w:val="clear" w:color="auto" w:fill="auto"/>
            <w:vAlign w:val="center"/>
          </w:tcPr>
          <w:p w:rsidR="00982F33" w:rsidRDefault="00616B04">
            <w:pPr>
              <w:spacing w:line="276" w:lineRule="auto"/>
              <w:rPr>
                <w:kern w:val="0"/>
                <w:szCs w:val="20"/>
              </w:rPr>
            </w:pPr>
            <m:oMathPara>
              <m:oMath>
                <m:r>
                  <w:rPr>
                    <w:rFonts w:ascii="Cambria Math" w:hAnsi="Cambria Math"/>
                  </w:rPr>
                  <m:t>6</m:t>
                </m:r>
              </m:oMath>
            </m:oMathPara>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1.85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1.90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1.92 </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616B04">
            <w:pPr>
              <w:spacing w:line="276" w:lineRule="auto"/>
              <w:rPr>
                <w:kern w:val="0"/>
                <w:szCs w:val="20"/>
              </w:rPr>
            </w:pPr>
            <m:oMathPara>
              <m:oMath>
                <m:r>
                  <w:rPr>
                    <w:rFonts w:ascii="Cambria Math" w:hAnsi="Cambria Math"/>
                  </w:rPr>
                  <m:t>12</m:t>
                </m:r>
              </m:oMath>
            </m:oMathPara>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1.93 </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1.94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1.92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1.92 </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1.88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1.86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1.82 </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1.80</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1.77 </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2"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1.84 </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1.820</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1.74 </w:t>
            </w:r>
          </w:p>
        </w:tc>
        <w:tc>
          <w:tcPr>
            <w:tcW w:w="795"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1.63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4"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1.70 </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1.55 </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1.46 </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1.43 </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2"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-0.08 </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-0.04 </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-0.15 </w:t>
            </w:r>
          </w:p>
        </w:tc>
        <w:tc>
          <w:tcPr>
            <w:tcW w:w="795"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-0.36</w:t>
            </w:r>
            <w:r>
              <w:rPr>
                <w:rFonts w:ascii="Times New Roman" w:hAnsi="Times New Roman"/>
                <w:color w:val="000000"/>
                <w:kern w:val="0"/>
                <w:sz w:val="18"/>
                <w:szCs w:val="18"/>
                <w:vertAlign w:val="superscript"/>
              </w:rPr>
              <w:t>*</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4"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-0.26 </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-0.51</w:t>
            </w:r>
            <w:r>
              <w:rPr>
                <w:rFonts w:ascii="Times New Roman" w:hAnsi="Times New Roman"/>
                <w:color w:val="000000"/>
                <w:kern w:val="0"/>
                <w:sz w:val="18"/>
                <w:szCs w:val="18"/>
                <w:vertAlign w:val="superscript"/>
              </w:rPr>
              <w:t>*</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w:t>
            </w:r>
            <w:r>
              <w:rPr>
                <w:rFonts w:ascii="Times New Roman" w:hAnsi="Times New Roman"/>
                <w:color w:val="000000"/>
                <w:kern w:val="0"/>
                <w:sz w:val="19"/>
                <w:szCs w:val="19"/>
              </w:rPr>
              <w:t>0.68</w:t>
            </w:r>
            <w:r>
              <w:rPr>
                <w:rFonts w:ascii="Times New Roman" w:hAnsi="Times New Roman"/>
                <w:color w:val="000000"/>
                <w:kern w:val="0"/>
                <w:sz w:val="16"/>
                <w:szCs w:val="16"/>
                <w:vertAlign w:val="superscript"/>
              </w:rPr>
              <w:t>**</w:t>
            </w:r>
          </w:p>
        </w:tc>
        <w:tc>
          <w:tcPr>
            <w:tcW w:w="837"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-0.78</w:t>
            </w:r>
            <w:r>
              <w:rPr>
                <w:rFonts w:ascii="Times New Roman" w:hAnsi="Times New Roman"/>
                <w:color w:val="000000"/>
                <w:kern w:val="0"/>
                <w:sz w:val="18"/>
                <w:szCs w:val="18"/>
                <w:vertAlign w:val="superscript"/>
              </w:rPr>
              <w:t>***</w:t>
            </w:r>
          </w:p>
        </w:tc>
      </w:tr>
      <w:tr w:rsidR="00982F33">
        <w:trPr>
          <w:trHeight w:val="261"/>
          <w:jc w:val="center"/>
        </w:trPr>
        <w:tc>
          <w:tcPr>
            <w:tcW w:w="47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2"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[-0.27]</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[-0.14]</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[-0.64]</w:t>
            </w:r>
          </w:p>
        </w:tc>
        <w:tc>
          <w:tcPr>
            <w:tcW w:w="795"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[-1.79]</w:t>
            </w:r>
          </w:p>
        </w:tc>
        <w:tc>
          <w:tcPr>
            <w:tcW w:w="230" w:type="dxa"/>
            <w:tcBorders>
              <w:top w:val="single" w:sz="4" w:space="0" w:color="00000A"/>
              <w:bottom w:val="single" w:sz="4" w:space="0" w:color="00000A"/>
            </w:tcBorders>
            <w:shd w:val="clear" w:color="auto" w:fill="FFFFFF"/>
            <w:vAlign w:val="center"/>
          </w:tcPr>
          <w:p w:rsidR="00982F33" w:rsidRDefault="00982F33">
            <w:pPr>
              <w:spacing w:line="276" w:lineRule="auto"/>
              <w:rPr>
                <w:kern w:val="0"/>
                <w:szCs w:val="20"/>
              </w:rPr>
            </w:pPr>
          </w:p>
        </w:tc>
        <w:tc>
          <w:tcPr>
            <w:tcW w:w="56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4"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[-0.80]</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[-1.70]</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[-2.44]</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[-3.01]</w:t>
            </w:r>
          </w:p>
        </w:tc>
      </w:tr>
      <w:tr w:rsidR="00982F33">
        <w:trPr>
          <w:trHeight w:val="307"/>
          <w:jc w:val="center"/>
        </w:trPr>
        <w:tc>
          <w:tcPr>
            <w:tcW w:w="473" w:type="dxa"/>
            <w:tcBorders>
              <w:top w:val="single" w:sz="4" w:space="0" w:color="00000A"/>
            </w:tcBorders>
            <w:shd w:val="clear" w:color="auto" w:fill="auto"/>
            <w:vAlign w:val="center"/>
          </w:tcPr>
          <w:p w:rsidR="00982F33" w:rsidRDefault="00982F33">
            <w:pPr>
              <w:spacing w:line="276" w:lineRule="auto"/>
              <w:rPr>
                <w:kern w:val="0"/>
                <w:szCs w:val="20"/>
              </w:rPr>
            </w:pPr>
          </w:p>
        </w:tc>
        <w:tc>
          <w:tcPr>
            <w:tcW w:w="9479" w:type="dxa"/>
            <w:gridSpan w:val="12"/>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u w:val="single"/>
              </w:rPr>
            </w:pPr>
            <w:r>
              <w:rPr>
                <w:rFonts w:ascii="Times New Roman" w:hAnsi="Times New Roman"/>
                <w:color w:val="000000"/>
                <w:kern w:val="0"/>
                <w:szCs w:val="20"/>
                <w:u w:val="single"/>
              </w:rPr>
              <w:t>Panel B: January 2001 – December 2015</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1.49</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1.50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1.45</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1.52</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1.33</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1.37</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1.50</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1.61</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1.97</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1.91</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1.89</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1.93</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1.60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1.85</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1.91</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1.95</w:t>
            </w:r>
          </w:p>
        </w:tc>
      </w:tr>
      <w:tr w:rsidR="00982F33">
        <w:trPr>
          <w:trHeight w:val="261"/>
          <w:jc w:val="center"/>
        </w:trPr>
        <w:tc>
          <w:tcPr>
            <w:tcW w:w="473" w:type="dxa"/>
            <w:shd w:val="clear" w:color="auto" w:fill="auto"/>
            <w:vAlign w:val="center"/>
          </w:tcPr>
          <w:p w:rsidR="00982F33" w:rsidRDefault="00616B04">
            <w:pPr>
              <w:spacing w:line="276" w:lineRule="auto"/>
              <w:rPr>
                <w:kern w:val="0"/>
                <w:szCs w:val="20"/>
              </w:rPr>
            </w:pPr>
            <m:oMathPara>
              <m:oMath>
                <m:r>
                  <w:rPr>
                    <w:rFonts w:ascii="Cambria Math" w:hAnsi="Cambria Math"/>
                  </w:rPr>
                  <m:t>3</m:t>
                </m:r>
              </m:oMath>
            </m:oMathPara>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1.87</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1.92</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1.93</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1.95</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616B04">
            <w:pPr>
              <w:spacing w:line="276" w:lineRule="auto"/>
              <w:rPr>
                <w:kern w:val="0"/>
                <w:szCs w:val="20"/>
              </w:rPr>
            </w:pPr>
            <m:oMathPara>
              <m:oMath>
                <m:r>
                  <w:rPr>
                    <w:rFonts w:ascii="Cambria Math" w:hAnsi="Cambria Math"/>
                  </w:rPr>
                  <m:t>9</m:t>
                </m:r>
              </m:oMath>
            </m:oMathPara>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1.92</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1.96</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1.98</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2.01</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2.02</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2.01</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2.07</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2.03</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2.19</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2.12</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2.07</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2.01</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2"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1.85</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1.90</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1.94</w:t>
            </w:r>
          </w:p>
        </w:tc>
        <w:tc>
          <w:tcPr>
            <w:tcW w:w="795"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1.87</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4"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2.15</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2.08</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1.95</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1.84</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2"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0.36 </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0.40</w:t>
            </w:r>
            <w:r>
              <w:rPr>
                <w:rFonts w:ascii="Times New Roman" w:hAnsi="Times New Roman"/>
                <w:color w:val="000000"/>
                <w:kern w:val="0"/>
                <w:sz w:val="18"/>
                <w:szCs w:val="18"/>
                <w:vertAlign w:val="superscript"/>
              </w:rPr>
              <w:t>*</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0.50</w:t>
            </w:r>
            <w:r>
              <w:rPr>
                <w:rFonts w:ascii="Times New Roman" w:hAnsi="Times New Roman"/>
                <w:color w:val="000000"/>
                <w:kern w:val="0"/>
                <w:sz w:val="18"/>
                <w:szCs w:val="18"/>
                <w:vertAlign w:val="superscript"/>
              </w:rPr>
              <w:t>**</w:t>
            </w:r>
          </w:p>
        </w:tc>
        <w:tc>
          <w:tcPr>
            <w:tcW w:w="795"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0.36</w:t>
            </w:r>
            <w:r>
              <w:rPr>
                <w:rFonts w:ascii="Times New Roman" w:hAnsi="Times New Roman"/>
                <w:color w:val="000000"/>
                <w:kern w:val="0"/>
                <w:sz w:val="18"/>
                <w:szCs w:val="18"/>
                <w:vertAlign w:val="superscript"/>
              </w:rPr>
              <w:t>*</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4"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0.82</w:t>
            </w:r>
            <w:r>
              <w:rPr>
                <w:rFonts w:ascii="Times New Roman" w:hAnsi="Times New Roman"/>
                <w:color w:val="000000"/>
                <w:kern w:val="0"/>
                <w:sz w:val="18"/>
                <w:szCs w:val="18"/>
                <w:vertAlign w:val="superscript"/>
              </w:rPr>
              <w:t>**</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0.71</w:t>
            </w:r>
            <w:r>
              <w:rPr>
                <w:rFonts w:ascii="Times New Roman" w:hAnsi="Times New Roman"/>
                <w:color w:val="000000"/>
                <w:kern w:val="0"/>
                <w:sz w:val="18"/>
                <w:szCs w:val="18"/>
                <w:vertAlign w:val="superscript"/>
              </w:rPr>
              <w:t>**</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0.44</w:t>
            </w:r>
            <w:r>
              <w:rPr>
                <w:rFonts w:ascii="Times New Roman" w:hAnsi="Times New Roman"/>
                <w:color w:val="000000"/>
                <w:kern w:val="0"/>
                <w:sz w:val="18"/>
                <w:szCs w:val="18"/>
                <w:vertAlign w:val="superscript"/>
              </w:rPr>
              <w:t>*</w:t>
            </w:r>
          </w:p>
        </w:tc>
        <w:tc>
          <w:tcPr>
            <w:tcW w:w="837"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0.23 </w:t>
            </w:r>
          </w:p>
        </w:tc>
      </w:tr>
      <w:tr w:rsidR="00982F33">
        <w:trPr>
          <w:trHeight w:val="261"/>
          <w:jc w:val="center"/>
        </w:trPr>
        <w:tc>
          <w:tcPr>
            <w:tcW w:w="47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2"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[1.34]</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[1.66]</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[2.36]</w:t>
            </w:r>
          </w:p>
        </w:tc>
        <w:tc>
          <w:tcPr>
            <w:tcW w:w="795"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[1.89]</w:t>
            </w:r>
          </w:p>
        </w:tc>
        <w:tc>
          <w:tcPr>
            <w:tcW w:w="230" w:type="dxa"/>
            <w:shd w:val="clear" w:color="auto" w:fill="FFFFFF"/>
            <w:vAlign w:val="center"/>
          </w:tcPr>
          <w:p w:rsidR="00982F33" w:rsidRDefault="00982F33">
            <w:pPr>
              <w:spacing w:line="276" w:lineRule="auto"/>
              <w:rPr>
                <w:kern w:val="0"/>
                <w:szCs w:val="20"/>
              </w:rPr>
            </w:pPr>
          </w:p>
        </w:tc>
        <w:tc>
          <w:tcPr>
            <w:tcW w:w="56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4"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[2.46]</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[2.46]</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[1.72]</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[0.98]</w:t>
            </w:r>
          </w:p>
        </w:tc>
      </w:tr>
      <w:tr w:rsidR="00982F33">
        <w:trPr>
          <w:trHeight w:val="261"/>
          <w:jc w:val="center"/>
        </w:trPr>
        <w:tc>
          <w:tcPr>
            <w:tcW w:w="473" w:type="dxa"/>
            <w:tcBorders>
              <w:top w:val="single" w:sz="4" w:space="0" w:color="00000A"/>
            </w:tcBorders>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2"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1.47</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1.38</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1.43</w:t>
            </w:r>
          </w:p>
        </w:tc>
        <w:tc>
          <w:tcPr>
            <w:tcW w:w="795"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1.57</w:t>
            </w:r>
          </w:p>
        </w:tc>
        <w:tc>
          <w:tcPr>
            <w:tcW w:w="230" w:type="dxa"/>
            <w:shd w:val="clear" w:color="auto" w:fill="FFFFFF"/>
            <w:vAlign w:val="center"/>
          </w:tcPr>
          <w:p w:rsidR="00982F33" w:rsidRDefault="00982F33">
            <w:pPr>
              <w:spacing w:line="276" w:lineRule="auto"/>
              <w:rPr>
                <w:kern w:val="0"/>
                <w:szCs w:val="20"/>
              </w:rPr>
            </w:pPr>
          </w:p>
        </w:tc>
        <w:tc>
          <w:tcPr>
            <w:tcW w:w="563" w:type="dxa"/>
            <w:tcBorders>
              <w:top w:val="single" w:sz="4" w:space="0" w:color="00000A"/>
            </w:tcBorders>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Loser</w:t>
            </w:r>
          </w:p>
        </w:tc>
        <w:tc>
          <w:tcPr>
            <w:tcW w:w="794"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1.43</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1.52</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1.60</w:t>
            </w:r>
          </w:p>
        </w:tc>
        <w:tc>
          <w:tcPr>
            <w:tcW w:w="837"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1.70</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1.71</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1.75</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1.83</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1.90</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1.82</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1.93</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1.97</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1.98</w:t>
            </w:r>
          </w:p>
        </w:tc>
      </w:tr>
      <w:tr w:rsidR="00982F33">
        <w:trPr>
          <w:trHeight w:val="261"/>
          <w:jc w:val="center"/>
        </w:trPr>
        <w:tc>
          <w:tcPr>
            <w:tcW w:w="473" w:type="dxa"/>
            <w:shd w:val="clear" w:color="auto" w:fill="auto"/>
            <w:vAlign w:val="center"/>
          </w:tcPr>
          <w:p w:rsidR="00982F33" w:rsidRDefault="00616B04">
            <w:pPr>
              <w:spacing w:line="276" w:lineRule="auto"/>
              <w:rPr>
                <w:kern w:val="0"/>
                <w:szCs w:val="20"/>
              </w:rPr>
            </w:pPr>
            <m:oMathPara>
              <m:oMath>
                <m:r>
                  <w:rPr>
                    <w:rFonts w:ascii="Cambria Math" w:hAnsi="Cambria Math"/>
                  </w:rPr>
                  <m:t>6</m:t>
                </m:r>
              </m:oMath>
            </m:oMathPara>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2.01</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2.00</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2.01</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616B04">
            <w:pPr>
              <w:spacing w:line="276" w:lineRule="auto"/>
              <w:rPr>
                <w:kern w:val="0"/>
                <w:szCs w:val="20"/>
              </w:rPr>
            </w:pPr>
            <m:oMathPara>
              <m:oMath>
                <m:r>
                  <w:rPr>
                    <w:rFonts w:ascii="Cambria Math" w:hAnsi="Cambria Math"/>
                  </w:rPr>
                  <m:t>12</m:t>
                </m:r>
              </m:oMath>
            </m:oMathPara>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3</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1.99</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2.00</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2.00</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2.01</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2"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2.02</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2.06</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2.05</w:t>
            </w:r>
          </w:p>
        </w:tc>
        <w:tc>
          <w:tcPr>
            <w:tcW w:w="795"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1.99</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4</w:t>
            </w:r>
          </w:p>
        </w:tc>
        <w:tc>
          <w:tcPr>
            <w:tcW w:w="794"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2.14</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2.05</w:t>
            </w:r>
          </w:p>
        </w:tc>
        <w:tc>
          <w:tcPr>
            <w:tcW w:w="793"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2.04</w:t>
            </w:r>
          </w:p>
        </w:tc>
        <w:tc>
          <w:tcPr>
            <w:tcW w:w="837" w:type="dxa"/>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2.00</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2"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2.07</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2.11</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2.02</w:t>
            </w:r>
          </w:p>
        </w:tc>
        <w:tc>
          <w:tcPr>
            <w:tcW w:w="795"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1.88</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Winner</w:t>
            </w:r>
          </w:p>
        </w:tc>
        <w:tc>
          <w:tcPr>
            <w:tcW w:w="794"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2.04</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1.94</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1.83</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1.76</w:t>
            </w:r>
          </w:p>
        </w:tc>
      </w:tr>
      <w:tr w:rsidR="00982F33">
        <w:trPr>
          <w:trHeight w:val="261"/>
          <w:jc w:val="center"/>
        </w:trPr>
        <w:tc>
          <w:tcPr>
            <w:tcW w:w="473" w:type="dxa"/>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2"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0.60</w:t>
            </w:r>
            <w:r>
              <w:rPr>
                <w:rFonts w:ascii="Times New Roman" w:hAnsi="Times New Roman"/>
                <w:color w:val="000000"/>
                <w:kern w:val="0"/>
                <w:sz w:val="18"/>
                <w:szCs w:val="18"/>
                <w:vertAlign w:val="superscript"/>
              </w:rPr>
              <w:t>*</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0.73</w:t>
            </w:r>
            <w:r>
              <w:rPr>
                <w:rFonts w:ascii="Times New Roman" w:hAnsi="Times New Roman"/>
                <w:color w:val="000000"/>
                <w:kern w:val="0"/>
                <w:sz w:val="18"/>
                <w:szCs w:val="18"/>
                <w:vertAlign w:val="superscript"/>
              </w:rPr>
              <w:t>**</w:t>
            </w:r>
          </w:p>
        </w:tc>
        <w:tc>
          <w:tcPr>
            <w:tcW w:w="793"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0.59</w:t>
            </w:r>
            <w:r>
              <w:rPr>
                <w:rFonts w:ascii="Times New Roman" w:hAnsi="Times New Roman"/>
                <w:color w:val="000000"/>
                <w:kern w:val="0"/>
                <w:sz w:val="18"/>
                <w:szCs w:val="18"/>
                <w:vertAlign w:val="superscript"/>
              </w:rPr>
              <w:t>**</w:t>
            </w:r>
          </w:p>
        </w:tc>
        <w:tc>
          <w:tcPr>
            <w:tcW w:w="795"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0.31 </w:t>
            </w:r>
          </w:p>
        </w:tc>
        <w:tc>
          <w:tcPr>
            <w:tcW w:w="230" w:type="dxa"/>
            <w:shd w:val="clear" w:color="auto" w:fill="FFFFFF"/>
            <w:vAlign w:val="center"/>
          </w:tcPr>
          <w:p w:rsidR="00982F33" w:rsidRDefault="00982F33">
            <w:pPr>
              <w:spacing w:line="276" w:lineRule="auto"/>
              <w:rPr>
                <w:kern w:val="0"/>
                <w:szCs w:val="20"/>
              </w:rPr>
            </w:pPr>
          </w:p>
        </w:tc>
        <w:tc>
          <w:tcPr>
            <w:tcW w:w="563" w:type="dxa"/>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WML</w:t>
            </w:r>
          </w:p>
        </w:tc>
        <w:tc>
          <w:tcPr>
            <w:tcW w:w="794" w:type="dxa"/>
            <w:tcBorders>
              <w:top w:val="single" w:sz="4" w:space="0" w:color="00000A"/>
            </w:tcBorders>
            <w:shd w:val="clear" w:color="auto" w:fill="FFFFFF"/>
            <w:vAlign w:val="bottom"/>
          </w:tcPr>
          <w:p w:rsidR="00982F33" w:rsidRDefault="00616B04">
            <w:pPr>
              <w:spacing w:line="276" w:lineRule="auto"/>
              <w:rPr>
                <w:kern w:val="0"/>
              </w:rPr>
            </w:pPr>
            <w:r>
              <w:rPr>
                <w:rFonts w:ascii="Times New Roman" w:hAnsi="Times New Roman"/>
                <w:color w:val="000000"/>
                <w:kern w:val="0"/>
              </w:rPr>
              <w:t>0.61</w:t>
            </w:r>
            <w:r>
              <w:rPr>
                <w:rFonts w:ascii="Times New Roman" w:hAnsi="Times New Roman"/>
                <w:color w:val="000000"/>
                <w:kern w:val="0"/>
                <w:sz w:val="18"/>
                <w:szCs w:val="18"/>
                <w:vertAlign w:val="superscript"/>
              </w:rPr>
              <w:t>*</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0.42 </w:t>
            </w:r>
          </w:p>
        </w:tc>
        <w:tc>
          <w:tcPr>
            <w:tcW w:w="793"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0.23 </w:t>
            </w:r>
          </w:p>
        </w:tc>
        <w:tc>
          <w:tcPr>
            <w:tcW w:w="837" w:type="dxa"/>
            <w:tcBorders>
              <w:top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 xml:space="preserve">0.06 </w:t>
            </w:r>
          </w:p>
        </w:tc>
      </w:tr>
      <w:tr w:rsidR="00982F33">
        <w:trPr>
          <w:trHeight w:val="261"/>
          <w:jc w:val="center"/>
        </w:trPr>
        <w:tc>
          <w:tcPr>
            <w:tcW w:w="47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91"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2"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[1.86]</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[2.55]</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[2.40]</w:t>
            </w:r>
          </w:p>
        </w:tc>
        <w:tc>
          <w:tcPr>
            <w:tcW w:w="795"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[1.40]</w:t>
            </w:r>
          </w:p>
        </w:tc>
        <w:tc>
          <w:tcPr>
            <w:tcW w:w="230" w:type="dxa"/>
            <w:tcBorders>
              <w:top w:val="single" w:sz="4" w:space="0" w:color="00000A"/>
              <w:bottom w:val="single" w:sz="4" w:space="0" w:color="00000A"/>
            </w:tcBorders>
            <w:shd w:val="clear" w:color="auto" w:fill="FFFFFF"/>
            <w:vAlign w:val="center"/>
          </w:tcPr>
          <w:p w:rsidR="00982F33" w:rsidRDefault="00982F33">
            <w:pPr>
              <w:spacing w:line="276" w:lineRule="auto"/>
              <w:rPr>
                <w:kern w:val="0"/>
                <w:szCs w:val="20"/>
              </w:rPr>
            </w:pPr>
          </w:p>
        </w:tc>
        <w:tc>
          <w:tcPr>
            <w:tcW w:w="563" w:type="dxa"/>
            <w:tcBorders>
              <w:top w:val="single" w:sz="4" w:space="0" w:color="00000A"/>
              <w:bottom w:val="single" w:sz="4" w:space="0" w:color="00000A"/>
            </w:tcBorders>
            <w:shd w:val="clear" w:color="auto" w:fill="auto"/>
            <w:vAlign w:val="center"/>
          </w:tcPr>
          <w:p w:rsidR="00982F33" w:rsidRDefault="00982F33">
            <w:pPr>
              <w:spacing w:line="276" w:lineRule="auto"/>
              <w:rPr>
                <w:color w:val="000000"/>
                <w:kern w:val="0"/>
                <w:szCs w:val="20"/>
              </w:rPr>
            </w:pPr>
          </w:p>
        </w:tc>
        <w:tc>
          <w:tcPr>
            <w:tcW w:w="1105" w:type="dxa"/>
            <w:tcBorders>
              <w:top w:val="single" w:sz="4" w:space="0" w:color="00000A"/>
              <w:bottom w:val="single" w:sz="4" w:space="0" w:color="00000A"/>
            </w:tcBorders>
            <w:shd w:val="clear" w:color="auto" w:fill="FFFFFF"/>
            <w:vAlign w:val="center"/>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t-value</w:t>
            </w:r>
          </w:p>
        </w:tc>
        <w:tc>
          <w:tcPr>
            <w:tcW w:w="794"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[1.87]</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[1.41]</w:t>
            </w:r>
          </w:p>
        </w:tc>
        <w:tc>
          <w:tcPr>
            <w:tcW w:w="793"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[0.84]</w:t>
            </w:r>
          </w:p>
        </w:tc>
        <w:tc>
          <w:tcPr>
            <w:tcW w:w="837" w:type="dxa"/>
            <w:tcBorders>
              <w:top w:val="single" w:sz="4" w:space="0" w:color="00000A"/>
              <w:bottom w:val="single" w:sz="4" w:space="0" w:color="00000A"/>
            </w:tcBorders>
            <w:shd w:val="clear" w:color="auto" w:fill="FFFFFF"/>
            <w:vAlign w:val="bottom"/>
          </w:tcPr>
          <w:p w:rsidR="00982F33" w:rsidRDefault="00616B04">
            <w:pPr>
              <w:spacing w:line="276" w:lineRule="auto"/>
              <w:rPr>
                <w:rFonts w:ascii="Times New Roman" w:hAnsi="Times New Roman"/>
                <w:color w:val="000000"/>
                <w:kern w:val="0"/>
                <w:szCs w:val="20"/>
              </w:rPr>
            </w:pPr>
            <w:r>
              <w:rPr>
                <w:rFonts w:ascii="Times New Roman" w:hAnsi="Times New Roman"/>
                <w:color w:val="000000"/>
                <w:kern w:val="0"/>
                <w:szCs w:val="20"/>
              </w:rPr>
              <w:t>[0.24]</w:t>
            </w:r>
          </w:p>
        </w:tc>
      </w:tr>
    </w:tbl>
    <w:p w:rsidR="00982F33" w:rsidRPr="00BC2BF4" w:rsidRDefault="00616B04" w:rsidP="00BC2BF4">
      <w:pPr>
        <w:widowControl/>
        <w:spacing w:after="160" w:line="259" w:lineRule="auto"/>
        <w:rPr>
          <w:rFonts w:ascii="바탕" w:eastAsia="바탕" w:hAnsi="바탕"/>
          <w:b/>
          <w:spacing w:val="-6"/>
          <w:sz w:val="22"/>
          <w:szCs w:val="20"/>
        </w:rPr>
      </w:pPr>
      <w:r>
        <w:br w:type="page"/>
      </w:r>
      <w:r>
        <w:rPr>
          <w:rFonts w:ascii="바탕" w:eastAsia="바탕" w:hAnsi="바탕"/>
          <w:b/>
          <w:spacing w:val="-6"/>
          <w:sz w:val="22"/>
        </w:rPr>
        <w:lastRenderedPageBreak/>
        <w:t xml:space="preserve">3.1 </w:t>
      </w:r>
      <w:r>
        <w:rPr>
          <w:rFonts w:ascii="바탕" w:eastAsia="바탕" w:hAnsi="바탕"/>
          <w:b/>
          <w:spacing w:val="-6"/>
          <w:sz w:val="22"/>
          <w:szCs w:val="20"/>
        </w:rPr>
        <w:t>차익거래제한(L</w:t>
      </w:r>
      <w:r>
        <w:rPr>
          <w:rFonts w:ascii="Times New Roman" w:eastAsia="바탕" w:hAnsi="Times New Roman"/>
          <w:b/>
          <w:spacing w:val="-6"/>
          <w:sz w:val="22"/>
          <w:szCs w:val="20"/>
        </w:rPr>
        <w:t>imits to arbitrage</w:t>
      </w:r>
      <w:r>
        <w:rPr>
          <w:rFonts w:ascii="바탕" w:eastAsia="바탕" w:hAnsi="바탕"/>
          <w:b/>
          <w:spacing w:val="-6"/>
          <w:sz w:val="22"/>
          <w:szCs w:val="20"/>
        </w:rPr>
        <w:t>)요인에 따른 모멘텀 투자전략</w:t>
      </w:r>
    </w:p>
    <w:p w:rsidR="00982F33" w:rsidRDefault="00616B04">
      <w:pPr>
        <w:spacing w:line="432" w:lineRule="auto"/>
      </w:pPr>
      <w:r>
        <w:rPr>
          <w:rFonts w:ascii="바탕" w:eastAsia="바탕" w:hAnsi="바탕"/>
          <w:spacing w:val="-6"/>
          <w:szCs w:val="20"/>
        </w:rPr>
        <w:t>본 절에서는 국내 주식시장에서 발생하는 모멘텀 현상이 차익거래 제한</w:t>
      </w:r>
      <w:r w:rsidR="006C3A08">
        <w:rPr>
          <w:rFonts w:ascii="바탕" w:eastAsia="바탕" w:hAnsi="바탕" w:hint="eastAsia"/>
          <w:spacing w:val="-6"/>
          <w:szCs w:val="20"/>
        </w:rPr>
        <w:t xml:space="preserve"> </w:t>
      </w:r>
      <w:r>
        <w:rPr>
          <w:rFonts w:ascii="바탕" w:eastAsia="바탕" w:hAnsi="바탕"/>
          <w:spacing w:val="-6"/>
          <w:szCs w:val="20"/>
        </w:rPr>
        <w:t>요인에 의한 투자자들의 과소</w:t>
      </w:r>
      <w:r w:rsidR="006C3A08">
        <w:rPr>
          <w:rFonts w:ascii="바탕" w:eastAsia="바탕" w:hAnsi="바탕" w:hint="eastAsia"/>
          <w:spacing w:val="-6"/>
          <w:szCs w:val="20"/>
        </w:rPr>
        <w:t xml:space="preserve"> </w:t>
      </w:r>
      <w:r>
        <w:rPr>
          <w:rFonts w:ascii="바탕" w:eastAsia="바탕" w:hAnsi="바탕"/>
          <w:spacing w:val="-6"/>
          <w:szCs w:val="20"/>
        </w:rPr>
        <w:t>반응에 의한 것인지 분석하고자 한다. 즉 차익거래위험, 거래비용, 그리고 정보의 불확실성의 정도가 심화될수록 모멘텀 투자전략을 통한 양의 수익률이 증가하는지 살펴보고자 한다. 분석을 위해 차익거래 제한</w:t>
      </w:r>
      <w:r w:rsidR="006C3A08">
        <w:rPr>
          <w:rFonts w:ascii="바탕" w:eastAsia="바탕" w:hAnsi="바탕" w:hint="eastAsia"/>
          <w:spacing w:val="-6"/>
          <w:szCs w:val="20"/>
        </w:rPr>
        <w:t xml:space="preserve"> </w:t>
      </w:r>
      <w:r>
        <w:rPr>
          <w:rFonts w:ascii="바탕" w:eastAsia="바탕" w:hAnsi="바탕"/>
          <w:spacing w:val="-6"/>
          <w:szCs w:val="20"/>
        </w:rPr>
        <w:t>요인의 대용</w:t>
      </w:r>
      <w:r w:rsidR="006C3A08">
        <w:rPr>
          <w:rFonts w:ascii="바탕" w:eastAsia="바탕" w:hAnsi="바탕" w:hint="eastAsia"/>
          <w:spacing w:val="-6"/>
          <w:szCs w:val="20"/>
        </w:rPr>
        <w:t xml:space="preserve"> </w:t>
      </w:r>
      <w:r>
        <w:rPr>
          <w:rFonts w:ascii="바탕" w:eastAsia="바탕" w:hAnsi="바탕"/>
          <w:spacing w:val="-6"/>
          <w:szCs w:val="20"/>
        </w:rPr>
        <w:t xml:space="preserve">변수와 과거 수익률 변수 각각에 대하여 4개의 포트폴리오를 구성하고, 2개의 변수를 이용한 상호 독립적 분류 (two-way independent sorting)를 통한 </w:t>
      </w:r>
      <m:oMath>
        <m:r>
          <w:rPr>
            <w:rFonts w:ascii="Cambria Math" w:hAnsi="Cambria Math"/>
          </w:rPr>
          <m:t>4×4</m:t>
        </m:r>
      </m:oMath>
      <w:r>
        <w:rPr>
          <w:rFonts w:ascii="바탕" w:eastAsia="바탕" w:hAnsi="바탕"/>
          <w:spacing w:val="-6"/>
          <w:szCs w:val="20"/>
        </w:rPr>
        <w:t xml:space="preserve"> 포트폴리오를 구성하였다. 각 포트폴리오 별로 표본기업들의 시장가치에 의해 가중평균한 수익률을 살펴보고자 한다. </w:t>
      </w:r>
      <w:r>
        <w:rPr>
          <w:rFonts w:ascii="바탕" w:eastAsia="바탕" w:hAnsi="바탕" w:cs="바탕"/>
          <w:spacing w:val="-6"/>
          <w:szCs w:val="20"/>
        </w:rPr>
        <w:t xml:space="preserve">&lt;표 5&gt; 의 결과에서 거래대금(TVOL), 최근 주가(PRC), 애널리스트 수(ACOV)등은 음수를 취해 값이 커질수록 차익거래제한이 커지도록하여 다른 변수들과 일관성을 갖추도록 하였다. </w:t>
      </w:r>
    </w:p>
    <w:p w:rsidR="00982F33" w:rsidRDefault="00616B04">
      <w:pPr>
        <w:spacing w:line="432" w:lineRule="auto"/>
        <w:rPr>
          <w:rFonts w:ascii="바탕" w:eastAsia="바탕" w:hAnsi="바탕" w:cs="바탕"/>
          <w:spacing w:val="-6"/>
          <w:szCs w:val="20"/>
        </w:rPr>
      </w:pPr>
      <w:r>
        <w:rPr>
          <w:rFonts w:ascii="바탕" w:eastAsia="바탕" w:hAnsi="바탕" w:cs="바탕"/>
          <w:spacing w:val="-6"/>
          <w:szCs w:val="20"/>
        </w:rPr>
        <w:t xml:space="preserve">만약 모멘텀현상이 차익거래제한의 영향을 받는다면 차익거래제한의 크기가 커질수록 모멘텀 현상이 두드려져야 한다. 따라서 차익거래 제한이 클때의 WML이 작을때의 WML 보다 그 크기가 커질 것이다. </w:t>
      </w:r>
    </w:p>
    <w:p w:rsidR="00982F33" w:rsidRDefault="00616B04">
      <w:pPr>
        <w:spacing w:line="432" w:lineRule="auto"/>
        <w:rPr>
          <w:rFonts w:ascii="바탕" w:eastAsia="바탕" w:hAnsi="바탕" w:cs="바탕"/>
          <w:spacing w:val="-6"/>
          <w:szCs w:val="20"/>
        </w:rPr>
      </w:pPr>
      <w:r>
        <w:rPr>
          <w:rFonts w:ascii="바탕" w:eastAsia="바탕" w:hAnsi="바탕" w:cs="바탕"/>
          <w:spacing w:val="-6"/>
          <w:szCs w:val="20"/>
        </w:rPr>
        <w:t xml:space="preserve">그러나 차익거래위험, 거래비용, 정보의 불확실성을 나타내는 일곱 개의 차익거래제한 대용변수 중 어떤 것에서도 그와 같은 현상은 발견되지 않았다. 통계적으로 유의하게 커지는 것은 고사하고 7개의 변수중 4개에서 그 크기가 오히려 작아졌다. 모멘텀 현상이 시장의 제한 요소에 의한 가격 비효율성에서 기인하는 것이라 결론내리기 힘들게 되었다. </w:t>
      </w:r>
    </w:p>
    <w:p w:rsidR="00982F33" w:rsidRDefault="00982F33">
      <w:pPr>
        <w:spacing w:line="432" w:lineRule="auto"/>
        <w:rPr>
          <w:rFonts w:ascii="바탕" w:eastAsia="바탕" w:hAnsi="바탕"/>
          <w:spacing w:val="-6"/>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982F33">
      <w:pPr>
        <w:widowControl/>
        <w:spacing w:after="160" w:line="259" w:lineRule="auto"/>
        <w:rPr>
          <w:rFonts w:ascii="바탕" w:eastAsia="바탕" w:hAnsi="바탕" w:cs="바탕"/>
          <w:b/>
          <w:szCs w:val="20"/>
        </w:rPr>
      </w:pPr>
    </w:p>
    <w:p w:rsidR="00982F33" w:rsidRDefault="00616B04">
      <w:pPr>
        <w:jc w:val="center"/>
      </w:pPr>
      <w:r>
        <w:rPr>
          <w:rFonts w:ascii="Times New Roman" w:hAnsi="Times New Roman"/>
          <w:b/>
          <w:szCs w:val="20"/>
        </w:rPr>
        <w:t>&lt;</w:t>
      </w:r>
      <w:r>
        <w:rPr>
          <w:rFonts w:ascii="바탕" w:eastAsia="바탕" w:hAnsi="바탕" w:cs="바탕"/>
          <w:b/>
          <w:szCs w:val="20"/>
        </w:rPr>
        <w:t>표</w:t>
      </w:r>
      <w:r>
        <w:rPr>
          <w:rFonts w:ascii="Times New Roman" w:hAnsi="Times New Roman"/>
          <w:b/>
          <w:szCs w:val="20"/>
        </w:rPr>
        <w:t xml:space="preserve"> 5&gt; </w:t>
      </w:r>
      <w:r>
        <w:rPr>
          <w:rFonts w:ascii="바탕" w:eastAsia="바탕" w:hAnsi="바탕" w:cs="바탕"/>
          <w:b/>
          <w:szCs w:val="20"/>
        </w:rPr>
        <w:t>모멘텀 투자전략과 차익거래 제한(limits-to-arbitrage)요인</w:t>
      </w:r>
    </w:p>
    <w:p w:rsidR="00982F33" w:rsidRDefault="00982F33">
      <w:pPr>
        <w:rPr>
          <w:rFonts w:ascii="바탕" w:eastAsia="바탕" w:hAnsi="바탕"/>
          <w:szCs w:val="20"/>
        </w:rPr>
      </w:pPr>
    </w:p>
    <w:p w:rsidR="00982F33" w:rsidRDefault="00616B04">
      <w:r>
        <w:rPr>
          <w:rFonts w:ascii="바탕" w:eastAsia="바탕" w:hAnsi="바탕"/>
          <w:szCs w:val="20"/>
        </w:rPr>
        <w:t xml:space="preserve">본 표는 </w:t>
      </w:r>
      <w:r w:rsidR="005F3ED8">
        <w:rPr>
          <w:rFonts w:ascii="바탕" w:eastAsia="바탕" w:hAnsi="바탕" w:hint="eastAsia"/>
          <w:szCs w:val="20"/>
        </w:rPr>
        <w:t xml:space="preserve">J=6/K=6 인경우, </w:t>
      </w:r>
      <w:r>
        <w:rPr>
          <w:rFonts w:ascii="바탕" w:eastAsia="바탕" w:hAnsi="바탕"/>
          <w:szCs w:val="20"/>
        </w:rPr>
        <w:t xml:space="preserve">모멘텀 투자전략과 차익거래 제한요인으로 two-way independent sorting 하고 각 포트폴리오의 월 평균수익률(%)과 무비용 포트폴리오(zero investment portfolio, WML)의 월 평균 수익률(%)을 보고한다. Panel A는 차익거래 제한요인 중 차익거래 위험(arbitrage risk)에 해당하는 기업고유변동성(Idiosyncratic volatility, IVOL)에 관한 결과이다. Panel B, Panel C, Panel D, 그리고 Panel E는 차익거래 제한요인 중 거래비용(transaction costs)에 해당하는 거래대금 (trading volume), 비유동성(Amihud(2002) illiquidity), 최근 거래된 주식의 가격(recent price), 그리고 영(0) 수익률(zero frequency)에 관한 결과이다. Panel F와 Panel G는 정보의 불확실성(informationi uncertainty)에 해당하는 애널리스트 수(Number of analyst follow), 현금흐름의 변동성(cashflow volatility)에 관한 결과이다. </w:t>
      </w:r>
    </w:p>
    <w:p w:rsidR="00982F33" w:rsidRDefault="00982F33">
      <w:pPr>
        <w:rPr>
          <w:rFonts w:ascii="바탕체" w:eastAsia="바탕체" w:hAnsi="바탕체"/>
        </w:rPr>
      </w:pPr>
    </w:p>
    <w:tbl>
      <w:tblPr>
        <w:tblW w:w="4950" w:type="pct"/>
        <w:tblBorders>
          <w:top w:val="single" w:sz="4" w:space="0" w:color="00000A"/>
        </w:tblBorders>
        <w:tblLook w:val="0000" w:firstRow="0" w:lastRow="0" w:firstColumn="0" w:lastColumn="0" w:noHBand="0" w:noVBand="0"/>
      </w:tblPr>
      <w:tblGrid>
        <w:gridCol w:w="1211"/>
        <w:gridCol w:w="1285"/>
        <w:gridCol w:w="1266"/>
        <w:gridCol w:w="1267"/>
        <w:gridCol w:w="1269"/>
        <w:gridCol w:w="317"/>
        <w:gridCol w:w="1268"/>
        <w:gridCol w:w="1267"/>
      </w:tblGrid>
      <w:tr w:rsidR="00982F33">
        <w:trPr>
          <w:trHeight w:val="300"/>
        </w:trPr>
        <w:tc>
          <w:tcPr>
            <w:tcW w:w="1182" w:type="dxa"/>
            <w:vMerge w:val="restart"/>
            <w:tcBorders>
              <w:top w:val="single" w:sz="4" w:space="0" w:color="00000A"/>
            </w:tcBorders>
            <w:shd w:val="clear" w:color="auto" w:fill="FFFFFF"/>
            <w:vAlign w:val="center"/>
          </w:tcPr>
          <w:p w:rsidR="00982F33" w:rsidRDefault="00616B04">
            <w:pPr>
              <w:jc w:val="center"/>
              <w:rPr>
                <w:rFonts w:ascii="Times New Roman" w:hAnsi="Times New Roman"/>
                <w:szCs w:val="20"/>
              </w:rPr>
            </w:pPr>
            <w:r>
              <w:rPr>
                <w:rFonts w:ascii="Times New Roman" w:hAnsi="Times New Roman"/>
                <w:szCs w:val="20"/>
              </w:rPr>
              <w:t>Limits-to-arbitrage</w:t>
            </w:r>
          </w:p>
        </w:tc>
        <w:tc>
          <w:tcPr>
            <w:tcW w:w="4967" w:type="dxa"/>
            <w:gridSpan w:val="4"/>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Momentum portfolio</w:t>
            </w:r>
          </w:p>
        </w:tc>
        <w:tc>
          <w:tcPr>
            <w:tcW w:w="310"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38" w:type="dxa"/>
            <w:vMerge w:val="restart"/>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WML</w:t>
            </w:r>
          </w:p>
        </w:tc>
        <w:tc>
          <w:tcPr>
            <w:tcW w:w="1237" w:type="dxa"/>
            <w:vMerge w:val="restart"/>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r>
      <w:tr w:rsidR="00982F33">
        <w:trPr>
          <w:trHeight w:val="320"/>
        </w:trPr>
        <w:tc>
          <w:tcPr>
            <w:tcW w:w="1182" w:type="dxa"/>
            <w:vMerge/>
            <w:tcBorders>
              <w:top w:val="single" w:sz="4" w:space="0" w:color="00000A"/>
            </w:tcBorders>
            <w:shd w:val="clear" w:color="auto" w:fill="FFFFFF"/>
            <w:vAlign w:val="center"/>
          </w:tcPr>
          <w:p w:rsidR="00982F33" w:rsidRDefault="00982F33"/>
        </w:tc>
        <w:tc>
          <w:tcPr>
            <w:tcW w:w="125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Loser</w:t>
            </w:r>
          </w:p>
        </w:tc>
        <w:tc>
          <w:tcPr>
            <w:tcW w:w="1236"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w:t>
            </w:r>
          </w:p>
        </w:tc>
        <w:tc>
          <w:tcPr>
            <w:tcW w:w="123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23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Winner</w:t>
            </w:r>
          </w:p>
        </w:tc>
        <w:tc>
          <w:tcPr>
            <w:tcW w:w="310" w:type="dxa"/>
            <w:shd w:val="clear" w:color="auto" w:fill="FFFFFF"/>
            <w:vAlign w:val="center"/>
          </w:tcPr>
          <w:p w:rsidR="00982F33" w:rsidRDefault="00982F33">
            <w:pPr>
              <w:jc w:val="center"/>
              <w:rPr>
                <w:rFonts w:ascii="Times New Roman" w:eastAsia="Times New Roman" w:hAnsi="Times New Roman"/>
                <w:color w:val="000000"/>
                <w:szCs w:val="20"/>
              </w:rPr>
            </w:pPr>
          </w:p>
        </w:tc>
        <w:tc>
          <w:tcPr>
            <w:tcW w:w="1238" w:type="dxa"/>
            <w:vMerge/>
            <w:tcBorders>
              <w:top w:val="single" w:sz="4" w:space="0" w:color="00000A"/>
            </w:tcBorders>
            <w:shd w:val="clear" w:color="auto" w:fill="FFFFFF"/>
            <w:vAlign w:val="center"/>
          </w:tcPr>
          <w:p w:rsidR="00982F33" w:rsidRDefault="00982F33"/>
        </w:tc>
        <w:tc>
          <w:tcPr>
            <w:tcW w:w="1237" w:type="dxa"/>
            <w:vMerge/>
            <w:tcBorders>
              <w:top w:val="single" w:sz="4" w:space="0" w:color="00000A"/>
            </w:tcBorders>
            <w:shd w:val="clear" w:color="auto" w:fill="FFFFFF"/>
            <w:vAlign w:val="center"/>
          </w:tcPr>
          <w:p w:rsidR="00982F33" w:rsidRDefault="00982F33"/>
        </w:tc>
      </w:tr>
      <w:tr w:rsidR="00982F33">
        <w:trPr>
          <w:trHeight w:val="300"/>
        </w:trPr>
        <w:tc>
          <w:tcPr>
            <w:tcW w:w="8934" w:type="dxa"/>
            <w:gridSpan w:val="8"/>
            <w:tcBorders>
              <w:top w:val="single" w:sz="4" w:space="0" w:color="00000A"/>
            </w:tcBorders>
            <w:shd w:val="clear" w:color="auto" w:fill="FFFFFF"/>
            <w:vAlign w:val="center"/>
          </w:tcPr>
          <w:p w:rsidR="00982F33" w:rsidRDefault="00616B04">
            <w:pPr>
              <w:jc w:val="center"/>
              <w:rPr>
                <w:rFonts w:ascii="Times New Roman" w:hAnsi="Times New Roman"/>
                <w:color w:val="000000"/>
                <w:sz w:val="21"/>
                <w:szCs w:val="21"/>
              </w:rPr>
            </w:pPr>
            <w:r>
              <w:rPr>
                <w:rFonts w:ascii="Times New Roman" w:hAnsi="Times New Roman"/>
                <w:color w:val="000000"/>
                <w:sz w:val="21"/>
                <w:szCs w:val="21"/>
              </w:rPr>
              <w:t>Panel A: IVOL</w:t>
            </w:r>
          </w:p>
        </w:tc>
      </w:tr>
      <w:tr w:rsidR="00982F33">
        <w:trPr>
          <w:trHeight w:val="300"/>
        </w:trPr>
        <w:tc>
          <w:tcPr>
            <w:tcW w:w="1182" w:type="dxa"/>
            <w:shd w:val="clear" w:color="auto" w:fill="FFFFFF"/>
            <w:vAlign w:val="center"/>
          </w:tcPr>
          <w:p w:rsidR="00982F33" w:rsidRDefault="00616B04">
            <w:pPr>
              <w:jc w:val="center"/>
              <w:rPr>
                <w:rFonts w:ascii="Times New Roman" w:hAnsi="Times New Roman"/>
                <w:color w:val="000000"/>
                <w:sz w:val="21"/>
                <w:szCs w:val="21"/>
              </w:rPr>
            </w:pPr>
            <w:r>
              <w:rPr>
                <w:rFonts w:ascii="Times New Roman" w:hAnsi="Times New Roman"/>
                <w:color w:val="000000"/>
                <w:sz w:val="21"/>
                <w:szCs w:val="21"/>
              </w:rPr>
              <w:t>1(low)</w:t>
            </w:r>
          </w:p>
        </w:tc>
        <w:tc>
          <w:tcPr>
            <w:tcW w:w="1255"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0.653</w:t>
            </w:r>
          </w:p>
        </w:tc>
        <w:tc>
          <w:tcPr>
            <w:tcW w:w="1236" w:type="dxa"/>
            <w:shd w:val="clear" w:color="auto" w:fill="FFFFFF"/>
            <w:vAlign w:val="center"/>
          </w:tcPr>
          <w:p w:rsidR="00982F33" w:rsidRDefault="00616B04">
            <w:r>
              <w:rPr>
                <w:rFonts w:ascii="Times New Roman" w:hAnsi="Times New Roman"/>
                <w:color w:val="000000"/>
                <w:sz w:val="21"/>
                <w:szCs w:val="21"/>
              </w:rPr>
              <w:t>0.764</w:t>
            </w:r>
            <w:r>
              <w:rPr>
                <w:rFonts w:ascii="Times New Roman" w:hAnsi="Times New Roman"/>
                <w:color w:val="000000"/>
                <w:sz w:val="17"/>
                <w:szCs w:val="17"/>
                <w:vertAlign w:val="superscript"/>
              </w:rPr>
              <w:t>*</w:t>
            </w:r>
          </w:p>
        </w:tc>
        <w:tc>
          <w:tcPr>
            <w:tcW w:w="1237" w:type="dxa"/>
            <w:shd w:val="clear" w:color="auto" w:fill="FFFFFF"/>
            <w:vAlign w:val="center"/>
          </w:tcPr>
          <w:p w:rsidR="00982F33" w:rsidRDefault="00616B04">
            <w:r>
              <w:rPr>
                <w:rFonts w:ascii="Times New Roman" w:hAnsi="Times New Roman"/>
                <w:color w:val="000000"/>
                <w:sz w:val="21"/>
                <w:szCs w:val="21"/>
              </w:rPr>
              <w:t>0.898</w:t>
            </w:r>
            <w:r>
              <w:rPr>
                <w:rFonts w:ascii="Times New Roman" w:hAnsi="Times New Roman"/>
                <w:color w:val="000000"/>
                <w:sz w:val="17"/>
                <w:szCs w:val="17"/>
                <w:vertAlign w:val="superscript"/>
              </w:rPr>
              <w:t>*</w:t>
            </w:r>
          </w:p>
        </w:tc>
        <w:tc>
          <w:tcPr>
            <w:tcW w:w="1239" w:type="dxa"/>
            <w:shd w:val="clear" w:color="auto" w:fill="FFFFFF"/>
            <w:vAlign w:val="center"/>
          </w:tcPr>
          <w:p w:rsidR="00982F33" w:rsidRDefault="00616B04">
            <w:r>
              <w:rPr>
                <w:rFonts w:ascii="Times New Roman" w:hAnsi="Times New Roman"/>
                <w:color w:val="000000"/>
                <w:sz w:val="21"/>
                <w:szCs w:val="21"/>
              </w:rPr>
              <w:t>1.502</w:t>
            </w:r>
            <w:r>
              <w:rPr>
                <w:rFonts w:ascii="Times New Roman" w:hAnsi="Times New Roman"/>
                <w:color w:val="000000"/>
                <w:sz w:val="17"/>
                <w:szCs w:val="17"/>
                <w:vertAlign w:val="superscript"/>
              </w:rPr>
              <w:t>***</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r>
              <w:rPr>
                <w:rFonts w:ascii="Times New Roman" w:hAnsi="Times New Roman"/>
                <w:color w:val="000000"/>
                <w:sz w:val="21"/>
                <w:szCs w:val="21"/>
              </w:rPr>
              <w:t>0.849</w:t>
            </w:r>
            <w:r>
              <w:rPr>
                <w:rFonts w:ascii="Times New Roman" w:hAnsi="Times New Roman"/>
                <w:color w:val="000000"/>
                <w:sz w:val="17"/>
                <w:szCs w:val="17"/>
                <w:vertAlign w:val="superscript"/>
              </w:rPr>
              <w:t>*</w:t>
            </w:r>
            <w:r>
              <w:rPr>
                <w:rFonts w:ascii="Times New Roman" w:hAnsi="Times New Roman"/>
                <w:color w:val="000000"/>
                <w:sz w:val="21"/>
                <w:szCs w:val="21"/>
              </w:rPr>
              <w:t xml:space="preserve">   </w:t>
            </w:r>
          </w:p>
        </w:tc>
        <w:tc>
          <w:tcPr>
            <w:tcW w:w="1237"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(1.78)</w:t>
            </w:r>
          </w:p>
        </w:tc>
      </w:tr>
      <w:tr w:rsidR="00982F33">
        <w:trPr>
          <w:trHeight w:val="300"/>
        </w:trPr>
        <w:tc>
          <w:tcPr>
            <w:tcW w:w="1182" w:type="dxa"/>
            <w:shd w:val="clear" w:color="auto" w:fill="FFFFFF"/>
            <w:vAlign w:val="center"/>
          </w:tcPr>
          <w:p w:rsidR="00982F33" w:rsidRDefault="00616B04">
            <w:pPr>
              <w:jc w:val="center"/>
              <w:rPr>
                <w:rFonts w:ascii="Times New Roman" w:hAnsi="Times New Roman"/>
                <w:color w:val="000000"/>
                <w:sz w:val="21"/>
                <w:szCs w:val="21"/>
              </w:rPr>
            </w:pPr>
            <w:r>
              <w:rPr>
                <w:rFonts w:ascii="Times New Roman" w:hAnsi="Times New Roman"/>
                <w:color w:val="000000"/>
                <w:sz w:val="21"/>
                <w:szCs w:val="21"/>
              </w:rPr>
              <w:t>2</w:t>
            </w:r>
          </w:p>
        </w:tc>
        <w:tc>
          <w:tcPr>
            <w:tcW w:w="1255" w:type="dxa"/>
            <w:shd w:val="clear" w:color="auto" w:fill="FFFFFF"/>
            <w:vAlign w:val="center"/>
          </w:tcPr>
          <w:p w:rsidR="00982F33" w:rsidRDefault="00616B04">
            <w:r>
              <w:rPr>
                <w:rFonts w:ascii="Times New Roman" w:hAnsi="Times New Roman"/>
                <w:color w:val="000000"/>
                <w:sz w:val="21"/>
                <w:szCs w:val="21"/>
              </w:rPr>
              <w:t>1.142</w:t>
            </w:r>
            <w:r>
              <w:rPr>
                <w:rFonts w:ascii="Times New Roman" w:hAnsi="Times New Roman"/>
                <w:color w:val="000000"/>
                <w:sz w:val="17"/>
                <w:szCs w:val="17"/>
                <w:vertAlign w:val="superscript"/>
              </w:rPr>
              <w:t>**</w:t>
            </w:r>
          </w:p>
        </w:tc>
        <w:tc>
          <w:tcPr>
            <w:tcW w:w="1236" w:type="dxa"/>
            <w:shd w:val="clear" w:color="auto" w:fill="FFFFFF"/>
            <w:vAlign w:val="center"/>
          </w:tcPr>
          <w:p w:rsidR="00982F33" w:rsidRDefault="00616B04">
            <w:r>
              <w:rPr>
                <w:rFonts w:ascii="Times New Roman" w:hAnsi="Times New Roman"/>
                <w:color w:val="000000"/>
                <w:sz w:val="21"/>
                <w:szCs w:val="21"/>
              </w:rPr>
              <w:t>1.177</w:t>
            </w:r>
            <w:r>
              <w:rPr>
                <w:rFonts w:ascii="Times New Roman" w:hAnsi="Times New Roman"/>
                <w:color w:val="000000"/>
                <w:sz w:val="17"/>
                <w:szCs w:val="17"/>
                <w:vertAlign w:val="superscript"/>
              </w:rPr>
              <w:t>**</w:t>
            </w:r>
          </w:p>
        </w:tc>
        <w:tc>
          <w:tcPr>
            <w:tcW w:w="1237" w:type="dxa"/>
            <w:shd w:val="clear" w:color="auto" w:fill="FFFFFF"/>
            <w:vAlign w:val="center"/>
          </w:tcPr>
          <w:p w:rsidR="00982F33" w:rsidRDefault="00616B04">
            <w:r>
              <w:rPr>
                <w:rFonts w:ascii="Times New Roman" w:hAnsi="Times New Roman"/>
                <w:color w:val="000000"/>
                <w:sz w:val="21"/>
                <w:szCs w:val="21"/>
              </w:rPr>
              <w:t>1.355</w:t>
            </w:r>
            <w:r>
              <w:rPr>
                <w:rFonts w:ascii="Times New Roman" w:hAnsi="Times New Roman"/>
                <w:color w:val="000000"/>
                <w:sz w:val="17"/>
                <w:szCs w:val="17"/>
                <w:vertAlign w:val="superscript"/>
              </w:rPr>
              <w:t>**</w:t>
            </w:r>
          </w:p>
        </w:tc>
        <w:tc>
          <w:tcPr>
            <w:tcW w:w="1239" w:type="dxa"/>
            <w:shd w:val="clear" w:color="auto" w:fill="FFFFFF"/>
            <w:vAlign w:val="center"/>
          </w:tcPr>
          <w:p w:rsidR="00982F33" w:rsidRDefault="00616B04">
            <w:r>
              <w:rPr>
                <w:rFonts w:ascii="Times New Roman" w:hAnsi="Times New Roman"/>
                <w:color w:val="000000"/>
                <w:sz w:val="21"/>
                <w:szCs w:val="21"/>
              </w:rPr>
              <w:t>1.763</w:t>
            </w:r>
            <w:r>
              <w:rPr>
                <w:rFonts w:ascii="Times New Roman" w:hAnsi="Times New Roman"/>
                <w:color w:val="000000"/>
                <w:sz w:val="17"/>
                <w:szCs w:val="17"/>
                <w:vertAlign w:val="superscript"/>
              </w:rPr>
              <w:t>***</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 xml:space="preserve">0.621    </w:t>
            </w:r>
          </w:p>
        </w:tc>
        <w:tc>
          <w:tcPr>
            <w:tcW w:w="1237"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(1.43)</w:t>
            </w:r>
          </w:p>
        </w:tc>
      </w:tr>
      <w:tr w:rsidR="00982F33">
        <w:trPr>
          <w:trHeight w:val="300"/>
        </w:trPr>
        <w:tc>
          <w:tcPr>
            <w:tcW w:w="1182" w:type="dxa"/>
            <w:shd w:val="clear" w:color="auto" w:fill="FFFFFF"/>
            <w:vAlign w:val="center"/>
          </w:tcPr>
          <w:p w:rsidR="00982F33" w:rsidRDefault="00616B04">
            <w:pPr>
              <w:jc w:val="center"/>
              <w:rPr>
                <w:rFonts w:ascii="Times New Roman" w:hAnsi="Times New Roman"/>
                <w:color w:val="000000"/>
                <w:sz w:val="21"/>
                <w:szCs w:val="21"/>
              </w:rPr>
            </w:pPr>
            <w:r>
              <w:rPr>
                <w:rFonts w:ascii="Times New Roman" w:hAnsi="Times New Roman"/>
                <w:color w:val="000000"/>
                <w:sz w:val="21"/>
                <w:szCs w:val="21"/>
              </w:rPr>
              <w:t>3</w:t>
            </w:r>
          </w:p>
        </w:tc>
        <w:tc>
          <w:tcPr>
            <w:tcW w:w="1255"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0.75</w:t>
            </w:r>
          </w:p>
        </w:tc>
        <w:tc>
          <w:tcPr>
            <w:tcW w:w="1236"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0.918</w:t>
            </w:r>
          </w:p>
        </w:tc>
        <w:tc>
          <w:tcPr>
            <w:tcW w:w="1237"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0.83</w:t>
            </w:r>
          </w:p>
        </w:tc>
        <w:tc>
          <w:tcPr>
            <w:tcW w:w="1239" w:type="dxa"/>
            <w:shd w:val="clear" w:color="auto" w:fill="FFFFFF"/>
            <w:vAlign w:val="center"/>
          </w:tcPr>
          <w:p w:rsidR="00982F33" w:rsidRDefault="00616B04">
            <w:r>
              <w:rPr>
                <w:rFonts w:ascii="Times New Roman" w:hAnsi="Times New Roman"/>
                <w:color w:val="000000"/>
                <w:sz w:val="21"/>
                <w:szCs w:val="21"/>
              </w:rPr>
              <w:t>1.527</w:t>
            </w:r>
            <w:r>
              <w:rPr>
                <w:rFonts w:ascii="Times New Roman" w:hAnsi="Times New Roman"/>
                <w:color w:val="000000"/>
                <w:sz w:val="17"/>
                <w:szCs w:val="17"/>
                <w:vertAlign w:val="superscript"/>
              </w:rPr>
              <w:t>**</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r>
              <w:rPr>
                <w:rFonts w:ascii="Times New Roman" w:hAnsi="Times New Roman"/>
                <w:color w:val="000000"/>
                <w:sz w:val="21"/>
                <w:szCs w:val="21"/>
              </w:rPr>
              <w:t>0.777</w:t>
            </w:r>
            <w:r>
              <w:rPr>
                <w:rFonts w:ascii="Times New Roman" w:hAnsi="Times New Roman"/>
                <w:color w:val="000000"/>
                <w:sz w:val="17"/>
                <w:szCs w:val="17"/>
                <w:vertAlign w:val="superscript"/>
              </w:rPr>
              <w:t>*</w:t>
            </w:r>
            <w:r>
              <w:rPr>
                <w:rFonts w:ascii="Times New Roman" w:hAnsi="Times New Roman"/>
                <w:color w:val="000000"/>
                <w:sz w:val="21"/>
                <w:szCs w:val="21"/>
              </w:rPr>
              <w:t xml:space="preserve">   </w:t>
            </w:r>
          </w:p>
        </w:tc>
        <w:tc>
          <w:tcPr>
            <w:tcW w:w="1237"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(1.67)</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hAnsi="Times New Roman"/>
                <w:color w:val="000000"/>
                <w:sz w:val="21"/>
                <w:szCs w:val="21"/>
              </w:rPr>
            </w:pPr>
            <w:r>
              <w:rPr>
                <w:rFonts w:ascii="Times New Roman" w:hAnsi="Times New Roman"/>
                <w:color w:val="000000"/>
                <w:sz w:val="21"/>
                <w:szCs w:val="21"/>
              </w:rPr>
              <w:t>4(high)</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-0.303</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0.991</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0.797</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1.144</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tcBorders>
              <w:top w:val="single" w:sz="4" w:space="0" w:color="00000A"/>
              <w:bottom w:val="single" w:sz="4" w:space="0" w:color="00000A"/>
            </w:tcBorders>
            <w:shd w:val="clear" w:color="auto" w:fill="FFFFFF"/>
            <w:vAlign w:val="center"/>
          </w:tcPr>
          <w:p w:rsidR="00982F33" w:rsidRDefault="00616B04">
            <w:r>
              <w:rPr>
                <w:rFonts w:ascii="Times New Roman" w:hAnsi="Times New Roman"/>
                <w:color w:val="000000"/>
                <w:sz w:val="21"/>
                <w:szCs w:val="21"/>
              </w:rPr>
              <w:t>1.446</w:t>
            </w:r>
            <w:r>
              <w:rPr>
                <w:rFonts w:ascii="Times New Roman" w:hAnsi="Times New Roman"/>
                <w:color w:val="000000"/>
                <w:sz w:val="17"/>
                <w:szCs w:val="17"/>
                <w:vertAlign w:val="superscript"/>
              </w:rPr>
              <w:t>**</w:t>
            </w:r>
            <w:r>
              <w:rPr>
                <w:rFonts w:ascii="Times New Roman" w:hAnsi="Times New Roman"/>
                <w:color w:val="000000"/>
                <w:sz w:val="21"/>
                <w:szCs w:val="21"/>
              </w:rPr>
              <w:t xml:space="preserve">  </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(2.26)</w:t>
            </w:r>
          </w:p>
        </w:tc>
      </w:tr>
      <w:tr w:rsidR="00982F33">
        <w:trPr>
          <w:trHeight w:val="300"/>
        </w:trPr>
        <w:tc>
          <w:tcPr>
            <w:tcW w:w="1182" w:type="dxa"/>
            <w:shd w:val="clear" w:color="auto" w:fill="FFFFFF"/>
            <w:vAlign w:val="center"/>
          </w:tcPr>
          <w:p w:rsidR="00982F33" w:rsidRDefault="00616B04">
            <w:pPr>
              <w:jc w:val="center"/>
              <w:rPr>
                <w:rFonts w:ascii="Times New Roman" w:hAnsi="Times New Roman"/>
                <w:color w:val="000000"/>
                <w:sz w:val="21"/>
                <w:szCs w:val="21"/>
              </w:rPr>
            </w:pPr>
            <w:r>
              <w:rPr>
                <w:rFonts w:ascii="Times New Roman" w:hAnsi="Times New Roman"/>
                <w:color w:val="000000"/>
                <w:sz w:val="21"/>
                <w:szCs w:val="21"/>
              </w:rPr>
              <w:t>H-L</w:t>
            </w:r>
          </w:p>
        </w:tc>
        <w:tc>
          <w:tcPr>
            <w:tcW w:w="1255"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-0.956</w:t>
            </w:r>
          </w:p>
        </w:tc>
        <w:tc>
          <w:tcPr>
            <w:tcW w:w="1236"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0.227</w:t>
            </w:r>
          </w:p>
        </w:tc>
        <w:tc>
          <w:tcPr>
            <w:tcW w:w="1237"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-0.101</w:t>
            </w:r>
          </w:p>
        </w:tc>
        <w:tc>
          <w:tcPr>
            <w:tcW w:w="1239"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-0.358</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 xml:space="preserve">0.597    </w:t>
            </w:r>
          </w:p>
        </w:tc>
        <w:tc>
          <w:tcPr>
            <w:tcW w:w="1237" w:type="dxa"/>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(0.87)</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hAnsi="Times New Roman"/>
                <w:color w:val="000000"/>
                <w:sz w:val="21"/>
                <w:szCs w:val="21"/>
              </w:rPr>
            </w:pPr>
            <w:r>
              <w:rPr>
                <w:rFonts w:ascii="Times New Roman" w:hAnsi="Times New Roman"/>
                <w:color w:val="000000"/>
                <w:sz w:val="21"/>
                <w:szCs w:val="21"/>
              </w:rPr>
              <w:t>t-value</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 xml:space="preserve"> (-1.54)</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 xml:space="preserve"> (0.47)</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(-0.23)</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hAnsi="Times New Roman"/>
                <w:color w:val="000000"/>
                <w:sz w:val="21"/>
                <w:szCs w:val="21"/>
              </w:rPr>
            </w:pPr>
            <w:r>
              <w:rPr>
                <w:rFonts w:ascii="Times New Roman" w:hAnsi="Times New Roman"/>
                <w:color w:val="000000"/>
                <w:sz w:val="21"/>
                <w:szCs w:val="21"/>
              </w:rPr>
              <w:t xml:space="preserve"> (-0.67)</w:t>
            </w:r>
          </w:p>
        </w:tc>
        <w:tc>
          <w:tcPr>
            <w:tcW w:w="310"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38"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r>
      <w:tr w:rsidR="00982F33">
        <w:trPr>
          <w:trHeight w:val="300"/>
        </w:trPr>
        <w:tc>
          <w:tcPr>
            <w:tcW w:w="8934" w:type="dxa"/>
            <w:gridSpan w:val="8"/>
            <w:tcBorders>
              <w:top w:val="single" w:sz="4" w:space="0" w:color="00000A"/>
            </w:tcBorders>
            <w:shd w:val="clear" w:color="auto" w:fill="FFFFFF"/>
            <w:vAlign w:val="center"/>
          </w:tcPr>
          <w:p w:rsidR="00982F33" w:rsidRDefault="00616B04">
            <w:pPr>
              <w:jc w:val="center"/>
              <w:rPr>
                <w:rFonts w:ascii="Times New Roman" w:hAnsi="Times New Roman"/>
                <w:color w:val="000000"/>
                <w:szCs w:val="20"/>
              </w:rPr>
            </w:pPr>
            <w:r>
              <w:rPr>
                <w:rFonts w:ascii="Times New Roman" w:hAnsi="Times New Roman"/>
                <w:color w:val="000000"/>
                <w:szCs w:val="20"/>
              </w:rPr>
              <w:t>Panel B: Trading Volume</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1(low)</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0.473</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0.603</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0.826*</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1.466***</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0.993**</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(2.22)</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1.143*</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1.316**</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1.513***</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1.789***</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0.646</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(1.31)</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1.362*</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1.421***</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1.545***</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1.866***</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0.504</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(1.05)</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4(high)</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0.967*</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1.608***</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1.719***</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1.993***</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1.026***</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(3.23)</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H-L</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0.494</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1.005*** </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0.894** </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0.527</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0.033</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(0.07)</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(-1.21)</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(-2.75)</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(2.48)</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(1.14)</w:t>
            </w:r>
          </w:p>
        </w:tc>
        <w:tc>
          <w:tcPr>
            <w:tcW w:w="310"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38"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r>
      <w:tr w:rsidR="00982F33">
        <w:trPr>
          <w:trHeight w:val="300"/>
        </w:trPr>
        <w:tc>
          <w:tcPr>
            <w:tcW w:w="8934" w:type="dxa"/>
            <w:gridSpan w:val="8"/>
            <w:tcBorders>
              <w:top w:val="single" w:sz="4" w:space="0" w:color="00000A"/>
            </w:tcBorders>
            <w:shd w:val="clear" w:color="auto" w:fill="FFFFFF"/>
            <w:vAlign w:val="center"/>
          </w:tcPr>
          <w:p w:rsidR="00982F33" w:rsidRDefault="00616B04">
            <w:pPr>
              <w:jc w:val="center"/>
              <w:rPr>
                <w:rFonts w:ascii="Times New Roman" w:hAnsi="Times New Roman"/>
                <w:color w:val="000000"/>
                <w:szCs w:val="20"/>
              </w:rPr>
            </w:pPr>
            <w:r>
              <w:rPr>
                <w:rFonts w:ascii="Times New Roman" w:hAnsi="Times New Roman"/>
                <w:color w:val="000000"/>
                <w:szCs w:val="20"/>
              </w:rPr>
              <w:t>Panel C: Amihud Illiquidity</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1(low)</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0.362</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0.484</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0.805</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1.310**</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0.948**</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(2.09)</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0.964*</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1.229**</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1.460***</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1.981***</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1.017**</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(2.12)</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1.622***</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1.470***</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1.550***</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2.050***</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0.428</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(0.94)</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4(high)</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2.334***</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1.872***</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2.056***</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2.443***</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0.109</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(0.14)</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H-L</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1.972** </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1.388*** </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1.251*** </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1.133** </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-0.839</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(-1.05)</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(2.57)</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(3.04)</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(2.91)</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(2.25)</w:t>
            </w:r>
          </w:p>
        </w:tc>
        <w:tc>
          <w:tcPr>
            <w:tcW w:w="310"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38"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r>
      <w:tr w:rsidR="00982F33">
        <w:trPr>
          <w:trHeight w:val="300"/>
        </w:trPr>
        <w:tc>
          <w:tcPr>
            <w:tcW w:w="8934" w:type="dxa"/>
            <w:gridSpan w:val="8"/>
            <w:tcBorders>
              <w:top w:val="single" w:sz="4" w:space="0" w:color="00000A"/>
            </w:tcBorders>
            <w:shd w:val="clear" w:color="auto" w:fill="FFFFFF"/>
            <w:vAlign w:val="center"/>
          </w:tcPr>
          <w:p w:rsidR="00982F33" w:rsidRDefault="00616B04">
            <w:pPr>
              <w:jc w:val="center"/>
              <w:rPr>
                <w:rFonts w:ascii="Times New Roman" w:hAnsi="Times New Roman"/>
                <w:color w:val="000000"/>
                <w:szCs w:val="20"/>
              </w:rPr>
            </w:pPr>
            <w:r>
              <w:rPr>
                <w:rFonts w:ascii="Times New Roman" w:hAnsi="Times New Roman"/>
                <w:color w:val="000000"/>
                <w:szCs w:val="20"/>
              </w:rPr>
              <w:t>Panel D: Recent Price</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1(low)</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0.581</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0.521</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0.725</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1.379***</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0.798*   </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(1.73)</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1.044</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1.203**</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1.308**</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1.622**</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0.578</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(1.16)</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0.607</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1.227**</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1.655***</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1.600**</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0.993** </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(2.16)</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4(high)</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0.376</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1.654***</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1.372**</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1.213*</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0.837**  </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(2.02)</w:t>
            </w:r>
          </w:p>
        </w:tc>
      </w:tr>
      <w:tr w:rsidR="00982F33">
        <w:trPr>
          <w:trHeight w:val="300"/>
        </w:trPr>
        <w:tc>
          <w:tcPr>
            <w:tcW w:w="1182"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H-L</w:t>
            </w:r>
          </w:p>
        </w:tc>
        <w:tc>
          <w:tcPr>
            <w:tcW w:w="1255"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-0.205</w:t>
            </w:r>
          </w:p>
        </w:tc>
        <w:tc>
          <w:tcPr>
            <w:tcW w:w="1236"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1.134** </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0.647</w:t>
            </w:r>
          </w:p>
        </w:tc>
        <w:tc>
          <w:tcPr>
            <w:tcW w:w="1239"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-0.166</w:t>
            </w:r>
          </w:p>
        </w:tc>
        <w:tc>
          <w:tcPr>
            <w:tcW w:w="310" w:type="dxa"/>
            <w:shd w:val="clear" w:color="auto" w:fill="FFFFFF"/>
            <w:vAlign w:val="center"/>
          </w:tcPr>
          <w:p w:rsidR="00982F33" w:rsidRDefault="00982F33">
            <w:pPr>
              <w:rPr>
                <w:rFonts w:ascii="Times New Roman" w:eastAsia="Times New Roman" w:hAnsi="Times New Roman"/>
                <w:color w:val="000000"/>
                <w:szCs w:val="20"/>
              </w:rPr>
            </w:pPr>
          </w:p>
        </w:tc>
        <w:tc>
          <w:tcPr>
            <w:tcW w:w="1238"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0.039</w:t>
            </w:r>
          </w:p>
        </w:tc>
        <w:tc>
          <w:tcPr>
            <w:tcW w:w="1237" w:type="dxa"/>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(0.07)</w:t>
            </w:r>
          </w:p>
        </w:tc>
      </w:tr>
      <w:tr w:rsidR="00982F33">
        <w:trPr>
          <w:trHeight w:val="320"/>
        </w:trPr>
        <w:tc>
          <w:tcPr>
            <w:tcW w:w="1182"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255"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(-0.40)</w:t>
            </w:r>
          </w:p>
        </w:tc>
        <w:tc>
          <w:tcPr>
            <w:tcW w:w="1236"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(2.41)</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(1.41)</w:t>
            </w:r>
          </w:p>
        </w:tc>
        <w:tc>
          <w:tcPr>
            <w:tcW w:w="1239"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(-0.29)</w:t>
            </w:r>
          </w:p>
        </w:tc>
        <w:tc>
          <w:tcPr>
            <w:tcW w:w="310"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38"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c>
          <w:tcPr>
            <w:tcW w:w="1237" w:type="dxa"/>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r>
    </w:tbl>
    <w:p w:rsidR="00982F33" w:rsidRDefault="00616B04">
      <w:r>
        <w:br w:type="page"/>
      </w:r>
    </w:p>
    <w:tbl>
      <w:tblPr>
        <w:tblW w:w="5000" w:type="pct"/>
        <w:tblBorders>
          <w:top w:val="single" w:sz="4" w:space="0" w:color="00000A"/>
        </w:tblBorders>
        <w:tblLook w:val="0000" w:firstRow="0" w:lastRow="0" w:firstColumn="0" w:lastColumn="0" w:noHBand="0" w:noVBand="0"/>
      </w:tblPr>
      <w:tblGrid>
        <w:gridCol w:w="1192"/>
        <w:gridCol w:w="71"/>
        <w:gridCol w:w="1195"/>
        <w:gridCol w:w="53"/>
        <w:gridCol w:w="1196"/>
        <w:gridCol w:w="53"/>
        <w:gridCol w:w="1196"/>
        <w:gridCol w:w="53"/>
        <w:gridCol w:w="1194"/>
        <w:gridCol w:w="55"/>
        <w:gridCol w:w="258"/>
        <w:gridCol w:w="60"/>
        <w:gridCol w:w="1190"/>
        <w:gridCol w:w="60"/>
        <w:gridCol w:w="1193"/>
        <w:gridCol w:w="223"/>
      </w:tblGrid>
      <w:tr w:rsidR="00982F33">
        <w:trPr>
          <w:trHeight w:val="300"/>
        </w:trPr>
        <w:tc>
          <w:tcPr>
            <w:tcW w:w="8985" w:type="dxa"/>
            <w:gridSpan w:val="15"/>
            <w:tcBorders>
              <w:top w:val="single" w:sz="4" w:space="0" w:color="00000A"/>
            </w:tcBorders>
            <w:shd w:val="clear" w:color="auto" w:fill="FFFFFF"/>
            <w:vAlign w:val="center"/>
          </w:tcPr>
          <w:p w:rsidR="00982F33" w:rsidRDefault="00616B04">
            <w:pPr>
              <w:pageBreakBefore/>
              <w:jc w:val="center"/>
              <w:rPr>
                <w:rFonts w:ascii="Times New Roman" w:hAnsi="Times New Roman"/>
                <w:color w:val="000000"/>
                <w:szCs w:val="20"/>
              </w:rPr>
            </w:pPr>
            <w:r>
              <w:rPr>
                <w:rFonts w:ascii="Times New Roman" w:hAnsi="Times New Roman"/>
                <w:color w:val="000000"/>
                <w:szCs w:val="20"/>
              </w:rPr>
              <w:lastRenderedPageBreak/>
              <w:t>Panel E: Zero(0) frequency</w:t>
            </w:r>
          </w:p>
        </w:tc>
        <w:tc>
          <w:tcPr>
            <w:tcW w:w="40" w:type="dxa"/>
            <w:tcBorders>
              <w:top w:val="single" w:sz="4" w:space="0" w:color="00000A"/>
            </w:tcBorders>
            <w:shd w:val="clear" w:color="auto" w:fill="auto"/>
          </w:tcPr>
          <w:p w:rsidR="00982F33" w:rsidRDefault="00982F33"/>
        </w:tc>
      </w:tr>
      <w:tr w:rsidR="00982F33">
        <w:trPr>
          <w:trHeight w:val="300"/>
        </w:trPr>
        <w:tc>
          <w:tcPr>
            <w:tcW w:w="118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1(low)</w:t>
            </w:r>
          </w:p>
        </w:tc>
        <w:tc>
          <w:tcPr>
            <w:tcW w:w="126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0.451</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0.716</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0.793</w:t>
            </w:r>
          </w:p>
        </w:tc>
        <w:tc>
          <w:tcPr>
            <w:tcW w:w="124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1.454**</w:t>
            </w:r>
          </w:p>
        </w:tc>
        <w:tc>
          <w:tcPr>
            <w:tcW w:w="312"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1.003**</w:t>
            </w:r>
          </w:p>
        </w:tc>
        <w:tc>
          <w:tcPr>
            <w:tcW w:w="1248"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(2.06)</w:t>
            </w:r>
          </w:p>
        </w:tc>
        <w:tc>
          <w:tcPr>
            <w:tcW w:w="40" w:type="dxa"/>
            <w:shd w:val="clear" w:color="auto" w:fill="auto"/>
          </w:tcPr>
          <w:p w:rsidR="00982F33" w:rsidRDefault="00982F33"/>
        </w:tc>
      </w:tr>
      <w:tr w:rsidR="00982F33">
        <w:trPr>
          <w:trHeight w:val="300"/>
        </w:trPr>
        <w:tc>
          <w:tcPr>
            <w:tcW w:w="118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w:t>
            </w:r>
          </w:p>
        </w:tc>
        <w:tc>
          <w:tcPr>
            <w:tcW w:w="126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0.722</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0.909*</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1.175**</w:t>
            </w:r>
          </w:p>
        </w:tc>
        <w:tc>
          <w:tcPr>
            <w:tcW w:w="124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1.535***</w:t>
            </w:r>
          </w:p>
        </w:tc>
        <w:tc>
          <w:tcPr>
            <w:tcW w:w="312"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0.812*  </w:t>
            </w:r>
          </w:p>
        </w:tc>
        <w:tc>
          <w:tcPr>
            <w:tcW w:w="1248"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(1.71)</w:t>
            </w:r>
          </w:p>
        </w:tc>
        <w:tc>
          <w:tcPr>
            <w:tcW w:w="40" w:type="dxa"/>
            <w:shd w:val="clear" w:color="auto" w:fill="auto"/>
          </w:tcPr>
          <w:p w:rsidR="00982F33" w:rsidRDefault="00982F33"/>
        </w:tc>
      </w:tr>
      <w:tr w:rsidR="00982F33">
        <w:trPr>
          <w:trHeight w:val="300"/>
        </w:trPr>
        <w:tc>
          <w:tcPr>
            <w:tcW w:w="118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26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0.623</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0.767*</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0.948**</w:t>
            </w:r>
          </w:p>
        </w:tc>
        <w:tc>
          <w:tcPr>
            <w:tcW w:w="124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1.757***</w:t>
            </w:r>
          </w:p>
        </w:tc>
        <w:tc>
          <w:tcPr>
            <w:tcW w:w="312"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1.134**</w:t>
            </w:r>
          </w:p>
        </w:tc>
        <w:tc>
          <w:tcPr>
            <w:tcW w:w="1248"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(2.39)</w:t>
            </w:r>
          </w:p>
        </w:tc>
        <w:tc>
          <w:tcPr>
            <w:tcW w:w="40" w:type="dxa"/>
            <w:shd w:val="clear" w:color="auto" w:fill="auto"/>
          </w:tcPr>
          <w:p w:rsidR="00982F33" w:rsidRDefault="00982F33"/>
        </w:tc>
      </w:tr>
      <w:tr w:rsidR="00982F33">
        <w:trPr>
          <w:trHeight w:val="320"/>
        </w:trPr>
        <w:tc>
          <w:tcPr>
            <w:tcW w:w="118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4(high)</w:t>
            </w:r>
          </w:p>
        </w:tc>
        <w:tc>
          <w:tcPr>
            <w:tcW w:w="1262"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0.981</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1.220***</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1.106***</w:t>
            </w:r>
          </w:p>
        </w:tc>
        <w:tc>
          <w:tcPr>
            <w:tcW w:w="1242"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1.191**</w:t>
            </w:r>
          </w:p>
        </w:tc>
        <w:tc>
          <w:tcPr>
            <w:tcW w:w="312"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0.21</w:t>
            </w:r>
          </w:p>
        </w:tc>
        <w:tc>
          <w:tcPr>
            <w:tcW w:w="1248"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(0.39)</w:t>
            </w:r>
          </w:p>
        </w:tc>
        <w:tc>
          <w:tcPr>
            <w:tcW w:w="40" w:type="dxa"/>
            <w:shd w:val="clear" w:color="auto" w:fill="auto"/>
          </w:tcPr>
          <w:p w:rsidR="00982F33" w:rsidRDefault="00982F33"/>
        </w:tc>
      </w:tr>
      <w:tr w:rsidR="00982F33">
        <w:trPr>
          <w:trHeight w:val="300"/>
        </w:trPr>
        <w:tc>
          <w:tcPr>
            <w:tcW w:w="118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H-L</w:t>
            </w:r>
          </w:p>
        </w:tc>
        <w:tc>
          <w:tcPr>
            <w:tcW w:w="126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0.53</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0.504</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0.312</w:t>
            </w:r>
          </w:p>
        </w:tc>
        <w:tc>
          <w:tcPr>
            <w:tcW w:w="1242"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-0.263</w:t>
            </w:r>
          </w:p>
        </w:tc>
        <w:tc>
          <w:tcPr>
            <w:tcW w:w="312"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-0.793</w:t>
            </w:r>
          </w:p>
        </w:tc>
        <w:tc>
          <w:tcPr>
            <w:tcW w:w="1248"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(-1.24)</w:t>
            </w:r>
          </w:p>
        </w:tc>
        <w:tc>
          <w:tcPr>
            <w:tcW w:w="40" w:type="dxa"/>
            <w:shd w:val="clear" w:color="auto" w:fill="auto"/>
          </w:tcPr>
          <w:p w:rsidR="00982F33" w:rsidRDefault="00982F33"/>
        </w:tc>
      </w:tr>
      <w:tr w:rsidR="00982F33">
        <w:trPr>
          <w:trHeight w:val="320"/>
        </w:trPr>
        <w:tc>
          <w:tcPr>
            <w:tcW w:w="118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262"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(0.93)</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(1.42)</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(0.79)</w:t>
            </w:r>
          </w:p>
        </w:tc>
        <w:tc>
          <w:tcPr>
            <w:tcW w:w="1242"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(-0.58)</w:t>
            </w:r>
          </w:p>
        </w:tc>
        <w:tc>
          <w:tcPr>
            <w:tcW w:w="312"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45"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48"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c>
          <w:tcPr>
            <w:tcW w:w="40" w:type="dxa"/>
            <w:shd w:val="clear" w:color="auto" w:fill="auto"/>
          </w:tcPr>
          <w:p w:rsidR="00982F33" w:rsidRDefault="00982F33"/>
        </w:tc>
      </w:tr>
      <w:tr w:rsidR="00982F33">
        <w:trPr>
          <w:trHeight w:val="300"/>
        </w:trPr>
        <w:tc>
          <w:tcPr>
            <w:tcW w:w="9025" w:type="dxa"/>
            <w:gridSpan w:val="16"/>
            <w:tcBorders>
              <w:top w:val="single" w:sz="4" w:space="0" w:color="00000A"/>
            </w:tcBorders>
            <w:shd w:val="clear" w:color="auto" w:fill="FFFFFF"/>
            <w:vAlign w:val="center"/>
          </w:tcPr>
          <w:p w:rsidR="00982F33" w:rsidRDefault="00616B04">
            <w:pPr>
              <w:jc w:val="center"/>
              <w:rPr>
                <w:rFonts w:ascii="Times New Roman" w:hAnsi="Times New Roman"/>
                <w:color w:val="000000"/>
                <w:szCs w:val="20"/>
              </w:rPr>
            </w:pPr>
            <w:r>
              <w:rPr>
                <w:rFonts w:ascii="Times New Roman" w:hAnsi="Times New Roman"/>
                <w:color w:val="000000"/>
                <w:szCs w:val="20"/>
              </w:rPr>
              <w:t>Panel F: Number of Analyst Follow</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1(low)</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0.526</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0.577</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0.792*</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1.496***</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0.970**  </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(2.18)</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1.047</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1.022*</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1.220**</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1.840***</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0.792*  </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(1.70)</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0.879</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1.188**</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1.455***</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1.694***</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0.815*   </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(1.83)</w:t>
            </w:r>
          </w:p>
        </w:tc>
      </w:tr>
      <w:tr w:rsidR="00982F33">
        <w:trPr>
          <w:trHeight w:val="300"/>
        </w:trPr>
        <w:tc>
          <w:tcPr>
            <w:tcW w:w="1259" w:type="dxa"/>
            <w:gridSpan w:val="2"/>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4(high)</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0.266</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1.156**</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1.157**</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0.731</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0.465</w:t>
            </w:r>
          </w:p>
        </w:tc>
        <w:tc>
          <w:tcPr>
            <w:tcW w:w="1228" w:type="dxa"/>
            <w:gridSpan w:val="2"/>
            <w:tcBorders>
              <w:top w:val="single" w:sz="4" w:space="0" w:color="00000A"/>
              <w:bottom w:val="single" w:sz="4" w:space="0" w:color="00000A"/>
            </w:tcBorders>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(1.05)</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H-L</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-0.261</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0.58</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0.365</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-0.765*</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-0.504</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(-0.93)</w:t>
            </w:r>
          </w:p>
        </w:tc>
      </w:tr>
      <w:tr w:rsidR="00982F33">
        <w:trPr>
          <w:trHeight w:val="320"/>
        </w:trPr>
        <w:tc>
          <w:tcPr>
            <w:tcW w:w="1259" w:type="dxa"/>
            <w:gridSpan w:val="2"/>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(-0.53)</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(1.56)</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(1.02)</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(-1.70)</w:t>
            </w:r>
          </w:p>
        </w:tc>
        <w:tc>
          <w:tcPr>
            <w:tcW w:w="317"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45"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c>
          <w:tcPr>
            <w:tcW w:w="1228"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r>
      <w:tr w:rsidR="00982F33">
        <w:trPr>
          <w:trHeight w:val="300"/>
        </w:trPr>
        <w:tc>
          <w:tcPr>
            <w:tcW w:w="9025" w:type="dxa"/>
            <w:gridSpan w:val="16"/>
            <w:tcBorders>
              <w:top w:val="single" w:sz="4" w:space="0" w:color="00000A"/>
            </w:tcBorders>
            <w:shd w:val="clear" w:color="auto" w:fill="FFFFFF"/>
            <w:vAlign w:val="center"/>
          </w:tcPr>
          <w:p w:rsidR="00982F33" w:rsidRDefault="00616B04">
            <w:pPr>
              <w:jc w:val="center"/>
              <w:rPr>
                <w:rFonts w:ascii="Times New Roman" w:hAnsi="Times New Roman"/>
                <w:color w:val="000000"/>
                <w:szCs w:val="20"/>
              </w:rPr>
            </w:pPr>
            <w:r>
              <w:rPr>
                <w:rFonts w:ascii="Times New Roman" w:hAnsi="Times New Roman"/>
                <w:color w:val="000000"/>
                <w:szCs w:val="20"/>
              </w:rPr>
              <w:t>Panel G: Cashflow Volatility</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1(low)</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0.697</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0.759</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1.317**</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2.047***</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1.350**  </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(2.21)</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1.156*</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1.516***</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1.617***</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1.754***</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0.598</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(1.14)</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1.615**</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1.216**</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1.223**</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1.827***</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0.213</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(0.39)</w:t>
            </w:r>
          </w:p>
        </w:tc>
      </w:tr>
      <w:tr w:rsidR="00982F33">
        <w:trPr>
          <w:trHeight w:val="300"/>
        </w:trPr>
        <w:tc>
          <w:tcPr>
            <w:tcW w:w="1259" w:type="dxa"/>
            <w:gridSpan w:val="2"/>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4(high)</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0.553</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0.554</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0.861*</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1.377**</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0.824*    </w:t>
            </w:r>
          </w:p>
        </w:tc>
        <w:tc>
          <w:tcPr>
            <w:tcW w:w="1228" w:type="dxa"/>
            <w:gridSpan w:val="2"/>
            <w:tcBorders>
              <w:top w:val="single" w:sz="4" w:space="0" w:color="00000A"/>
              <w:bottom w:val="single" w:sz="4" w:space="0" w:color="00000A"/>
            </w:tcBorders>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(1.74)</w:t>
            </w:r>
          </w:p>
        </w:tc>
      </w:tr>
      <w:tr w:rsidR="00982F33">
        <w:trPr>
          <w:trHeight w:val="300"/>
        </w:trPr>
        <w:tc>
          <w:tcPr>
            <w:tcW w:w="1259" w:type="dxa"/>
            <w:gridSpan w:val="2"/>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H-L</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-0.144</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-0.205</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-0.457</w:t>
            </w:r>
          </w:p>
        </w:tc>
        <w:tc>
          <w:tcPr>
            <w:tcW w:w="1244"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-0.67</w:t>
            </w:r>
          </w:p>
        </w:tc>
        <w:tc>
          <w:tcPr>
            <w:tcW w:w="317" w:type="dxa"/>
            <w:gridSpan w:val="2"/>
            <w:shd w:val="clear" w:color="auto" w:fill="FFFFFF"/>
            <w:vAlign w:val="center"/>
          </w:tcPr>
          <w:p w:rsidR="00982F33" w:rsidRDefault="00982F33">
            <w:pPr>
              <w:rPr>
                <w:rFonts w:ascii="Times New Roman" w:eastAsia="Times New Roman" w:hAnsi="Times New Roman"/>
                <w:color w:val="000000"/>
                <w:szCs w:val="20"/>
              </w:rPr>
            </w:pPr>
          </w:p>
        </w:tc>
        <w:tc>
          <w:tcPr>
            <w:tcW w:w="1245" w:type="dxa"/>
            <w:gridSpan w:val="2"/>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-0.527</w:t>
            </w:r>
          </w:p>
        </w:tc>
        <w:tc>
          <w:tcPr>
            <w:tcW w:w="1228" w:type="dxa"/>
            <w:gridSpan w:val="2"/>
            <w:shd w:val="clear" w:color="auto" w:fill="FFFFFF"/>
            <w:vAlign w:val="bottom"/>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(-0.90)</w:t>
            </w:r>
          </w:p>
        </w:tc>
      </w:tr>
      <w:tr w:rsidR="00982F33">
        <w:trPr>
          <w:trHeight w:val="300"/>
        </w:trPr>
        <w:tc>
          <w:tcPr>
            <w:tcW w:w="1259" w:type="dxa"/>
            <w:gridSpan w:val="2"/>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(-0.35)</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(-0.56)</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(-1.14)</w:t>
            </w:r>
          </w:p>
        </w:tc>
        <w:tc>
          <w:tcPr>
            <w:tcW w:w="1244"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xml:space="preserve"> (-1.45)</w:t>
            </w:r>
          </w:p>
        </w:tc>
        <w:tc>
          <w:tcPr>
            <w:tcW w:w="317"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245"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c>
          <w:tcPr>
            <w:tcW w:w="1228" w:type="dxa"/>
            <w:gridSpan w:val="2"/>
            <w:tcBorders>
              <w:top w:val="single" w:sz="4" w:space="0" w:color="00000A"/>
              <w:bottom w:val="single" w:sz="4" w:space="0" w:color="00000A"/>
            </w:tcBorders>
            <w:shd w:val="clear" w:color="auto" w:fill="FFFFFF"/>
            <w:vAlign w:val="center"/>
          </w:tcPr>
          <w:p w:rsidR="00982F33" w:rsidRDefault="00616B04">
            <w:pPr>
              <w:rPr>
                <w:rFonts w:ascii="Times New Roman" w:eastAsia="Times New Roman" w:hAnsi="Times New Roman"/>
                <w:b/>
                <w:bCs/>
                <w:color w:val="000000"/>
                <w:szCs w:val="20"/>
              </w:rPr>
            </w:pPr>
            <w:r>
              <w:rPr>
                <w:rFonts w:ascii="Times New Roman" w:eastAsia="Times New Roman" w:hAnsi="Times New Roman"/>
                <w:b/>
                <w:bCs/>
                <w:color w:val="000000"/>
                <w:szCs w:val="20"/>
              </w:rPr>
              <w:t> </w:t>
            </w:r>
          </w:p>
        </w:tc>
      </w:tr>
      <w:tr w:rsidR="00982F33">
        <w:trPr>
          <w:trHeight w:hRule="exact" w:val="300"/>
        </w:trPr>
        <w:tc>
          <w:tcPr>
            <w:tcW w:w="1259" w:type="dxa"/>
            <w:gridSpan w:val="2"/>
            <w:shd w:val="clear" w:color="auto" w:fill="FFFFFF"/>
            <w:vAlign w:val="bottom"/>
          </w:tcPr>
          <w:p w:rsidR="00982F33" w:rsidRDefault="00982F33">
            <w:pPr>
              <w:rPr>
                <w:rFonts w:ascii="Calibri" w:eastAsia="Times New Roman" w:hAnsi="Calibri"/>
                <w:color w:val="000000"/>
              </w:rPr>
            </w:pPr>
          </w:p>
        </w:tc>
        <w:tc>
          <w:tcPr>
            <w:tcW w:w="1244" w:type="dxa"/>
            <w:gridSpan w:val="2"/>
            <w:shd w:val="clear" w:color="auto" w:fill="FFFFFF"/>
            <w:vAlign w:val="bottom"/>
          </w:tcPr>
          <w:p w:rsidR="00982F33" w:rsidRDefault="00982F33">
            <w:pPr>
              <w:rPr>
                <w:rFonts w:ascii="Calibri" w:eastAsia="Times New Roman" w:hAnsi="Calibri"/>
                <w:color w:val="000000"/>
              </w:rPr>
            </w:pPr>
          </w:p>
        </w:tc>
        <w:tc>
          <w:tcPr>
            <w:tcW w:w="1244" w:type="dxa"/>
            <w:gridSpan w:val="2"/>
            <w:shd w:val="clear" w:color="auto" w:fill="FFFFFF"/>
            <w:vAlign w:val="bottom"/>
          </w:tcPr>
          <w:p w:rsidR="00982F33" w:rsidRDefault="00982F33">
            <w:pPr>
              <w:rPr>
                <w:rFonts w:ascii="Calibri" w:eastAsia="Times New Roman" w:hAnsi="Calibri"/>
                <w:color w:val="000000"/>
              </w:rPr>
            </w:pPr>
          </w:p>
        </w:tc>
        <w:tc>
          <w:tcPr>
            <w:tcW w:w="1244" w:type="dxa"/>
            <w:gridSpan w:val="2"/>
            <w:shd w:val="clear" w:color="auto" w:fill="FFFFFF"/>
            <w:vAlign w:val="bottom"/>
          </w:tcPr>
          <w:p w:rsidR="00982F33" w:rsidRDefault="00982F33">
            <w:pPr>
              <w:rPr>
                <w:rFonts w:ascii="Calibri" w:eastAsia="Times New Roman" w:hAnsi="Calibri"/>
                <w:color w:val="000000"/>
              </w:rPr>
            </w:pPr>
          </w:p>
        </w:tc>
        <w:tc>
          <w:tcPr>
            <w:tcW w:w="1244" w:type="dxa"/>
            <w:gridSpan w:val="2"/>
            <w:shd w:val="clear" w:color="auto" w:fill="FFFFFF"/>
            <w:vAlign w:val="bottom"/>
          </w:tcPr>
          <w:p w:rsidR="00982F33" w:rsidRDefault="00982F33">
            <w:pPr>
              <w:rPr>
                <w:rFonts w:ascii="Calibri" w:eastAsia="Times New Roman" w:hAnsi="Calibri"/>
                <w:color w:val="000000"/>
              </w:rPr>
            </w:pPr>
          </w:p>
        </w:tc>
        <w:tc>
          <w:tcPr>
            <w:tcW w:w="317" w:type="dxa"/>
            <w:gridSpan w:val="2"/>
            <w:shd w:val="clear" w:color="auto" w:fill="FFFFFF"/>
            <w:vAlign w:val="bottom"/>
          </w:tcPr>
          <w:p w:rsidR="00982F33" w:rsidRDefault="00982F33">
            <w:pPr>
              <w:rPr>
                <w:rFonts w:ascii="Calibri" w:eastAsia="Times New Roman" w:hAnsi="Calibri"/>
                <w:color w:val="000000"/>
              </w:rPr>
            </w:pPr>
          </w:p>
        </w:tc>
        <w:tc>
          <w:tcPr>
            <w:tcW w:w="1245" w:type="dxa"/>
            <w:gridSpan w:val="2"/>
            <w:shd w:val="clear" w:color="auto" w:fill="FFFFFF"/>
            <w:vAlign w:val="bottom"/>
          </w:tcPr>
          <w:p w:rsidR="00982F33" w:rsidRDefault="00982F33">
            <w:pPr>
              <w:rPr>
                <w:rFonts w:ascii="Calibri" w:eastAsia="Times New Roman" w:hAnsi="Calibri"/>
                <w:color w:val="000000"/>
              </w:rPr>
            </w:pPr>
          </w:p>
        </w:tc>
        <w:tc>
          <w:tcPr>
            <w:tcW w:w="1228" w:type="dxa"/>
            <w:gridSpan w:val="2"/>
            <w:shd w:val="clear" w:color="auto" w:fill="FFFFFF"/>
            <w:vAlign w:val="bottom"/>
          </w:tcPr>
          <w:p w:rsidR="00982F33" w:rsidRDefault="00982F33">
            <w:pPr>
              <w:rPr>
                <w:rFonts w:ascii="Calibri" w:eastAsia="Times New Roman" w:hAnsi="Calibri"/>
                <w:color w:val="000000"/>
              </w:rPr>
            </w:pPr>
          </w:p>
        </w:tc>
      </w:tr>
    </w:tbl>
    <w:p w:rsidR="00982F33" w:rsidRDefault="00982F33">
      <w:pPr>
        <w:rPr>
          <w:rFonts w:ascii="Times New Roman" w:hAnsi="Times New Roman"/>
        </w:rPr>
      </w:pPr>
    </w:p>
    <w:p w:rsidR="00982F33" w:rsidRDefault="00982F33">
      <w:pPr>
        <w:rPr>
          <w:rFonts w:ascii="Times New Roman" w:hAnsi="Times New Roman"/>
        </w:rPr>
      </w:pPr>
    </w:p>
    <w:p w:rsidR="00982F33" w:rsidRDefault="00982F33">
      <w:pPr>
        <w:spacing w:line="432" w:lineRule="auto"/>
        <w:rPr>
          <w:rFonts w:ascii="바탕" w:eastAsia="바탕" w:hAnsi="바탕"/>
          <w:spacing w:val="-6"/>
          <w:szCs w:val="20"/>
        </w:rPr>
      </w:pPr>
    </w:p>
    <w:p w:rsidR="00982F33" w:rsidRDefault="00982F33">
      <w:pPr>
        <w:spacing w:line="432" w:lineRule="auto"/>
        <w:rPr>
          <w:rFonts w:ascii="바탕" w:eastAsia="바탕" w:hAnsi="바탕"/>
          <w:spacing w:val="-6"/>
          <w:szCs w:val="20"/>
        </w:rPr>
      </w:pPr>
    </w:p>
    <w:p w:rsidR="00982F33" w:rsidRDefault="00982F33">
      <w:pPr>
        <w:spacing w:after="240" w:line="480" w:lineRule="auto"/>
        <w:rPr>
          <w:rFonts w:ascii="바탕" w:eastAsia="바탕" w:hAnsi="바탕"/>
          <w:b/>
          <w:spacing w:val="-6"/>
          <w:sz w:val="22"/>
          <w:szCs w:val="20"/>
        </w:rPr>
      </w:pPr>
    </w:p>
    <w:p w:rsidR="00982F33" w:rsidRDefault="00982F33">
      <w:pPr>
        <w:spacing w:after="240" w:line="480" w:lineRule="auto"/>
        <w:rPr>
          <w:rFonts w:ascii="바탕" w:eastAsia="바탕" w:hAnsi="바탕"/>
          <w:b/>
          <w:spacing w:val="-6"/>
          <w:sz w:val="22"/>
          <w:szCs w:val="20"/>
        </w:rPr>
      </w:pPr>
    </w:p>
    <w:p w:rsidR="00982F33" w:rsidRDefault="00616B04">
      <w:pPr>
        <w:widowControl/>
        <w:spacing w:after="160" w:line="259" w:lineRule="auto"/>
        <w:rPr>
          <w:rFonts w:ascii="바탕" w:eastAsia="바탕" w:hAnsi="바탕"/>
          <w:b/>
          <w:spacing w:val="-6"/>
          <w:sz w:val="22"/>
          <w:szCs w:val="20"/>
        </w:rPr>
      </w:pPr>
      <w:r>
        <w:br w:type="page"/>
      </w:r>
    </w:p>
    <w:p w:rsidR="00982F33" w:rsidRDefault="00616B04">
      <w:pPr>
        <w:spacing w:after="240" w:line="480" w:lineRule="auto"/>
      </w:pPr>
      <w:r>
        <w:rPr>
          <w:rFonts w:ascii="바탕" w:eastAsia="바탕" w:hAnsi="바탕"/>
          <w:b/>
          <w:spacing w:val="-6"/>
          <w:sz w:val="22"/>
          <w:szCs w:val="20"/>
        </w:rPr>
        <w:lastRenderedPageBreak/>
        <w:t xml:space="preserve">3.2 </w:t>
      </w:r>
      <w:r>
        <w:rPr>
          <w:rFonts w:ascii="바탕" w:eastAsia="바탕" w:hAnsi="바탕"/>
          <w:b/>
          <w:spacing w:val="-6"/>
          <w:sz w:val="22"/>
        </w:rPr>
        <w:t>누락된 위험요인</w:t>
      </w:r>
      <w:r>
        <w:rPr>
          <w:rFonts w:ascii="Times New Roman" w:eastAsia="바탕" w:hAnsi="Times New Roman"/>
          <w:b/>
          <w:spacing w:val="-6"/>
          <w:sz w:val="22"/>
        </w:rPr>
        <w:t>(Omitted latent risk factor)</w:t>
      </w:r>
      <w:r>
        <w:rPr>
          <w:rFonts w:ascii="Times New Roman" w:eastAsia="바탕" w:hAnsi="Times New Roman"/>
          <w:b/>
          <w:spacing w:val="-6"/>
          <w:sz w:val="22"/>
        </w:rPr>
        <w:t>에</w:t>
      </w:r>
      <w:r>
        <w:rPr>
          <w:rFonts w:ascii="Times New Roman" w:eastAsia="바탕" w:hAnsi="Times New Roman"/>
          <w:b/>
          <w:spacing w:val="-6"/>
          <w:sz w:val="22"/>
        </w:rPr>
        <w:t xml:space="preserve"> </w:t>
      </w:r>
      <w:r>
        <w:rPr>
          <w:rFonts w:ascii="Times New Roman" w:eastAsia="바탕" w:hAnsi="Times New Roman"/>
          <w:b/>
          <w:spacing w:val="-6"/>
          <w:sz w:val="22"/>
        </w:rPr>
        <w:t>따른</w:t>
      </w:r>
      <w:r>
        <w:rPr>
          <w:rFonts w:ascii="Times New Roman" w:eastAsia="바탕" w:hAnsi="Times New Roman"/>
          <w:b/>
          <w:spacing w:val="-6"/>
          <w:sz w:val="22"/>
        </w:rPr>
        <w:t xml:space="preserve"> </w:t>
      </w:r>
      <w:r>
        <w:rPr>
          <w:rFonts w:ascii="Times New Roman" w:eastAsia="바탕" w:hAnsi="Times New Roman"/>
          <w:b/>
          <w:spacing w:val="-6"/>
          <w:sz w:val="22"/>
        </w:rPr>
        <w:t>모멘텀</w:t>
      </w:r>
      <w:r>
        <w:rPr>
          <w:rFonts w:ascii="Times New Roman" w:eastAsia="바탕" w:hAnsi="Times New Roman"/>
          <w:b/>
          <w:spacing w:val="-6"/>
          <w:sz w:val="22"/>
        </w:rPr>
        <w:t xml:space="preserve"> </w:t>
      </w:r>
      <w:r>
        <w:rPr>
          <w:rFonts w:ascii="Times New Roman" w:eastAsia="바탕" w:hAnsi="Times New Roman"/>
          <w:b/>
          <w:spacing w:val="-6"/>
          <w:sz w:val="22"/>
        </w:rPr>
        <w:t>투자전략</w:t>
      </w:r>
    </w:p>
    <w:p w:rsidR="00982F33" w:rsidRDefault="00616B04">
      <w:pPr>
        <w:spacing w:line="432" w:lineRule="auto"/>
      </w:pPr>
      <w:r>
        <w:rPr>
          <w:rFonts w:ascii="바탕" w:eastAsia="바탕" w:hAnsi="바탕"/>
          <w:spacing w:val="-6"/>
          <w:szCs w:val="20"/>
        </w:rPr>
        <w:t xml:space="preserve">3.1절에서 모멘텀 효과는 차익거래제한 요소의 크기와 별다른 상관관계를 보이지 않음을 확인하였다. 아울러 기존의 많은 연구는 모멘텀 현상이 이미 잘 알려진 위험요인(risk factors), 즉 시장위험, </w:t>
      </w:r>
      <w:r>
        <w:rPr>
          <w:rFonts w:ascii="바탕" w:eastAsia="바탕" w:hAnsi="바탕"/>
          <w:spacing w:val="-6"/>
        </w:rPr>
        <w:t xml:space="preserve">기업규모요인 (SMB), 장부가-시가요인 (HML)등에 의해 잘 설명되지 않음을 밝히고 있다. 하지만 Fama French(2015) 는 이외에도 수익성 위험요인(RMW)과 자본투자 위험요인(CMA)을 유의미한 위험 요인으로 제시하고 있는데, </w:t>
      </w:r>
      <w:r>
        <w:rPr>
          <w:rFonts w:ascii="바탕" w:eastAsia="바탕" w:hAnsi="바탕" w:cs="바탕"/>
          <w:spacing w:val="-6"/>
        </w:rPr>
        <w:t xml:space="preserve">특히 RMW는 앞서 살펴본 것처럼 회계적 수익률에 의해 계산되는 것으로 주가 수익률(재무적 수익률)과 밀접한 관련을 맺고 있다. 따라서 모멘텀 현상이 RMW로 대용되는 위험에 대한 보상과 관련있을 것이라 추측하는 것은 크게 무리한 일이 아니다. </w:t>
      </w:r>
    </w:p>
    <w:p w:rsidR="00982F33" w:rsidRDefault="00616B04">
      <w:pPr>
        <w:spacing w:after="240" w:line="432" w:lineRule="auto"/>
        <w:ind w:firstLine="376"/>
        <w:rPr>
          <w:rFonts w:ascii="바탕" w:eastAsia="바탕" w:hAnsi="바탕" w:cs="바탕"/>
          <w:spacing w:val="-6"/>
        </w:rPr>
      </w:pPr>
      <w:r>
        <w:rPr>
          <w:rFonts w:ascii="바탕" w:eastAsia="바탕" w:hAnsi="바탕" w:cs="바탕"/>
          <w:spacing w:val="-6"/>
        </w:rPr>
        <w:t>&lt;표6&gt; 은 각각 3~12개월의 formation period와 holding period 에 대해, 무비용 포트폴리오의 CAPM 모형, FF 3요인 모형, FF 5요인 모형의 초과수익률(abnormal return, Jensen’s alpha)를 나타낸다. Panel B 에서 보는 바와 같이 모멘텀 효과는 시장위험에 의해서는 잘 설명되지 않는다. 하지만 panel C 를 보면 FF 3요인 모형에 의해서는 비교적 잘 설명되는 것으로 보인다. 하지만 factor loading 이 유의한 경우가 불과 4개이며, 초과 수익률의 절대값도 비교적 높은 값을 갖는 경우가 많다. 마지막으로 panel D에서는 16가지 조합중 15개에서 RMW 가 유의한 factor loading 을 보이며 초과 수익률의 절대값도 panel C의 그것보다는 낮아진 모습을 보인다.  따라서 모멘텀 현상은 FF5 요인 모형에 의해 잘 설명되며, 수익성 위험요인에 대한 보상일 것이라는 추측이 설득력을 얻는다.</w:t>
      </w:r>
    </w:p>
    <w:p w:rsidR="00982F33" w:rsidRDefault="00982F33">
      <w:pPr>
        <w:spacing w:after="240" w:line="432" w:lineRule="auto"/>
        <w:rPr>
          <w:rFonts w:ascii="바탕" w:eastAsia="바탕" w:hAnsi="바탕" w:cs="바탕"/>
          <w:spacing w:val="-6"/>
        </w:rPr>
      </w:pPr>
    </w:p>
    <w:p w:rsidR="00982F33" w:rsidRDefault="00982F33">
      <w:pPr>
        <w:spacing w:line="432" w:lineRule="auto"/>
        <w:jc w:val="center"/>
        <w:rPr>
          <w:rFonts w:ascii="바탕" w:eastAsia="바탕" w:hAnsi="바탕"/>
          <w:spacing w:val="-6"/>
          <w:szCs w:val="20"/>
        </w:rPr>
      </w:pPr>
    </w:p>
    <w:p w:rsidR="00982F33" w:rsidRDefault="00982F33">
      <w:pPr>
        <w:widowControl/>
        <w:spacing w:after="160" w:line="259" w:lineRule="auto"/>
        <w:rPr>
          <w:rFonts w:ascii="바탕" w:eastAsia="바탕" w:hAnsi="바탕"/>
          <w:b/>
          <w:spacing w:val="-6"/>
          <w:szCs w:val="20"/>
        </w:rPr>
      </w:pPr>
    </w:p>
    <w:p w:rsidR="00982F33" w:rsidRDefault="00616B04">
      <w:pPr>
        <w:widowControl/>
        <w:spacing w:after="160" w:line="259" w:lineRule="auto"/>
        <w:rPr>
          <w:rFonts w:ascii="바탕" w:eastAsia="바탕" w:hAnsi="바탕"/>
          <w:b/>
          <w:spacing w:val="-6"/>
          <w:szCs w:val="20"/>
        </w:rPr>
      </w:pPr>
      <w:r>
        <w:br w:type="page"/>
      </w:r>
    </w:p>
    <w:p w:rsidR="00121BB8" w:rsidRDefault="00616B04" w:rsidP="00121BB8">
      <w:pPr>
        <w:spacing w:after="240" w:line="276" w:lineRule="auto"/>
        <w:jc w:val="center"/>
      </w:pPr>
      <w:r>
        <w:rPr>
          <w:rFonts w:ascii="Times New Roman" w:hAnsi="Times New Roman"/>
          <w:b/>
          <w:szCs w:val="20"/>
        </w:rPr>
        <w:lastRenderedPageBreak/>
        <w:t>&lt;</w:t>
      </w:r>
      <w:r>
        <w:rPr>
          <w:rFonts w:ascii="바탕" w:eastAsia="바탕" w:hAnsi="바탕" w:cs="바탕"/>
          <w:b/>
          <w:szCs w:val="20"/>
        </w:rPr>
        <w:t>표</w:t>
      </w:r>
      <w:r>
        <w:rPr>
          <w:rFonts w:ascii="Times New Roman" w:hAnsi="Times New Roman"/>
          <w:b/>
          <w:szCs w:val="20"/>
        </w:rPr>
        <w:t xml:space="preserve"> 6&gt; </w:t>
      </w:r>
      <w:r>
        <w:rPr>
          <w:rFonts w:ascii="바탕" w:eastAsia="바탕" w:hAnsi="바탕" w:cs="바탕"/>
          <w:b/>
          <w:spacing w:val="-6"/>
          <w:szCs w:val="20"/>
        </w:rPr>
        <w:t xml:space="preserve">모멘텀 </w:t>
      </w:r>
      <w:r>
        <w:rPr>
          <w:rFonts w:ascii="바탕" w:eastAsia="바탕" w:hAnsi="바탕"/>
          <w:b/>
          <w:spacing w:val="-6"/>
          <w:szCs w:val="20"/>
        </w:rPr>
        <w:t>포트폴리오의 초과수익률에 대한 각 자산가격모형의 시계열 회귀분석 추정결과</w:t>
      </w:r>
    </w:p>
    <w:p w:rsidR="00982F33" w:rsidRPr="00121BB8" w:rsidRDefault="00616B04" w:rsidP="00121BB8">
      <w:pPr>
        <w:spacing w:after="240" w:line="276" w:lineRule="auto"/>
        <w:jc w:val="center"/>
      </w:pPr>
      <w:r>
        <w:rPr>
          <w:rFonts w:ascii="바탕" w:eastAsia="바탕" w:hAnsi="바탕"/>
        </w:rPr>
        <w:t xml:space="preserve">본 표는 모멘텀 투자전략의 시장가치로 가중평균(value-weighted)한 월 평균수익률(%)을 보고한다. Panel A는 무위험이자율을 초과하는 월 평균수익률(excess raw return)을 나타낸다. Panel B, C, 그리고 D는 각각 CAPM, Fama and French 3 요인 모형, 그리고 Fama and French 5 요인 모형에 </w:t>
      </w:r>
      <w:bookmarkStart w:id="0" w:name="_GoBack"/>
      <w:bookmarkEnd w:id="0"/>
    </w:p>
    <w:tbl>
      <w:tblPr>
        <w:tblW w:w="11032" w:type="dxa"/>
        <w:jc w:val="center"/>
        <w:tblBorders>
          <w:top w:val="single" w:sz="4" w:space="0" w:color="00000A"/>
        </w:tblBorders>
        <w:tblLook w:val="0000" w:firstRow="0" w:lastRow="0" w:firstColumn="0" w:lastColumn="0" w:noHBand="0" w:noVBand="0"/>
      </w:tblPr>
      <w:tblGrid>
        <w:gridCol w:w="425"/>
        <w:gridCol w:w="1320"/>
        <w:gridCol w:w="897"/>
        <w:gridCol w:w="898"/>
        <w:gridCol w:w="898"/>
        <w:gridCol w:w="898"/>
        <w:gridCol w:w="540"/>
        <w:gridCol w:w="1221"/>
        <w:gridCol w:w="1011"/>
        <w:gridCol w:w="905"/>
        <w:gridCol w:w="1010"/>
        <w:gridCol w:w="1009"/>
      </w:tblGrid>
      <w:tr w:rsidR="00982F33">
        <w:trPr>
          <w:trHeight w:val="268"/>
          <w:jc w:val="center"/>
        </w:trPr>
        <w:tc>
          <w:tcPr>
            <w:tcW w:w="1744" w:type="dxa"/>
            <w:gridSpan w:val="2"/>
            <w:vMerge w:val="restart"/>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Formation Periods</w:t>
            </w:r>
          </w:p>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 </w:t>
            </w:r>
          </w:p>
        </w:tc>
        <w:tc>
          <w:tcPr>
            <w:tcW w:w="3591" w:type="dxa"/>
            <w:gridSpan w:val="4"/>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Holding Periods, WML</w:t>
            </w:r>
          </w:p>
        </w:tc>
        <w:tc>
          <w:tcPr>
            <w:tcW w:w="1761" w:type="dxa"/>
            <w:gridSpan w:val="2"/>
            <w:vMerge w:val="restart"/>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Formation Periods</w:t>
            </w:r>
          </w:p>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 </w:t>
            </w:r>
          </w:p>
        </w:tc>
        <w:tc>
          <w:tcPr>
            <w:tcW w:w="3935" w:type="dxa"/>
            <w:gridSpan w:val="4"/>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Holding Periods, WML</w:t>
            </w:r>
          </w:p>
        </w:tc>
      </w:tr>
      <w:tr w:rsidR="00982F33">
        <w:trPr>
          <w:trHeight w:val="268"/>
          <w:jc w:val="center"/>
        </w:trPr>
        <w:tc>
          <w:tcPr>
            <w:tcW w:w="1744" w:type="dxa"/>
            <w:gridSpan w:val="2"/>
            <w:vMerge/>
            <w:tcBorders>
              <w:top w:val="single" w:sz="4" w:space="0" w:color="00000A"/>
            </w:tcBorders>
            <w:shd w:val="clear" w:color="auto" w:fill="FFFFFF"/>
            <w:vAlign w:val="center"/>
          </w:tcPr>
          <w:p w:rsidR="00982F33" w:rsidRDefault="00982F33"/>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6</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9</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w:t>
            </w:r>
          </w:p>
        </w:tc>
        <w:tc>
          <w:tcPr>
            <w:tcW w:w="1761" w:type="dxa"/>
            <w:gridSpan w:val="2"/>
            <w:vMerge/>
            <w:tcBorders>
              <w:top w:val="single" w:sz="4" w:space="0" w:color="00000A"/>
            </w:tcBorders>
            <w:shd w:val="clear" w:color="auto" w:fill="FFFFFF"/>
            <w:vAlign w:val="center"/>
          </w:tcPr>
          <w:p w:rsidR="00982F33" w:rsidRDefault="00982F33"/>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6</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9</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w:t>
            </w:r>
          </w:p>
        </w:tc>
      </w:tr>
      <w:tr w:rsidR="00982F33">
        <w:trPr>
          <w:trHeight w:val="268"/>
          <w:jc w:val="center"/>
        </w:trPr>
        <w:tc>
          <w:tcPr>
            <w:tcW w:w="424"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 </w:t>
            </w:r>
          </w:p>
        </w:tc>
        <w:tc>
          <w:tcPr>
            <w:tcW w:w="10607" w:type="dxa"/>
            <w:gridSpan w:val="11"/>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Panel A: Excess raw return</w:t>
            </w:r>
          </w:p>
        </w:tc>
      </w:tr>
      <w:tr w:rsidR="00982F33">
        <w:trPr>
          <w:trHeight w:val="304"/>
          <w:jc w:val="center"/>
        </w:trPr>
        <w:tc>
          <w:tcPr>
            <w:tcW w:w="424"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average</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-0.051</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0.376</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0.691**</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0.589**</w:t>
            </w:r>
          </w:p>
        </w:tc>
        <w:tc>
          <w:tcPr>
            <w:tcW w:w="540"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6</w:t>
            </w: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average</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0.453</w:t>
            </w:r>
          </w:p>
        </w:tc>
        <w:tc>
          <w:tcPr>
            <w:tcW w:w="905"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1.040**</w:t>
            </w:r>
          </w:p>
        </w:tc>
        <w:tc>
          <w:tcPr>
            <w:tcW w:w="1010"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0.940**</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0.558</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[1.15]</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[2.37]</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[2.21]</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[0.93]</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[2.28]</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[2.29]</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[1.54]</w:t>
            </w:r>
          </w:p>
        </w:tc>
      </w:tr>
      <w:tr w:rsidR="00982F33">
        <w:trPr>
          <w:trHeight w:val="286"/>
          <w:jc w:val="center"/>
        </w:trPr>
        <w:tc>
          <w:tcPr>
            <w:tcW w:w="424"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9</w:t>
            </w:r>
          </w:p>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ExRet</w:t>
            </w:r>
          </w:p>
        </w:tc>
        <w:tc>
          <w:tcPr>
            <w:tcW w:w="897"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1.154**</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1.162**</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0.941**</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0.702*</w:t>
            </w:r>
          </w:p>
        </w:tc>
        <w:tc>
          <w:tcPr>
            <w:tcW w:w="540"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w:t>
            </w: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ExRet</w:t>
            </w:r>
          </w:p>
        </w:tc>
        <w:tc>
          <w:tcPr>
            <w:tcW w:w="1011"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0.991*</w:t>
            </w:r>
          </w:p>
        </w:tc>
        <w:tc>
          <w:tcPr>
            <w:tcW w:w="905"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0.849*</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0.681</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0.468</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[2.17]</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[2.35]</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[2.09]</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[1.78]</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[1.84]</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[1.73]</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[1.53]</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[1.16]</w:t>
            </w:r>
          </w:p>
        </w:tc>
      </w:tr>
      <w:tr w:rsidR="00982F33">
        <w:trPr>
          <w:trHeight w:val="286"/>
          <w:jc w:val="center"/>
        </w:trPr>
        <w:tc>
          <w:tcPr>
            <w:tcW w:w="424" w:type="dxa"/>
            <w:shd w:val="clear" w:color="auto" w:fill="FFFFFF"/>
            <w:vAlign w:val="center"/>
          </w:tcPr>
          <w:p w:rsidR="00982F33" w:rsidRDefault="00982F33">
            <w:pPr>
              <w:jc w:val="center"/>
              <w:rPr>
                <w:rFonts w:ascii="Times New Roman" w:eastAsia="Times New Roman" w:hAnsi="Times New Roman"/>
                <w:color w:val="000000"/>
                <w:szCs w:val="20"/>
              </w:rPr>
            </w:pPr>
          </w:p>
        </w:tc>
        <w:tc>
          <w:tcPr>
            <w:tcW w:w="10607" w:type="dxa"/>
            <w:gridSpan w:val="11"/>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Panel B: CAPM</w:t>
            </w:r>
          </w:p>
        </w:tc>
      </w:tr>
      <w:tr w:rsidR="00982F33">
        <w:trPr>
          <w:trHeight w:val="286"/>
          <w:jc w:val="center"/>
        </w:trPr>
        <w:tc>
          <w:tcPr>
            <w:tcW w:w="424"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α</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-0.005</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0.403</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0.692**</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0.592**</w:t>
            </w:r>
          </w:p>
        </w:tc>
        <w:tc>
          <w:tcPr>
            <w:tcW w:w="540"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6</w:t>
            </w: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α</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0.483</w:t>
            </w:r>
          </w:p>
        </w:tc>
        <w:tc>
          <w:tcPr>
            <w:tcW w:w="905"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1.037**</w:t>
            </w:r>
          </w:p>
        </w:tc>
        <w:tc>
          <w:tcPr>
            <w:tcW w:w="1010"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0.941**</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0.562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[-0.01]</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[1.22]</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[2.36]</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[2.21]</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[0.98]</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[2.25]</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[2.27]</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[1.54]</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-0.074</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-0.042</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-0.001</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-0.005</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-0.047</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0.005</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-0.002</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-0.007</w:t>
            </w:r>
          </w:p>
        </w:tc>
      </w:tr>
      <w:tr w:rsidR="00982F33">
        <w:trPr>
          <w:trHeight w:val="286"/>
          <w:jc w:val="center"/>
        </w:trPr>
        <w:tc>
          <w:tcPr>
            <w:tcW w:w="424"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9</w:t>
            </w:r>
          </w:p>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CAPM α</w:t>
            </w:r>
          </w:p>
        </w:tc>
        <w:tc>
          <w:tcPr>
            <w:tcW w:w="897"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1.158**</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1.186**</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0.960**</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0.716*</w:t>
            </w:r>
          </w:p>
        </w:tc>
        <w:tc>
          <w:tcPr>
            <w:tcW w:w="540"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w:t>
            </w: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CAPM α</w:t>
            </w:r>
          </w:p>
        </w:tc>
        <w:tc>
          <w:tcPr>
            <w:tcW w:w="1011"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1.046*</w:t>
            </w:r>
          </w:p>
        </w:tc>
        <w:tc>
          <w:tcPr>
            <w:tcW w:w="905"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0.913*</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0.726</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[2.16]</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[2.38]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[2.12]</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[1.8]</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[1.93]</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[1.86]</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[1.63]</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[1.23]</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-0.007</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-0.038</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-0.021</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-0.088</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-0.103</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-0.072</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-0.051</w:t>
            </w:r>
          </w:p>
        </w:tc>
      </w:tr>
      <w:tr w:rsidR="00982F33">
        <w:trPr>
          <w:trHeight w:val="286"/>
          <w:jc w:val="center"/>
        </w:trPr>
        <w:tc>
          <w:tcPr>
            <w:tcW w:w="424" w:type="dxa"/>
            <w:shd w:val="clear" w:color="auto" w:fill="FFFFFF"/>
            <w:vAlign w:val="center"/>
          </w:tcPr>
          <w:p w:rsidR="00982F33" w:rsidRDefault="00982F33">
            <w:pPr>
              <w:jc w:val="center"/>
              <w:rPr>
                <w:rFonts w:ascii="Times New Roman" w:eastAsia="Times New Roman" w:hAnsi="Times New Roman"/>
                <w:color w:val="000000"/>
                <w:szCs w:val="20"/>
              </w:rPr>
            </w:pPr>
          </w:p>
        </w:tc>
        <w:tc>
          <w:tcPr>
            <w:tcW w:w="10607" w:type="dxa"/>
            <w:gridSpan w:val="11"/>
            <w:shd w:val="clear" w:color="auto" w:fill="FFFFFF"/>
            <w:vAlign w:val="center"/>
          </w:tcPr>
          <w:p w:rsidR="00982F33" w:rsidRDefault="00616B04">
            <w:pPr>
              <w:jc w:val="center"/>
            </w:pPr>
            <w:r>
              <w:rPr>
                <w:rFonts w:ascii="Times New Roman" w:eastAsia="Times New Roman" w:hAnsi="Times New Roman"/>
                <w:color w:val="000000"/>
                <w:szCs w:val="20"/>
              </w:rPr>
              <w:t>Panel C: Fama and French 3</w:t>
            </w:r>
            <w:r>
              <w:rPr>
                <w:rFonts w:ascii="Times New Roman" w:eastAsia="굴림" w:hAnsi="Times New Roman"/>
                <w:color w:val="000000"/>
                <w:szCs w:val="20"/>
              </w:rPr>
              <w:t>요인</w:t>
            </w:r>
            <w:r>
              <w:rPr>
                <w:rFonts w:ascii="Times New Roman" w:eastAsia="굴림" w:hAnsi="Times New Roman"/>
                <w:color w:val="000000"/>
                <w:szCs w:val="20"/>
              </w:rPr>
              <w:t xml:space="preserve"> </w:t>
            </w:r>
            <w:r>
              <w:rPr>
                <w:rFonts w:ascii="Times New Roman" w:eastAsia="굴림" w:hAnsi="Times New Roman"/>
                <w:color w:val="000000"/>
                <w:szCs w:val="20"/>
              </w:rPr>
              <w:t>모형</w:t>
            </w:r>
            <w:r>
              <w:rPr>
                <w:rFonts w:ascii="Times New Roman" w:eastAsia="Times New Roman" w:hAnsi="Times New Roman"/>
                <w:color w:val="000000"/>
                <w:szCs w:val="20"/>
              </w:rPr>
              <w:t xml:space="preserve"> (FF3)</w:t>
            </w:r>
          </w:p>
        </w:tc>
      </w:tr>
      <w:tr w:rsidR="00982F33">
        <w:trPr>
          <w:trHeight w:val="286"/>
          <w:jc w:val="center"/>
        </w:trPr>
        <w:tc>
          <w:tcPr>
            <w:tcW w:w="424"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FF3 α</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-0.157</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0.202</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0.540*</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0.399</w:t>
            </w:r>
          </w:p>
        </w:tc>
        <w:tc>
          <w:tcPr>
            <w:tcW w:w="540"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6</w:t>
            </w: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FF3 α</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0.116</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0.749</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0.673</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0.322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[-0.38]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[0.57]</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[1.71]</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[1.38]</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[0.22]</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[1.52]</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[1.51]</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[0.82]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-0.044</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-0.002</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-0.004</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-0.051</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0.001</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-0.001</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-0.006</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smb</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-0.122</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-0.079</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-0.059</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-0.033</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smb</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-0.142</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-0.126</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-0.062</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-0.047</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hml</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0.092</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0.123</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0.093</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0.119*</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hml</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0.224*</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0.175</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0.164</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0.147</w:t>
            </w:r>
          </w:p>
        </w:tc>
      </w:tr>
      <w:tr w:rsidR="00982F33">
        <w:trPr>
          <w:trHeight w:val="286"/>
          <w:jc w:val="center"/>
        </w:trPr>
        <w:tc>
          <w:tcPr>
            <w:tcW w:w="424"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9</w:t>
            </w:r>
          </w:p>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FF3 α</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0.833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0.816</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0.701</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0.461</w:t>
            </w:r>
          </w:p>
        </w:tc>
        <w:tc>
          <w:tcPr>
            <w:tcW w:w="540"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w:t>
            </w: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FF3 α</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0.621</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0.59</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0.491</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0.288</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[1.45]</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[1.53]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[1.43]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[1.08]</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[1.07]</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[1.11]</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[1.02]</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[0.65]</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-0.015</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-0.031</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-0.022</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-0.091</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-0.103</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-0.072</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-0.052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smb</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-0.188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-0.094</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-0.076</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-0.074</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smb</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-0.141</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-0.079</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-0.065</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-0.062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hml</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0.198</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0.227*</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0.159</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0.156</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hml</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0.260*</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0.198</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0.144</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0.13</w:t>
            </w:r>
          </w:p>
        </w:tc>
      </w:tr>
      <w:tr w:rsidR="00982F33">
        <w:trPr>
          <w:trHeight w:val="286"/>
          <w:jc w:val="center"/>
        </w:trPr>
        <w:tc>
          <w:tcPr>
            <w:tcW w:w="424" w:type="dxa"/>
            <w:shd w:val="clear" w:color="auto" w:fill="FFFFFF"/>
            <w:vAlign w:val="center"/>
          </w:tcPr>
          <w:p w:rsidR="00982F33" w:rsidRDefault="00982F33">
            <w:pPr>
              <w:jc w:val="center"/>
              <w:rPr>
                <w:rFonts w:ascii="Times New Roman" w:eastAsia="Times New Roman" w:hAnsi="Times New Roman"/>
                <w:color w:val="000000"/>
                <w:szCs w:val="20"/>
              </w:rPr>
            </w:pPr>
          </w:p>
        </w:tc>
        <w:tc>
          <w:tcPr>
            <w:tcW w:w="10607" w:type="dxa"/>
            <w:gridSpan w:val="11"/>
            <w:shd w:val="clear" w:color="auto" w:fill="FFFFFF"/>
            <w:vAlign w:val="center"/>
          </w:tcPr>
          <w:p w:rsidR="00982F33" w:rsidRDefault="00616B04">
            <w:pPr>
              <w:jc w:val="center"/>
            </w:pPr>
            <w:r>
              <w:rPr>
                <w:rFonts w:ascii="Times New Roman" w:eastAsia="Times New Roman" w:hAnsi="Times New Roman"/>
                <w:color w:val="000000"/>
                <w:szCs w:val="20"/>
              </w:rPr>
              <w:t>Panel C: Fama and French 3</w:t>
            </w:r>
            <w:r>
              <w:rPr>
                <w:rFonts w:ascii="Times New Roman" w:eastAsia="굴림" w:hAnsi="Times New Roman"/>
                <w:color w:val="000000"/>
                <w:szCs w:val="20"/>
              </w:rPr>
              <w:t>요인</w:t>
            </w:r>
            <w:r>
              <w:rPr>
                <w:rFonts w:ascii="Times New Roman" w:eastAsia="굴림" w:hAnsi="Times New Roman"/>
                <w:color w:val="000000"/>
                <w:szCs w:val="20"/>
              </w:rPr>
              <w:t xml:space="preserve"> </w:t>
            </w:r>
            <w:r>
              <w:rPr>
                <w:rFonts w:ascii="Times New Roman" w:eastAsia="굴림" w:hAnsi="Times New Roman"/>
                <w:color w:val="000000"/>
                <w:szCs w:val="20"/>
              </w:rPr>
              <w:t>모형</w:t>
            </w:r>
            <w:r>
              <w:rPr>
                <w:rFonts w:ascii="Times New Roman" w:eastAsia="Times New Roman" w:hAnsi="Times New Roman"/>
                <w:color w:val="000000"/>
                <w:szCs w:val="20"/>
              </w:rPr>
              <w:t xml:space="preserve"> (FF3)</w:t>
            </w:r>
          </w:p>
        </w:tc>
      </w:tr>
      <w:tr w:rsidR="00982F33">
        <w:trPr>
          <w:trHeight w:val="286"/>
          <w:jc w:val="center"/>
        </w:trPr>
        <w:tc>
          <w:tcPr>
            <w:tcW w:w="424" w:type="dxa"/>
            <w:vMerge w:val="restart"/>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3</w:t>
            </w:r>
          </w:p>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FF5 α</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0.443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0.262</w:t>
            </w:r>
          </w:p>
        </w:tc>
        <w:tc>
          <w:tcPr>
            <w:tcW w:w="540" w:type="dxa"/>
            <w:vMerge w:val="restart"/>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6</w:t>
            </w: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FF5 α</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-0.076</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0.624</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0.533</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0.182</w:t>
            </w:r>
          </w:p>
        </w:tc>
      </w:tr>
      <w:tr w:rsidR="00982F33">
        <w:trPr>
          <w:trHeight w:val="286"/>
          <w:jc w:val="center"/>
        </w:trPr>
        <w:tc>
          <w:tcPr>
            <w:tcW w:w="424" w:type="dxa"/>
            <w:vMerge/>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[-0.67]</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[1.38]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[0.9]</w:t>
            </w:r>
          </w:p>
        </w:tc>
        <w:tc>
          <w:tcPr>
            <w:tcW w:w="540" w:type="dxa"/>
            <w:vMerge/>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[1.24]</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[1.17]</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[0.46]</w:t>
            </w:r>
          </w:p>
        </w:tc>
      </w:tr>
      <w:tr w:rsidR="00982F33">
        <w:trPr>
          <w:trHeight w:val="286"/>
          <w:jc w:val="center"/>
        </w:trPr>
        <w:tc>
          <w:tcPr>
            <w:tcW w:w="424" w:type="dxa"/>
            <w:vMerge/>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-0.004</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0.027</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0.033</w:t>
            </w:r>
          </w:p>
        </w:tc>
        <w:tc>
          <w:tcPr>
            <w:tcW w:w="540" w:type="dxa"/>
            <w:vMerge/>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0.007</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0.043</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0.041</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0.037</w:t>
            </w:r>
          </w:p>
        </w:tc>
      </w:tr>
      <w:tr w:rsidR="00982F33">
        <w:trPr>
          <w:trHeight w:val="286"/>
          <w:jc w:val="center"/>
        </w:trPr>
        <w:tc>
          <w:tcPr>
            <w:tcW w:w="424" w:type="dxa"/>
            <w:vMerge/>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smb</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-0.092</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-0.049</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-0.035</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0.005</w:t>
            </w:r>
          </w:p>
        </w:tc>
        <w:tc>
          <w:tcPr>
            <w:tcW w:w="540" w:type="dxa"/>
            <w:vMerge/>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smb</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-0.095</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-0.028</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-0.013</w:t>
            </w:r>
          </w:p>
        </w:tc>
      </w:tr>
      <w:tr w:rsidR="00982F33">
        <w:trPr>
          <w:trHeight w:val="286"/>
          <w:jc w:val="center"/>
        </w:trPr>
        <w:tc>
          <w:tcPr>
            <w:tcW w:w="424" w:type="dxa"/>
            <w:vMerge/>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hml</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0.069</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0.094</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0.076</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0.108</w:t>
            </w:r>
          </w:p>
        </w:tc>
        <w:tc>
          <w:tcPr>
            <w:tcW w:w="540" w:type="dxa"/>
            <w:vMerge/>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hml</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0.188</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0.137</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0.139</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0.119</w:t>
            </w:r>
          </w:p>
        </w:tc>
      </w:tr>
      <w:tr w:rsidR="00982F33">
        <w:trPr>
          <w:trHeight w:val="286"/>
          <w:jc w:val="center"/>
        </w:trPr>
        <w:tc>
          <w:tcPr>
            <w:tcW w:w="424" w:type="dxa"/>
            <w:vMerge/>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rmw</w:t>
            </w:r>
          </w:p>
        </w:tc>
        <w:tc>
          <w:tcPr>
            <w:tcW w:w="897"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0.286*</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0.310**</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0.222*</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0.285**</w:t>
            </w:r>
          </w:p>
        </w:tc>
        <w:tc>
          <w:tcPr>
            <w:tcW w:w="540" w:type="dxa"/>
            <w:vMerge/>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rmw</w:t>
            </w:r>
          </w:p>
        </w:tc>
        <w:tc>
          <w:tcPr>
            <w:tcW w:w="1011"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0.447**</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0.323</w:t>
            </w:r>
          </w:p>
        </w:tc>
        <w:tc>
          <w:tcPr>
            <w:tcW w:w="1010"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0.325*</w:t>
            </w:r>
          </w:p>
        </w:tc>
        <w:tc>
          <w:tcPr>
            <w:tcW w:w="1009"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0.330**</w:t>
            </w:r>
          </w:p>
        </w:tc>
      </w:tr>
      <w:tr w:rsidR="00982F33">
        <w:trPr>
          <w:trHeight w:val="286"/>
          <w:jc w:val="center"/>
        </w:trPr>
        <w:tc>
          <w:tcPr>
            <w:tcW w:w="424" w:type="dxa"/>
            <w:vMerge/>
            <w:shd w:val="clear" w:color="auto" w:fill="FFFFFF"/>
            <w:vAlign w:val="center"/>
          </w:tcPr>
          <w:p w:rsidR="00982F33" w:rsidRDefault="00982F33"/>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cma</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0.262*</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0.308**</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0.194*</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0.181*</w:t>
            </w:r>
          </w:p>
        </w:tc>
        <w:tc>
          <w:tcPr>
            <w:tcW w:w="540" w:type="dxa"/>
            <w:vMerge/>
            <w:shd w:val="clear" w:color="auto" w:fill="FFFFFF"/>
            <w:vAlign w:val="center"/>
          </w:tcPr>
          <w:p w:rsidR="00982F33" w:rsidRDefault="00982F33"/>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cma</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0.410**</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0.370**</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0.292*</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0.308**</w:t>
            </w:r>
          </w:p>
        </w:tc>
      </w:tr>
      <w:tr w:rsidR="00982F33">
        <w:trPr>
          <w:trHeight w:val="286"/>
          <w:jc w:val="center"/>
        </w:trPr>
        <w:tc>
          <w:tcPr>
            <w:tcW w:w="424"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9</w:t>
            </w:r>
          </w:p>
        </w:tc>
        <w:tc>
          <w:tcPr>
            <w:tcW w:w="1320"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0.607</w:t>
            </w:r>
          </w:p>
        </w:tc>
        <w:tc>
          <w:tcPr>
            <w:tcW w:w="897"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0.594</w:t>
            </w:r>
          </w:p>
        </w:tc>
        <w:tc>
          <w:tcPr>
            <w:tcW w:w="898"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0.488</w:t>
            </w:r>
          </w:p>
        </w:tc>
        <w:tc>
          <w:tcPr>
            <w:tcW w:w="898"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0.249</w:t>
            </w:r>
          </w:p>
        </w:tc>
        <w:tc>
          <w:tcPr>
            <w:tcW w:w="898"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0.607</w:t>
            </w:r>
          </w:p>
        </w:tc>
        <w:tc>
          <w:tcPr>
            <w:tcW w:w="540" w:type="dxa"/>
            <w:vMerge w:val="restart"/>
            <w:tcBorders>
              <w:top w:val="single" w:sz="4" w:space="0" w:color="000001"/>
              <w:bottom w:val="single" w:sz="4" w:space="0" w:color="000001"/>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12</w:t>
            </w:r>
          </w:p>
        </w:tc>
        <w:tc>
          <w:tcPr>
            <w:tcW w:w="1221"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FF5 α</w:t>
            </w:r>
          </w:p>
        </w:tc>
        <w:tc>
          <w:tcPr>
            <w:tcW w:w="1011"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0.316</w:t>
            </w:r>
          </w:p>
        </w:tc>
        <w:tc>
          <w:tcPr>
            <w:tcW w:w="905"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0.321</w:t>
            </w:r>
          </w:p>
        </w:tc>
        <w:tc>
          <w:tcPr>
            <w:tcW w:w="1010"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0.211</w:t>
            </w:r>
          </w:p>
        </w:tc>
        <w:tc>
          <w:tcPr>
            <w:tcW w:w="1009" w:type="dxa"/>
            <w:tcBorders>
              <w:top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-0.01</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[1.04]</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[1.1]</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[0.98]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[1.04]</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t-value</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[0.54]</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[0.6]</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[0.43]</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0.045</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0.026</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0.045</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mkt</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-0.011</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-0.033</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-0.003</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-0.123</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-0.032</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-0.015</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-0.013</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-0.123</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smb</w:t>
            </w:r>
          </w:p>
        </w:tc>
        <w:tc>
          <w:tcPr>
            <w:tcW w:w="101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-0.052</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0.021</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0.032</w:t>
            </w:r>
          </w:p>
        </w:tc>
      </w:tr>
      <w:tr w:rsidR="00982F33">
        <w:trPr>
          <w:trHeight w:val="286"/>
          <w:jc w:val="center"/>
        </w:trPr>
        <w:tc>
          <w:tcPr>
            <w:tcW w:w="424" w:type="dxa"/>
            <w:vMerge/>
            <w:tcBorders>
              <w:top w:val="single" w:sz="4" w:space="0" w:color="000001"/>
              <w:bottom w:val="single" w:sz="4" w:space="0" w:color="000001"/>
            </w:tcBorders>
            <w:shd w:val="clear" w:color="auto" w:fill="FFFFFF"/>
            <w:vAlign w:val="center"/>
          </w:tcPr>
          <w:p w:rsidR="00982F33" w:rsidRDefault="00982F33"/>
        </w:tc>
        <w:tc>
          <w:tcPr>
            <w:tcW w:w="132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0.187</w:t>
            </w:r>
          </w:p>
        </w:tc>
        <w:tc>
          <w:tcPr>
            <w:tcW w:w="897"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0.209</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0.148</w:t>
            </w:r>
          </w:p>
        </w:tc>
        <w:tc>
          <w:tcPr>
            <w:tcW w:w="898"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0.187</w:t>
            </w:r>
          </w:p>
        </w:tc>
        <w:tc>
          <w:tcPr>
            <w:tcW w:w="540" w:type="dxa"/>
            <w:vMerge/>
            <w:tcBorders>
              <w:top w:val="single" w:sz="4" w:space="0" w:color="000001"/>
              <w:bottom w:val="single" w:sz="4" w:space="0" w:color="000001"/>
            </w:tcBorders>
            <w:shd w:val="clear" w:color="auto" w:fill="FFFFFF"/>
            <w:vAlign w:val="center"/>
          </w:tcPr>
          <w:p w:rsidR="00982F33" w:rsidRDefault="00982F33"/>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hml</w:t>
            </w:r>
          </w:p>
        </w:tc>
        <w:tc>
          <w:tcPr>
            <w:tcW w:w="1011"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0.251*</w:t>
            </w:r>
          </w:p>
        </w:tc>
        <w:tc>
          <w:tcPr>
            <w:tcW w:w="905"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0.189</w:t>
            </w:r>
          </w:p>
        </w:tc>
        <w:tc>
          <w:tcPr>
            <w:tcW w:w="1010"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0.149</w:t>
            </w:r>
          </w:p>
        </w:tc>
        <w:tc>
          <w:tcPr>
            <w:tcW w:w="1009"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0.142</w:t>
            </w:r>
          </w:p>
        </w:tc>
      </w:tr>
      <w:tr w:rsidR="00982F33">
        <w:trPr>
          <w:trHeight w:val="286"/>
          <w:jc w:val="center"/>
        </w:trPr>
        <w:tc>
          <w:tcPr>
            <w:tcW w:w="424" w:type="dxa"/>
            <w:shd w:val="clear" w:color="auto" w:fill="auto"/>
            <w:vAlign w:val="center"/>
          </w:tcPr>
          <w:p w:rsidR="00982F33" w:rsidRDefault="00982F33">
            <w:pPr>
              <w:rPr>
                <w:rFonts w:ascii="Times New Roman" w:eastAsia="Times New Roman" w:hAnsi="Times New Roman"/>
                <w:color w:val="000000"/>
                <w:szCs w:val="20"/>
              </w:rPr>
            </w:pPr>
          </w:p>
        </w:tc>
        <w:tc>
          <w:tcPr>
            <w:tcW w:w="1320"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0.457**</w:t>
            </w:r>
          </w:p>
        </w:tc>
        <w:tc>
          <w:tcPr>
            <w:tcW w:w="897"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0.465**</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0.433**</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0.423**</w:t>
            </w:r>
          </w:p>
        </w:tc>
        <w:tc>
          <w:tcPr>
            <w:tcW w:w="898"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0.457**</w:t>
            </w:r>
          </w:p>
        </w:tc>
        <w:tc>
          <w:tcPr>
            <w:tcW w:w="540" w:type="dxa"/>
            <w:shd w:val="clear" w:color="auto" w:fill="auto"/>
            <w:vAlign w:val="center"/>
          </w:tcPr>
          <w:p w:rsidR="00982F33" w:rsidRDefault="00982F33">
            <w:pPr>
              <w:rPr>
                <w:rFonts w:ascii="Times New Roman" w:eastAsia="Times New Roman" w:hAnsi="Times New Roman"/>
                <w:color w:val="000000"/>
                <w:szCs w:val="20"/>
              </w:rPr>
            </w:pPr>
          </w:p>
        </w:tc>
        <w:tc>
          <w:tcPr>
            <w:tcW w:w="1221" w:type="dxa"/>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rmw</w:t>
            </w:r>
          </w:p>
        </w:tc>
        <w:tc>
          <w:tcPr>
            <w:tcW w:w="1011"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0.605***</w:t>
            </w:r>
          </w:p>
        </w:tc>
        <w:tc>
          <w:tcPr>
            <w:tcW w:w="905"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0.537**</w:t>
            </w:r>
          </w:p>
        </w:tc>
        <w:tc>
          <w:tcPr>
            <w:tcW w:w="1010"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0.528***</w:t>
            </w:r>
          </w:p>
        </w:tc>
        <w:tc>
          <w:tcPr>
            <w:tcW w:w="1009" w:type="dxa"/>
            <w:shd w:val="clear" w:color="auto" w:fill="FFFFFF"/>
            <w:vAlign w:val="center"/>
          </w:tcPr>
          <w:p w:rsidR="00982F33" w:rsidRDefault="00616B04">
            <w:pPr>
              <w:jc w:val="center"/>
              <w:rPr>
                <w:rFonts w:ascii="Times New Roman" w:eastAsia="Times New Roman" w:hAnsi="Times New Roman"/>
                <w:b/>
                <w:bCs/>
                <w:color w:val="000000"/>
                <w:szCs w:val="20"/>
              </w:rPr>
            </w:pPr>
            <w:r>
              <w:rPr>
                <w:rFonts w:ascii="Times New Roman" w:eastAsia="Times New Roman" w:hAnsi="Times New Roman"/>
                <w:b/>
                <w:bCs/>
                <w:color w:val="000000"/>
                <w:szCs w:val="20"/>
              </w:rPr>
              <w:t>0.545***</w:t>
            </w:r>
          </w:p>
        </w:tc>
      </w:tr>
      <w:tr w:rsidR="00982F33">
        <w:trPr>
          <w:trHeight w:val="286"/>
          <w:jc w:val="center"/>
        </w:trPr>
        <w:tc>
          <w:tcPr>
            <w:tcW w:w="424" w:type="dxa"/>
            <w:tcBorders>
              <w:top w:val="single" w:sz="4" w:space="0" w:color="000001"/>
              <w:bottom w:val="single" w:sz="4" w:space="0" w:color="000001"/>
            </w:tcBorders>
            <w:shd w:val="clear" w:color="auto" w:fill="auto"/>
            <w:vAlign w:val="center"/>
          </w:tcPr>
          <w:p w:rsidR="00982F33" w:rsidRDefault="00982F33">
            <w:pPr>
              <w:rPr>
                <w:rFonts w:ascii="Times New Roman" w:eastAsia="Times New Roman" w:hAnsi="Times New Roman"/>
                <w:color w:val="000000"/>
                <w:szCs w:val="20"/>
              </w:rPr>
            </w:pPr>
          </w:p>
        </w:tc>
        <w:tc>
          <w:tcPr>
            <w:tcW w:w="132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0.245</w:t>
            </w:r>
          </w:p>
        </w:tc>
        <w:tc>
          <w:tcPr>
            <w:tcW w:w="897"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0.296</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0.241</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0.214</w:t>
            </w:r>
          </w:p>
        </w:tc>
        <w:tc>
          <w:tcPr>
            <w:tcW w:w="898"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0.245</w:t>
            </w:r>
          </w:p>
        </w:tc>
        <w:tc>
          <w:tcPr>
            <w:tcW w:w="540" w:type="dxa"/>
            <w:tcBorders>
              <w:top w:val="single" w:sz="4" w:space="0" w:color="000001"/>
              <w:bottom w:val="single" w:sz="4" w:space="0" w:color="000001"/>
            </w:tcBorders>
            <w:shd w:val="clear" w:color="auto" w:fill="auto"/>
            <w:vAlign w:val="center"/>
          </w:tcPr>
          <w:p w:rsidR="00982F33" w:rsidRDefault="00982F33">
            <w:pPr>
              <w:rPr>
                <w:rFonts w:ascii="Times New Roman" w:eastAsia="Times New Roman" w:hAnsi="Times New Roman"/>
                <w:color w:val="000000"/>
                <w:szCs w:val="20"/>
              </w:rPr>
            </w:pPr>
          </w:p>
        </w:tc>
        <w:tc>
          <w:tcPr>
            <w:tcW w:w="122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cma</w:t>
            </w:r>
          </w:p>
        </w:tc>
        <w:tc>
          <w:tcPr>
            <w:tcW w:w="1011"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0.295</w:t>
            </w:r>
          </w:p>
        </w:tc>
        <w:tc>
          <w:tcPr>
            <w:tcW w:w="905"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0.268</w:t>
            </w:r>
          </w:p>
        </w:tc>
        <w:tc>
          <w:tcPr>
            <w:tcW w:w="1010"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0.176</w:t>
            </w:r>
          </w:p>
        </w:tc>
        <w:tc>
          <w:tcPr>
            <w:tcW w:w="1009" w:type="dxa"/>
            <w:tcBorders>
              <w:top w:val="single" w:sz="4" w:space="0" w:color="00000A"/>
              <w:bottom w:val="single" w:sz="4" w:space="0" w:color="00000A"/>
            </w:tcBorders>
            <w:shd w:val="clear" w:color="auto" w:fill="FFFFFF"/>
            <w:vAlign w:val="center"/>
          </w:tcPr>
          <w:p w:rsidR="00982F33" w:rsidRDefault="00616B04">
            <w:pPr>
              <w:jc w:val="center"/>
              <w:rPr>
                <w:rFonts w:ascii="Times New Roman" w:eastAsia="Times New Roman" w:hAnsi="Times New Roman"/>
                <w:color w:val="000000"/>
                <w:szCs w:val="20"/>
              </w:rPr>
            </w:pPr>
            <w:r>
              <w:rPr>
                <w:rFonts w:ascii="Times New Roman" w:eastAsia="Times New Roman" w:hAnsi="Times New Roman"/>
                <w:color w:val="000000"/>
                <w:szCs w:val="20"/>
              </w:rPr>
              <w:t>0.135</w:t>
            </w:r>
          </w:p>
        </w:tc>
      </w:tr>
    </w:tbl>
    <w:p w:rsidR="00982F33" w:rsidRDefault="00616B04">
      <w:pPr>
        <w:spacing w:line="480" w:lineRule="auto"/>
        <w:rPr>
          <w:rFonts w:ascii="바탕" w:eastAsia="바탕" w:hAnsi="바탕"/>
          <w:b/>
          <w:spacing w:val="-6"/>
          <w:kern w:val="0"/>
          <w:sz w:val="28"/>
          <w:szCs w:val="28"/>
        </w:rPr>
      </w:pPr>
      <w:r>
        <w:rPr>
          <w:rFonts w:ascii="바탕" w:eastAsia="바탕" w:hAnsi="바탕"/>
          <w:b/>
          <w:spacing w:val="-6"/>
          <w:kern w:val="0"/>
          <w:sz w:val="28"/>
          <w:szCs w:val="28"/>
        </w:rPr>
        <w:lastRenderedPageBreak/>
        <w:t>Ⅳ. 결어</w:t>
      </w:r>
    </w:p>
    <w:p w:rsidR="00982F33" w:rsidRDefault="00616B04">
      <w:pPr>
        <w:spacing w:after="240" w:line="432" w:lineRule="auto"/>
        <w:rPr>
          <w:rFonts w:ascii="바탕" w:eastAsia="바탕" w:hAnsi="바탕" w:cs="바탕"/>
          <w:spacing w:val="-6"/>
        </w:rPr>
      </w:pPr>
      <w:r>
        <w:rPr>
          <w:rFonts w:ascii="바탕" w:eastAsia="바탕" w:hAnsi="바탕" w:cs="바탕"/>
          <w:spacing w:val="-6"/>
        </w:rPr>
        <w:t>20세기 말의 아시아 외환위기 이전의 한국 주식시장은 모멘텀 현상을 보인다는 증거를 찾기가 매우 어려웠다. 오히려 과거의 수익률이 높았던 주식이 이후 상대적으로 수익률이 더 낮은</w:t>
      </w:r>
      <w:r w:rsidR="00F65A19">
        <w:rPr>
          <w:rFonts w:ascii="바탕" w:eastAsia="바탕" w:hAnsi="바탕" w:cs="바탕"/>
          <w:spacing w:val="-6"/>
        </w:rPr>
        <w:t xml:space="preserve"> </w:t>
      </w:r>
      <w:r w:rsidR="00F65A19">
        <w:rPr>
          <w:rFonts w:ascii="바탕" w:eastAsia="바탕" w:hAnsi="바탕" w:cs="바탕" w:hint="eastAsia"/>
          <w:spacing w:val="-6"/>
        </w:rPr>
        <w:t xml:space="preserve">반전 </w:t>
      </w:r>
      <w:r>
        <w:rPr>
          <w:rFonts w:ascii="바탕" w:eastAsia="바탕" w:hAnsi="바탕" w:cs="바탕"/>
          <w:spacing w:val="-6"/>
        </w:rPr>
        <w:t xml:space="preserve">현상을 보이는 경우도 적지 않았다. 다시 말해 모멘텀 투자전략이 음(-)의 수익률을 보인다는 연구도 있었다. 하지만 그 이후(2001년~최근)의 기간에 대해서는 한국 주식시장도 다른 나라와 마찬가지로 모멘텀 현상을 보이고 있다. 그 원인을 정확히 밝히는 것은 쉬운 일이 아닐 것이나 이것이 거래의 비효율성에서 기인한 과소반응에 의한 것인지, 그렇지 않고 합리적인 투자자에 의한 위험에 대한 보상인지 여부를 밝히는 것은 정확한 원인에 대한 어떤 힌트를 제공할 수 있을 것이다. </w:t>
      </w:r>
    </w:p>
    <w:p w:rsidR="00982F33" w:rsidRDefault="00616B04">
      <w:pPr>
        <w:spacing w:after="240" w:line="432" w:lineRule="auto"/>
        <w:rPr>
          <w:rFonts w:ascii="바탕" w:eastAsia="바탕" w:hAnsi="바탕" w:cs="바탕"/>
          <w:spacing w:val="-6"/>
        </w:rPr>
      </w:pPr>
      <w:r>
        <w:rPr>
          <w:rFonts w:ascii="바탕" w:eastAsia="바탕" w:hAnsi="바탕" w:cs="바탕"/>
          <w:spacing w:val="-6"/>
        </w:rPr>
        <w:t>본 연구에서는 한국 주식시장의 모멘텀 현상이 차익거래제한에 의한 과소반응에 의한것이라기 보다는 위험에 대한 적절한 보상으로 보는 것이 합리적임을 밝히고 있다. 특히 모멘텀 현상이 회계적 수익률이 나타내는 위험과 밀접한 관련이 있어 FF5 요인 모형의 수익률 위험요인(profitability risk factor)에 의해 잘 설명됨을 확인하였다.</w:t>
      </w:r>
      <w:r>
        <w:br w:type="page"/>
      </w:r>
    </w:p>
    <w:p w:rsidR="00982F33" w:rsidRDefault="00616B04">
      <w:pPr>
        <w:widowControl/>
        <w:spacing w:after="160" w:line="480" w:lineRule="auto"/>
        <w:rPr>
          <w:rFonts w:ascii="바탕" w:eastAsia="바탕" w:hAnsi="바탕"/>
          <w:b/>
          <w:spacing w:val="-6"/>
          <w:kern w:val="0"/>
          <w:sz w:val="28"/>
          <w:szCs w:val="28"/>
        </w:rPr>
      </w:pPr>
      <w:r>
        <w:rPr>
          <w:rFonts w:ascii="바탕" w:eastAsia="바탕" w:hAnsi="바탕"/>
          <w:b/>
          <w:spacing w:val="-6"/>
          <w:kern w:val="0"/>
          <w:sz w:val="28"/>
          <w:szCs w:val="28"/>
        </w:rPr>
        <w:lastRenderedPageBreak/>
        <w:t>참고문헌</w:t>
      </w:r>
    </w:p>
    <w:p w:rsidR="00982F33" w:rsidRDefault="00616B04">
      <w:pPr>
        <w:shd w:val="clear" w:color="auto" w:fill="FFFFFF"/>
        <w:spacing w:line="384" w:lineRule="auto"/>
        <w:ind w:left="500" w:hanging="500"/>
        <w:textAlignment w:val="baseline"/>
        <w:rPr>
          <w:rFonts w:ascii="바탕" w:eastAsia="바탕" w:hAnsi="바탕" w:cs="굴림"/>
          <w:kern w:val="0"/>
          <w:szCs w:val="20"/>
        </w:rPr>
      </w:pPr>
      <w:r>
        <w:rPr>
          <w:rFonts w:ascii="바탕" w:eastAsia="바탕" w:hAnsi="바탕" w:cs="굴림"/>
          <w:kern w:val="0"/>
          <w:szCs w:val="20"/>
        </w:rPr>
        <w:t>고봉찬, “위험프레미엄과 상대적세력 투자전략의 수익성”, 재무관리연구, 제14권 제1호 (1997), pp. 1-21.</w:t>
      </w:r>
    </w:p>
    <w:p w:rsidR="00982F33" w:rsidRDefault="00616B04">
      <w:pPr>
        <w:shd w:val="clear" w:color="auto" w:fill="FFFFFF"/>
        <w:spacing w:line="384" w:lineRule="auto"/>
        <w:ind w:left="500" w:hanging="500"/>
        <w:textAlignment w:val="baseline"/>
        <w:rPr>
          <w:rFonts w:ascii="바탕" w:eastAsia="바탕" w:hAnsi="바탕" w:cs="굴림"/>
          <w:kern w:val="0"/>
          <w:szCs w:val="20"/>
        </w:rPr>
      </w:pPr>
      <w:r>
        <w:rPr>
          <w:rFonts w:ascii="바탕" w:eastAsia="바탕" w:hAnsi="바탕" w:cs="굴림"/>
          <w:kern w:val="0"/>
          <w:szCs w:val="20"/>
        </w:rPr>
        <w:t>고봉찬, “국내 채권시장 모멘텀과 주식시장과의 선행관계”, 재무관리연구, 제35권 제1호 (2006), pp. 103-133.</w:t>
      </w:r>
    </w:p>
    <w:p w:rsidR="00982F33" w:rsidRDefault="00616B04">
      <w:pPr>
        <w:shd w:val="clear" w:color="auto" w:fill="FFFFFF"/>
        <w:spacing w:line="384" w:lineRule="auto"/>
        <w:ind w:left="500" w:hanging="500"/>
        <w:textAlignment w:val="baseline"/>
        <w:rPr>
          <w:rFonts w:ascii="바탕" w:eastAsia="바탕" w:hAnsi="바탕" w:cs="굴림"/>
          <w:kern w:val="0"/>
          <w:szCs w:val="20"/>
        </w:rPr>
      </w:pPr>
      <w:r>
        <w:rPr>
          <w:rFonts w:ascii="바탕" w:eastAsia="바탕" w:hAnsi="바탕" w:cs="굴림"/>
          <w:kern w:val="0"/>
          <w:szCs w:val="20"/>
        </w:rPr>
        <w:t>김동철, 신성호, "한국주식시장의 이익정보 불확실성 위험과 1 월효과." 증권학회지, 제35권 제4호(2006), pp. 71-102.</w:t>
      </w:r>
    </w:p>
    <w:p w:rsidR="00982F33" w:rsidRDefault="00616B04">
      <w:pPr>
        <w:shd w:val="clear" w:color="auto" w:fill="FFFFFF"/>
        <w:spacing w:line="384" w:lineRule="auto"/>
        <w:ind w:left="500" w:hanging="500"/>
        <w:textAlignment w:val="baseline"/>
        <w:rPr>
          <w:rFonts w:ascii="바탕" w:eastAsia="바탕" w:hAnsi="바탕" w:cs="굴림"/>
          <w:kern w:val="0"/>
          <w:szCs w:val="20"/>
        </w:rPr>
      </w:pPr>
      <w:r>
        <w:rPr>
          <w:rFonts w:ascii="바탕" w:eastAsia="바탕" w:hAnsi="바탕" w:cs="굴림"/>
          <w:kern w:val="0"/>
          <w:szCs w:val="20"/>
        </w:rPr>
        <w:t>김상환, “과거 수익률을 이용한 거래전략의 성과분석” , 재무연구, 제25권 제2호(2012),pp. 203-236.</w:t>
      </w:r>
    </w:p>
    <w:p w:rsidR="00982F33" w:rsidRDefault="00616B04">
      <w:pPr>
        <w:shd w:val="clear" w:color="auto" w:fill="FFFFFF"/>
        <w:spacing w:line="384" w:lineRule="auto"/>
        <w:ind w:left="500" w:hanging="500"/>
        <w:textAlignment w:val="baseline"/>
        <w:rPr>
          <w:rFonts w:ascii="바탕" w:eastAsia="바탕" w:hAnsi="바탕" w:cs="굴림"/>
          <w:kern w:val="0"/>
          <w:szCs w:val="20"/>
        </w:rPr>
      </w:pPr>
      <w:r>
        <w:rPr>
          <w:rFonts w:ascii="바탕" w:eastAsia="바탕" w:hAnsi="바탕" w:cs="굴림"/>
          <w:kern w:val="0"/>
          <w:szCs w:val="20"/>
        </w:rPr>
        <w:t>안영규, 이정도, “주식수익률과 거래량을 이용한 투자전략의 성과분석”, 증권학회지, 제33권 제1호(2004), pp. 105-137.</w:t>
      </w:r>
    </w:p>
    <w:p w:rsidR="00982F33" w:rsidRDefault="00616B04">
      <w:pPr>
        <w:shd w:val="clear" w:color="auto" w:fill="FFFFFF"/>
        <w:spacing w:line="384" w:lineRule="auto"/>
        <w:ind w:left="500" w:hanging="500"/>
        <w:textAlignment w:val="baseline"/>
        <w:rPr>
          <w:rFonts w:ascii="바탕" w:eastAsia="바탕" w:hAnsi="바탕" w:cs="굴림"/>
          <w:kern w:val="0"/>
          <w:szCs w:val="20"/>
        </w:rPr>
      </w:pPr>
      <w:r>
        <w:rPr>
          <w:rFonts w:ascii="바탕" w:eastAsia="바탕" w:hAnsi="바탕" w:cs="굴림"/>
          <w:kern w:val="0"/>
          <w:szCs w:val="20"/>
        </w:rPr>
        <w:t>정정현, 김동희, “과거의 주가에 근거한 투자전략의 성과분석”, 재무관리연구, 제19권 제2호 (2002), pp. 49-75.</w:t>
      </w:r>
    </w:p>
    <w:p w:rsidR="00982F33" w:rsidRDefault="00982F33">
      <w:pPr>
        <w:shd w:val="clear" w:color="auto" w:fill="FFFFFF"/>
        <w:spacing w:line="384" w:lineRule="auto"/>
        <w:ind w:left="470" w:hanging="470"/>
        <w:textAlignment w:val="baseline"/>
        <w:rPr>
          <w:rFonts w:ascii="바탕" w:eastAsia="바탕" w:hAnsi="바탕"/>
          <w:spacing w:val="-6"/>
          <w:kern w:val="0"/>
          <w:szCs w:val="20"/>
        </w:rPr>
      </w:pPr>
    </w:p>
    <w:p w:rsidR="00982F33" w:rsidRDefault="00982F33">
      <w:pPr>
        <w:shd w:val="clear" w:color="auto" w:fill="FFFFFF"/>
        <w:spacing w:line="384" w:lineRule="auto"/>
        <w:ind w:left="500" w:hanging="500"/>
        <w:textAlignment w:val="baseline"/>
        <w:rPr>
          <w:rFonts w:ascii="바탕" w:eastAsia="바탕" w:hAnsi="바탕" w:cs="굴림"/>
          <w:kern w:val="0"/>
          <w:szCs w:val="20"/>
        </w:rPr>
      </w:pPr>
    </w:p>
    <w:p w:rsidR="00982F33" w:rsidRDefault="00616B04">
      <w:pPr>
        <w:spacing w:line="360" w:lineRule="auto"/>
        <w:ind w:left="567" w:hanging="567"/>
      </w:pPr>
      <w:r>
        <w:rPr>
          <w:rFonts w:ascii="바탕" w:eastAsia="바탕" w:hAnsi="바탕"/>
          <w:spacing w:val="-6"/>
          <w:kern w:val="0"/>
          <w:szCs w:val="20"/>
        </w:rPr>
        <w:t xml:space="preserve">Ali, A., Hwang, L. S., &amp; Trombley, M. A., 2003, Arbitrage risk and the book-to-market anomaly, </w:t>
      </w:r>
      <w:r>
        <w:rPr>
          <w:rFonts w:ascii="바탕" w:eastAsia="바탕" w:hAnsi="바탕"/>
          <w:i/>
          <w:spacing w:val="-6"/>
          <w:kern w:val="0"/>
          <w:szCs w:val="20"/>
        </w:rPr>
        <w:t>Journal of Financial Economics</w:t>
      </w:r>
      <w:r>
        <w:rPr>
          <w:rFonts w:ascii="바탕" w:eastAsia="바탕" w:hAnsi="바탕"/>
          <w:spacing w:val="-6"/>
          <w:kern w:val="0"/>
          <w:szCs w:val="20"/>
        </w:rPr>
        <w:t>, 69(2), pp. 355-373.</w:t>
      </w:r>
    </w:p>
    <w:p w:rsidR="00982F33" w:rsidRDefault="00616B04">
      <w:pPr>
        <w:spacing w:line="360" w:lineRule="auto"/>
        <w:ind w:left="567" w:hanging="567"/>
        <w:rPr>
          <w:rFonts w:ascii="바탕" w:eastAsia="바탕" w:hAnsi="바탕"/>
          <w:spacing w:val="-6"/>
          <w:kern w:val="0"/>
          <w:szCs w:val="20"/>
        </w:rPr>
      </w:pPr>
      <w:r>
        <w:rPr>
          <w:rFonts w:ascii="바탕" w:eastAsia="바탕" w:hAnsi="바탕"/>
          <w:spacing w:val="-6"/>
          <w:kern w:val="0"/>
          <w:szCs w:val="20"/>
        </w:rPr>
        <w:t>Conrad, J. and G. Kaul, 1998, An Anatomy of Trading Strategies, Review of Financial Studies 11, pp. 489-519.</w:t>
      </w:r>
    </w:p>
    <w:p w:rsidR="00982F33" w:rsidRDefault="00616B04">
      <w:pPr>
        <w:spacing w:line="360" w:lineRule="auto"/>
        <w:ind w:left="567" w:hanging="567"/>
        <w:rPr>
          <w:rFonts w:ascii="바탕" w:eastAsia="바탕" w:hAnsi="바탕"/>
          <w:spacing w:val="-6"/>
          <w:kern w:val="0"/>
          <w:szCs w:val="20"/>
        </w:rPr>
      </w:pPr>
      <w:r>
        <w:rPr>
          <w:rFonts w:ascii="바탕" w:eastAsia="바탕" w:hAnsi="바탕"/>
          <w:spacing w:val="-6"/>
          <w:kern w:val="0"/>
          <w:szCs w:val="20"/>
        </w:rPr>
        <w:t>Chui, A. C. W., S. Titman, and K. C. J. Wei, 2010, Individualism and Momentum Around the World, Journal of Finance 65, pp. 361-392.</w:t>
      </w:r>
    </w:p>
    <w:p w:rsidR="00982F33" w:rsidRDefault="00616B04">
      <w:pPr>
        <w:spacing w:line="360" w:lineRule="auto"/>
        <w:ind w:left="567" w:hanging="567"/>
      </w:pPr>
      <w:r>
        <w:rPr>
          <w:rFonts w:ascii="바탕" w:eastAsia="바탕" w:hAnsi="바탕"/>
          <w:spacing w:val="-6"/>
          <w:kern w:val="0"/>
          <w:szCs w:val="20"/>
        </w:rPr>
        <w:t xml:space="preserve">Fama, E.F. and French, K.R., 1993, Common risk factors in the returns on stocks and bonds, </w:t>
      </w:r>
      <w:r>
        <w:rPr>
          <w:rFonts w:ascii="바탕" w:eastAsia="바탕" w:hAnsi="바탕"/>
          <w:i/>
          <w:spacing w:val="-6"/>
          <w:kern w:val="0"/>
          <w:szCs w:val="20"/>
        </w:rPr>
        <w:t>Journal of financial economics</w:t>
      </w:r>
      <w:r>
        <w:rPr>
          <w:rFonts w:ascii="바탕" w:eastAsia="바탕" w:hAnsi="바탕"/>
          <w:spacing w:val="-6"/>
          <w:kern w:val="0"/>
          <w:szCs w:val="20"/>
        </w:rPr>
        <w:t>, 33(1), pp. 3-56.</w:t>
      </w:r>
    </w:p>
    <w:p w:rsidR="00982F33" w:rsidRDefault="00616B04">
      <w:pPr>
        <w:spacing w:line="360" w:lineRule="auto"/>
        <w:ind w:left="567" w:hanging="567"/>
      </w:pPr>
      <w:r>
        <w:rPr>
          <w:rFonts w:ascii="바탕" w:eastAsia="바탕" w:hAnsi="바탕"/>
          <w:spacing w:val="-6"/>
          <w:kern w:val="0"/>
          <w:szCs w:val="20"/>
        </w:rPr>
        <w:t xml:space="preserve">Fama, E.F. and French, K.R., 1996, Multifactor explanations of asset pricing anomalies, </w:t>
      </w:r>
      <w:r>
        <w:rPr>
          <w:rFonts w:ascii="바탕" w:eastAsia="바탕" w:hAnsi="바탕"/>
          <w:i/>
          <w:spacing w:val="-6"/>
          <w:kern w:val="0"/>
          <w:szCs w:val="20"/>
        </w:rPr>
        <w:t>Journal of finance</w:t>
      </w:r>
      <w:r>
        <w:rPr>
          <w:rFonts w:ascii="바탕" w:eastAsia="바탕" w:hAnsi="바탕"/>
          <w:spacing w:val="-6"/>
          <w:kern w:val="0"/>
          <w:szCs w:val="20"/>
        </w:rPr>
        <w:t>, 51(1), pp. 55-84.</w:t>
      </w:r>
    </w:p>
    <w:p w:rsidR="00982F33" w:rsidRDefault="00616B04">
      <w:pPr>
        <w:spacing w:line="360" w:lineRule="auto"/>
        <w:ind w:left="567" w:hanging="567"/>
      </w:pPr>
      <w:r>
        <w:rPr>
          <w:rFonts w:ascii="바탕" w:eastAsia="바탕" w:hAnsi="바탕"/>
          <w:spacing w:val="-6"/>
          <w:kern w:val="0"/>
          <w:szCs w:val="20"/>
        </w:rPr>
        <w:t xml:space="preserve">Fama, E.F. and French, K.R., 2015, A five-factor asset pricing model, </w:t>
      </w:r>
      <w:r>
        <w:rPr>
          <w:rFonts w:ascii="바탕" w:eastAsia="바탕" w:hAnsi="바탕"/>
          <w:i/>
          <w:spacing w:val="-6"/>
          <w:kern w:val="0"/>
          <w:szCs w:val="20"/>
        </w:rPr>
        <w:t>Journal of Financial Economics</w:t>
      </w:r>
      <w:r>
        <w:rPr>
          <w:rFonts w:ascii="바탕" w:eastAsia="바탕" w:hAnsi="바탕"/>
          <w:spacing w:val="-6"/>
          <w:kern w:val="0"/>
          <w:szCs w:val="20"/>
        </w:rPr>
        <w:t>, 116(1), pp. 1-22.</w:t>
      </w:r>
    </w:p>
    <w:p w:rsidR="00982F33" w:rsidRDefault="00616B04">
      <w:pPr>
        <w:spacing w:line="360" w:lineRule="auto"/>
        <w:ind w:left="567" w:hanging="567"/>
      </w:pPr>
      <w:r>
        <w:rPr>
          <w:rFonts w:ascii="바탕" w:eastAsia="바탕" w:hAnsi="바탕"/>
          <w:spacing w:val="-6"/>
          <w:kern w:val="0"/>
          <w:szCs w:val="20"/>
        </w:rPr>
        <w:t xml:space="preserve">Fama, E. F., &amp; French, K. R., 2016, Dissecting anomalies with a five-factor model, </w:t>
      </w:r>
      <w:r>
        <w:rPr>
          <w:rFonts w:ascii="바탕" w:eastAsia="바탕" w:hAnsi="바탕"/>
          <w:i/>
          <w:spacing w:val="-6"/>
          <w:kern w:val="0"/>
          <w:szCs w:val="20"/>
        </w:rPr>
        <w:t>The Review of Financial Studies</w:t>
      </w:r>
      <w:r>
        <w:rPr>
          <w:rFonts w:ascii="바탕" w:eastAsia="바탕" w:hAnsi="바탕"/>
          <w:spacing w:val="-6"/>
          <w:kern w:val="0"/>
          <w:szCs w:val="20"/>
        </w:rPr>
        <w:t>, 29(1), pp. 69-103.</w:t>
      </w:r>
    </w:p>
    <w:p w:rsidR="00982F33" w:rsidRDefault="00616B04">
      <w:pPr>
        <w:spacing w:line="360" w:lineRule="auto"/>
        <w:ind w:left="567" w:hanging="567"/>
        <w:rPr>
          <w:rFonts w:ascii="바탕" w:eastAsia="바탕" w:hAnsi="바탕"/>
          <w:spacing w:val="-6"/>
          <w:kern w:val="0"/>
          <w:szCs w:val="20"/>
        </w:rPr>
      </w:pPr>
      <w:r>
        <w:rPr>
          <w:rFonts w:ascii="바탕" w:eastAsia="바탕" w:hAnsi="바탕"/>
          <w:spacing w:val="-6"/>
          <w:kern w:val="0"/>
          <w:szCs w:val="20"/>
        </w:rPr>
        <w:t>Griffin, J. M., S. Ji, and J. S. Martin, 2003, Momentum Investing and Business Cycle Risk: Evidence from Pole to Pole, Journal of Finance 58, pp. 2515-2547.</w:t>
      </w:r>
    </w:p>
    <w:p w:rsidR="00982F33" w:rsidRDefault="00616B04">
      <w:pPr>
        <w:spacing w:line="360" w:lineRule="auto"/>
        <w:ind w:left="567" w:hanging="567"/>
        <w:rPr>
          <w:rFonts w:ascii="바탕" w:eastAsia="바탕" w:hAnsi="바탕"/>
          <w:spacing w:val="-6"/>
          <w:kern w:val="0"/>
          <w:szCs w:val="20"/>
        </w:rPr>
      </w:pPr>
      <w:r>
        <w:rPr>
          <w:rFonts w:ascii="바탕" w:eastAsia="바탕" w:hAnsi="바탕"/>
          <w:spacing w:val="-6"/>
          <w:kern w:val="0"/>
          <w:szCs w:val="20"/>
        </w:rPr>
        <w:t xml:space="preserve">Hong, H., T. Lim, and J. C. Stein, 2000, Bad News Travels Slowly: Size, Analyst Coverage,and the Profitability of Momentum Strategies, Journal of Finance 55, pp.265-295. </w:t>
      </w:r>
    </w:p>
    <w:p w:rsidR="00982F33" w:rsidRDefault="00616B04">
      <w:pPr>
        <w:spacing w:line="360" w:lineRule="auto"/>
        <w:ind w:left="567" w:hanging="567"/>
        <w:rPr>
          <w:rFonts w:ascii="바탕" w:eastAsia="바탕" w:hAnsi="바탕"/>
          <w:spacing w:val="-6"/>
          <w:kern w:val="0"/>
          <w:szCs w:val="20"/>
        </w:rPr>
      </w:pPr>
      <w:r>
        <w:rPr>
          <w:rFonts w:ascii="바탕" w:eastAsia="바탕" w:hAnsi="바탕"/>
          <w:spacing w:val="-6"/>
          <w:kern w:val="0"/>
          <w:szCs w:val="20"/>
        </w:rPr>
        <w:lastRenderedPageBreak/>
        <w:t>Jegadeesh, N. and S. Titman, 1993, Returns to Buying Winners and Selling Losers: Implications for Stock Market Efficiency, Journal of Finance 48, pp. 65-91.</w:t>
      </w:r>
    </w:p>
    <w:p w:rsidR="00982F33" w:rsidRDefault="00616B04">
      <w:pPr>
        <w:spacing w:line="360" w:lineRule="auto"/>
        <w:ind w:left="567" w:hanging="567"/>
        <w:rPr>
          <w:rFonts w:ascii="바탕" w:eastAsia="바탕" w:hAnsi="바탕"/>
          <w:spacing w:val="-6"/>
          <w:kern w:val="0"/>
          <w:szCs w:val="20"/>
        </w:rPr>
      </w:pPr>
      <w:r>
        <w:rPr>
          <w:rFonts w:ascii="바탕" w:eastAsia="바탕" w:hAnsi="바탕"/>
          <w:spacing w:val="-6"/>
          <w:kern w:val="0"/>
          <w:szCs w:val="20"/>
        </w:rPr>
        <w:t>Jegadeesh, N. and S. Titman, 2001, Profitability of Momentum Strategies: An Evaluation of Alternative Explanations, Journal of Finance 56, pp. 699-720.</w:t>
      </w:r>
    </w:p>
    <w:p w:rsidR="00982F33" w:rsidRDefault="00616B04">
      <w:pPr>
        <w:spacing w:line="360" w:lineRule="auto"/>
        <w:ind w:left="567" w:hanging="567"/>
      </w:pPr>
      <w:r>
        <w:rPr>
          <w:rFonts w:ascii="바탕" w:eastAsia="바탕" w:hAnsi="바탕"/>
          <w:spacing w:val="-6"/>
          <w:kern w:val="0"/>
          <w:szCs w:val="20"/>
        </w:rPr>
        <w:t>Rouwenhorst, K. G., 1998, International Momentum Strategies, Journal of Finance 53, pp. 267-284.</w:t>
      </w:r>
    </w:p>
    <w:sectPr w:rsidR="00982F33">
      <w:footerReference w:type="default" r:id="rId9"/>
      <w:pgSz w:w="11906" w:h="16838"/>
      <w:pgMar w:top="1440" w:right="1440" w:bottom="1440" w:left="1440" w:header="0" w:footer="992"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EFE" w:rsidRDefault="00DA1EFE">
      <w:r>
        <w:separator/>
      </w:r>
    </w:p>
  </w:endnote>
  <w:endnote w:type="continuationSeparator" w:id="0">
    <w:p w:rsidR="00DA1EFE" w:rsidRDefault="00DA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DejaVu Sans">
    <w:altName w:val="Arial"/>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dvTimes">
    <w:panose1 w:val="00000000000000000000"/>
    <w:charset w:val="81"/>
    <w:family w:val="auto"/>
    <w:notTrueType/>
    <w:pitch w:val="default"/>
    <w:sig w:usb0="00000001" w:usb1="09060000" w:usb2="00000010" w:usb3="00000000" w:csb0="00080000"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한양견명조">
    <w:panose1 w:val="00000000000000000000"/>
    <w:charset w:val="81"/>
    <w:family w:val="roman"/>
    <w:notTrueType/>
    <w:pitch w:val="default"/>
    <w:sig w:usb0="00000001" w:usb1="09060000" w:usb2="00000010" w:usb3="00000000" w:csb0="00080000" w:csb1="00000000"/>
  </w:font>
  <w:font w:name="신명 태명조">
    <w:panose1 w:val="00000000000000000000"/>
    <w:charset w:val="81"/>
    <w:family w:val="roman"/>
    <w:notTrueType/>
    <w:pitch w:val="default"/>
    <w:sig w:usb0="00000001" w:usb1="09060000"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43" w:usb2="00000009" w:usb3="00000000" w:csb0="000001FF" w:csb1="00000000"/>
  </w:font>
  <w:font w:name="천리안체H">
    <w:panose1 w:val="00000000000000000000"/>
    <w:charset w:val="81"/>
    <w:family w:val="auto"/>
    <w:notTrueType/>
    <w:pitch w:val="variable"/>
    <w:sig w:usb0="00000001" w:usb1="09060000" w:usb2="00000010" w:usb3="00000000" w:csb0="00080000" w:csb1="00000000"/>
  </w:font>
  <w:font w:name="CenturySchoolbook-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바탕체">
    <w:altName w:val="BatangChe"/>
    <w:panose1 w:val="02030609000101010101"/>
    <w:charset w:val="81"/>
    <w:family w:val="roma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D89" w:rsidRDefault="00F93D89">
    <w:pPr>
      <w:pStyle w:val="af1"/>
      <w:jc w:val="center"/>
    </w:pPr>
    <w:r>
      <w:fldChar w:fldCharType="begin"/>
    </w:r>
    <w:r>
      <w:instrText>PAGE</w:instrText>
    </w:r>
    <w:r>
      <w:fldChar w:fldCharType="separate"/>
    </w:r>
    <w:r w:rsidR="00121BB8">
      <w:rPr>
        <w:noProof/>
      </w:rPr>
      <w:t>9</w:t>
    </w:r>
    <w:r>
      <w:fldChar w:fldCharType="end"/>
    </w:r>
  </w:p>
  <w:p w:rsidR="00F93D89" w:rsidRDefault="00F93D89">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D89" w:rsidRDefault="00F93D89">
    <w:pPr>
      <w:pStyle w:val="af1"/>
      <w:jc w:val="center"/>
    </w:pPr>
    <w:r>
      <w:fldChar w:fldCharType="begin"/>
    </w:r>
    <w:r>
      <w:instrText>PAGE</w:instrText>
    </w:r>
    <w:r>
      <w:fldChar w:fldCharType="separate"/>
    </w:r>
    <w:r w:rsidR="00121BB8">
      <w:rPr>
        <w:noProof/>
      </w:rPr>
      <w:t>10</w:t>
    </w:r>
    <w:r>
      <w:fldChar w:fldCharType="end"/>
    </w:r>
  </w:p>
  <w:p w:rsidR="00F93D89" w:rsidRDefault="00F93D89">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D89" w:rsidRDefault="00F93D89">
    <w:pPr>
      <w:pStyle w:val="af1"/>
      <w:jc w:val="center"/>
    </w:pPr>
    <w:r>
      <w:fldChar w:fldCharType="begin"/>
    </w:r>
    <w:r>
      <w:instrText>PAGE</w:instrText>
    </w:r>
    <w:r>
      <w:fldChar w:fldCharType="separate"/>
    </w:r>
    <w:r w:rsidR="00121BB8">
      <w:rPr>
        <w:noProof/>
      </w:rPr>
      <w:t>19</w:t>
    </w:r>
    <w:r>
      <w:fldChar w:fldCharType="end"/>
    </w:r>
  </w:p>
  <w:p w:rsidR="00F93D89" w:rsidRDefault="00F93D89">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EFE" w:rsidRDefault="00DA1EFE">
      <w:r>
        <w:separator/>
      </w:r>
    </w:p>
  </w:footnote>
  <w:footnote w:type="continuationSeparator" w:id="0">
    <w:p w:rsidR="00DA1EFE" w:rsidRDefault="00DA1EFE">
      <w:r>
        <w:continuationSeparator/>
      </w:r>
    </w:p>
  </w:footnote>
  <w:footnote w:id="1">
    <w:p w:rsidR="00F93D89" w:rsidRPr="009234AA" w:rsidRDefault="00F93D89">
      <w:pPr>
        <w:pStyle w:val="ae"/>
        <w:rPr>
          <w:rFonts w:hint="eastAsia"/>
          <w:sz w:val="16"/>
          <w:szCs w:val="16"/>
        </w:rPr>
      </w:pPr>
      <w:r>
        <w:rPr>
          <w:rStyle w:val="a6"/>
        </w:rPr>
        <w:footnoteRef/>
      </w:r>
      <w:r>
        <w:t xml:space="preserve"> </w:t>
      </w:r>
      <w:r w:rsidRPr="009234AA">
        <w:rPr>
          <w:rFonts w:ascii="바탕" w:eastAsia="바탕" w:hAnsi="바탕" w:hint="eastAsia"/>
          <w:sz w:val="16"/>
          <w:szCs w:val="16"/>
        </w:rPr>
        <w:t>균등 평균(</w:t>
      </w:r>
      <w:r w:rsidRPr="009234AA">
        <w:rPr>
          <w:rFonts w:ascii="바탕" w:eastAsia="바탕" w:hAnsi="바탕"/>
          <w:sz w:val="16"/>
          <w:szCs w:val="16"/>
        </w:rPr>
        <w:t>equally weighted)</w:t>
      </w:r>
      <w:r>
        <w:rPr>
          <w:rFonts w:ascii="바탕" w:eastAsia="바탕" w:hAnsi="바탕" w:hint="eastAsia"/>
          <w:sz w:val="16"/>
          <w:szCs w:val="16"/>
        </w:rPr>
        <w:t xml:space="preserve"> 한 경우도 결과에 영향을 미치지 않는다.</w:t>
      </w:r>
    </w:p>
  </w:footnote>
  <w:footnote w:id="2">
    <w:p w:rsidR="00F93D89" w:rsidRPr="00421897" w:rsidRDefault="00F93D89">
      <w:pPr>
        <w:pStyle w:val="ae"/>
        <w:rPr>
          <w:rFonts w:ascii="바탕" w:eastAsia="바탕" w:hAnsi="바탕" w:hint="eastAsia"/>
          <w:sz w:val="16"/>
          <w:szCs w:val="16"/>
        </w:rPr>
      </w:pPr>
      <w:r>
        <w:rPr>
          <w:rStyle w:val="a6"/>
        </w:rPr>
        <w:footnoteRef/>
      </w:r>
      <w:r>
        <w:t xml:space="preserve"> </w:t>
      </w:r>
      <w:r>
        <w:rPr>
          <w:rFonts w:ascii="바탕" w:eastAsia="바탕" w:hAnsi="바탕" w:hint="eastAsia"/>
          <w:sz w:val="16"/>
          <w:szCs w:val="16"/>
        </w:rPr>
        <w:t xml:space="preserve">데이터의 누락 없이 </w:t>
      </w:r>
      <w:r>
        <w:rPr>
          <w:rFonts w:ascii="바탕" w:eastAsia="바탕" w:hAnsi="바탕"/>
          <w:sz w:val="16"/>
          <w:szCs w:val="16"/>
        </w:rPr>
        <w:t>36</w:t>
      </w:r>
      <w:r>
        <w:rPr>
          <w:rFonts w:ascii="바탕" w:eastAsia="바탕" w:hAnsi="바탕" w:hint="eastAsia"/>
          <w:sz w:val="16"/>
          <w:szCs w:val="16"/>
        </w:rPr>
        <w:t xml:space="preserve">개월 전체에 대해 수익률이 존재하는 경우만을 이용했으나, </w:t>
      </w:r>
      <w:r>
        <w:rPr>
          <w:rFonts w:ascii="바탕" w:eastAsia="바탕" w:hAnsi="바탕"/>
          <w:sz w:val="16"/>
          <w:szCs w:val="16"/>
        </w:rPr>
        <w:t>24</w:t>
      </w:r>
      <w:r>
        <w:rPr>
          <w:rFonts w:ascii="바탕" w:eastAsia="바탕" w:hAnsi="바탕" w:hint="eastAsia"/>
          <w:sz w:val="16"/>
          <w:szCs w:val="16"/>
        </w:rPr>
        <w:t>개월 이상으로 한 경우도 결과에 차이가 없다.</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ko-KR" w:vendorID="64" w:dllVersion="131077" w:nlCheck="1" w:checkStyle="1"/>
  <w:defaultTabStop w:val="80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
  <w:rsids>
    <w:rsidRoot w:val="00982F33"/>
    <w:rsid w:val="00002FD6"/>
    <w:rsid w:val="0009424F"/>
    <w:rsid w:val="000C13FD"/>
    <w:rsid w:val="000F5C01"/>
    <w:rsid w:val="00121BB8"/>
    <w:rsid w:val="0014771F"/>
    <w:rsid w:val="001B2EEF"/>
    <w:rsid w:val="001D4C8D"/>
    <w:rsid w:val="002A0BD8"/>
    <w:rsid w:val="003A0CA0"/>
    <w:rsid w:val="00421897"/>
    <w:rsid w:val="00445ABB"/>
    <w:rsid w:val="004502BD"/>
    <w:rsid w:val="00461E8A"/>
    <w:rsid w:val="00483400"/>
    <w:rsid w:val="00484A31"/>
    <w:rsid w:val="004C2B48"/>
    <w:rsid w:val="004E743D"/>
    <w:rsid w:val="00534F4F"/>
    <w:rsid w:val="00564F18"/>
    <w:rsid w:val="005C290B"/>
    <w:rsid w:val="005F27A5"/>
    <w:rsid w:val="005F3ED8"/>
    <w:rsid w:val="006021AE"/>
    <w:rsid w:val="00616B04"/>
    <w:rsid w:val="00626D29"/>
    <w:rsid w:val="00636CA2"/>
    <w:rsid w:val="0068297B"/>
    <w:rsid w:val="006A1988"/>
    <w:rsid w:val="006C3A08"/>
    <w:rsid w:val="007545B3"/>
    <w:rsid w:val="007A2743"/>
    <w:rsid w:val="00823438"/>
    <w:rsid w:val="0086053E"/>
    <w:rsid w:val="008A1300"/>
    <w:rsid w:val="008B28F6"/>
    <w:rsid w:val="008D1509"/>
    <w:rsid w:val="008D46CA"/>
    <w:rsid w:val="008E02A0"/>
    <w:rsid w:val="00922E31"/>
    <w:rsid w:val="009234AA"/>
    <w:rsid w:val="00950A37"/>
    <w:rsid w:val="00982F33"/>
    <w:rsid w:val="00A210E1"/>
    <w:rsid w:val="00A327D8"/>
    <w:rsid w:val="00AA3309"/>
    <w:rsid w:val="00AB0DEE"/>
    <w:rsid w:val="00B174A7"/>
    <w:rsid w:val="00B60790"/>
    <w:rsid w:val="00BC2BF4"/>
    <w:rsid w:val="00BD7B34"/>
    <w:rsid w:val="00C330C4"/>
    <w:rsid w:val="00C344B5"/>
    <w:rsid w:val="00C417D4"/>
    <w:rsid w:val="00C47C82"/>
    <w:rsid w:val="00C73857"/>
    <w:rsid w:val="00C76235"/>
    <w:rsid w:val="00D05A18"/>
    <w:rsid w:val="00D91EF9"/>
    <w:rsid w:val="00DA1EFE"/>
    <w:rsid w:val="00E36415"/>
    <w:rsid w:val="00E53342"/>
    <w:rsid w:val="00E57768"/>
    <w:rsid w:val="00EA1968"/>
    <w:rsid w:val="00EB2A02"/>
    <w:rsid w:val="00EC3A06"/>
    <w:rsid w:val="00EE1BFC"/>
    <w:rsid w:val="00F04113"/>
    <w:rsid w:val="00F42249"/>
    <w:rsid w:val="00F65A19"/>
    <w:rsid w:val="00F84099"/>
    <w:rsid w:val="00F93D89"/>
    <w:rsid w:val="00FB1D71"/>
    <w:rsid w:val="00FC03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0D07"/>
  <w15:docId w15:val="{67F15F4C-9181-4A6E-9312-C0F9D27A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DejaVu Sans"/>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cs="Times New Roman"/>
      <w:color w:val="00000A"/>
    </w:rPr>
  </w:style>
  <w:style w:type="paragraph" w:styleId="1">
    <w:name w:val="heading 1"/>
    <w:basedOn w:val="a"/>
    <w:qFormat/>
    <w:pPr>
      <w:widowControl/>
      <w:spacing w:before="280" w:after="280"/>
      <w:outlineLvl w:val="0"/>
    </w:pPr>
    <w:rPr>
      <w:rFonts w:ascii="굴림" w:eastAsia="굴림" w:hAnsi="굴림" w:cs="굴림"/>
      <w:b/>
      <w:bCs/>
      <w:sz w:val="48"/>
      <w:szCs w:val="48"/>
    </w:rPr>
  </w:style>
  <w:style w:type="paragraph" w:styleId="2">
    <w:name w:val="heading 2"/>
    <w:basedOn w:val="a"/>
    <w:qFormat/>
    <w:pPr>
      <w:keepNext/>
      <w:outlineLvl w:val="1"/>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qFormat/>
    <w:rPr>
      <w:rFonts w:ascii="굴림" w:eastAsia="굴림" w:hAnsi="굴림" w:cs="굴림"/>
      <w:b/>
      <w:bCs/>
      <w:kern w:val="2"/>
      <w:sz w:val="48"/>
      <w:szCs w:val="48"/>
    </w:rPr>
  </w:style>
  <w:style w:type="character" w:customStyle="1" w:styleId="2Char">
    <w:name w:val="제목 2 Char"/>
    <w:basedOn w:val="a0"/>
    <w:qFormat/>
    <w:rPr>
      <w:rFonts w:ascii="맑은 고딕" w:eastAsia="맑은 고딕" w:hAnsi="맑은 고딕" w:cs="Times New Roman"/>
    </w:rPr>
  </w:style>
  <w:style w:type="character" w:styleId="a3">
    <w:name w:val="Placeholder Text"/>
    <w:qFormat/>
    <w:rPr>
      <w:color w:val="808080"/>
    </w:rPr>
  </w:style>
  <w:style w:type="character" w:customStyle="1" w:styleId="InternetLink">
    <w:name w:val="Internet Link"/>
    <w:rPr>
      <w:color w:val="0000FF"/>
      <w:u w:val="single"/>
    </w:rPr>
  </w:style>
  <w:style w:type="character" w:styleId="a4">
    <w:name w:val="FollowedHyperlink"/>
    <w:qFormat/>
    <w:rPr>
      <w:color w:val="954F72"/>
      <w:u w:val="single"/>
    </w:rPr>
  </w:style>
  <w:style w:type="character" w:customStyle="1" w:styleId="HTMLChar">
    <w:name w:val="HTML 주소 Char"/>
    <w:basedOn w:val="a0"/>
    <w:qFormat/>
    <w:rPr>
      <w:rFonts w:ascii="굴림" w:eastAsia="굴림" w:hAnsi="굴림" w:cs="굴림"/>
      <w:i/>
      <w:iCs/>
      <w:kern w:val="0"/>
      <w:sz w:val="24"/>
      <w:szCs w:val="24"/>
    </w:rPr>
  </w:style>
  <w:style w:type="character" w:styleId="a5">
    <w:name w:val="Emphasis"/>
    <w:qFormat/>
    <w:rPr>
      <w:b/>
      <w:bCs/>
      <w:i w:val="0"/>
      <w:iCs w:val="0"/>
    </w:rPr>
  </w:style>
  <w:style w:type="character" w:customStyle="1" w:styleId="Char">
    <w:name w:val="각주 텍스트 Char"/>
    <w:basedOn w:val="a0"/>
    <w:qFormat/>
    <w:rPr>
      <w:rFonts w:ascii="맑은 고딕" w:eastAsia="맑은 고딕" w:hAnsi="맑은 고딕" w:cs="Times New Roman"/>
    </w:rPr>
  </w:style>
  <w:style w:type="character" w:customStyle="1" w:styleId="Char0">
    <w:name w:val="메모 텍스트 Char"/>
    <w:basedOn w:val="a0"/>
    <w:qFormat/>
    <w:rPr>
      <w:rFonts w:ascii="맑은 고딕" w:eastAsia="맑은 고딕" w:hAnsi="맑은 고딕" w:cs="Times New Roman"/>
    </w:rPr>
  </w:style>
  <w:style w:type="character" w:customStyle="1" w:styleId="Char1">
    <w:name w:val="머리글 Char"/>
    <w:basedOn w:val="a0"/>
    <w:qFormat/>
    <w:rPr>
      <w:rFonts w:ascii="맑은 고딕" w:eastAsia="맑은 고딕" w:hAnsi="맑은 고딕" w:cs="Times New Roman"/>
    </w:rPr>
  </w:style>
  <w:style w:type="character" w:customStyle="1" w:styleId="Char2">
    <w:name w:val="바닥글 Char"/>
    <w:basedOn w:val="a0"/>
    <w:qFormat/>
    <w:rPr>
      <w:rFonts w:ascii="맑은 고딕" w:eastAsia="맑은 고딕" w:hAnsi="맑은 고딕" w:cs="Times New Roman"/>
    </w:rPr>
  </w:style>
  <w:style w:type="character" w:customStyle="1" w:styleId="Char3">
    <w:name w:val="날짜 Char"/>
    <w:basedOn w:val="a0"/>
    <w:qFormat/>
    <w:rPr>
      <w:rFonts w:ascii="바탕" w:eastAsia="바탕" w:hAnsi="바탕" w:cs="Times New Roman"/>
      <w:color w:val="0000FF"/>
      <w:szCs w:val="24"/>
    </w:rPr>
  </w:style>
  <w:style w:type="character" w:customStyle="1" w:styleId="Char4">
    <w:name w:val="메모 주제 Char"/>
    <w:basedOn w:val="Char0"/>
    <w:qFormat/>
    <w:rPr>
      <w:rFonts w:ascii="맑은 고딕" w:eastAsia="맑은 고딕" w:hAnsi="맑은 고딕" w:cs="Times New Roman"/>
      <w:b/>
      <w:bCs/>
    </w:rPr>
  </w:style>
  <w:style w:type="character" w:customStyle="1" w:styleId="Char5">
    <w:name w:val="풍선 도움말 텍스트 Char"/>
    <w:basedOn w:val="a0"/>
    <w:qFormat/>
    <w:rPr>
      <w:rFonts w:ascii="맑은 고딕" w:eastAsia="맑은 고딕" w:hAnsi="맑은 고딕" w:cs="Times New Roman"/>
      <w:sz w:val="18"/>
      <w:szCs w:val="18"/>
    </w:rPr>
  </w:style>
  <w:style w:type="character" w:customStyle="1" w:styleId="MTDisplayEquationChar">
    <w:name w:val="MTDisplayEquation Char"/>
    <w:qFormat/>
    <w:rPr>
      <w:rFonts w:ascii="Times New Roman" w:eastAsia="AdvTimes" w:hAnsi="Times New Roman" w:cs="Times New Roman"/>
      <w:kern w:val="0"/>
      <w:sz w:val="24"/>
      <w:szCs w:val="24"/>
    </w:rPr>
  </w:style>
  <w:style w:type="character" w:styleId="a6">
    <w:name w:val="footnote reference"/>
    <w:qFormat/>
    <w:rPr>
      <w:vertAlign w:val="superscript"/>
    </w:rPr>
  </w:style>
  <w:style w:type="character" w:styleId="a7">
    <w:name w:val="annotation reference"/>
    <w:qFormat/>
    <w:rPr>
      <w:sz w:val="18"/>
      <w:szCs w:val="18"/>
    </w:rPr>
  </w:style>
  <w:style w:type="character" w:customStyle="1" w:styleId="maintitle">
    <w:name w:val="maintitle"/>
    <w:basedOn w:val="a0"/>
    <w:qFormat/>
  </w:style>
  <w:style w:type="character" w:customStyle="1" w:styleId="hit">
    <w:name w:val="hit"/>
    <w:qFormat/>
    <w:rPr>
      <w:position w:val="0"/>
      <w:sz w:val="24"/>
      <w:szCs w:val="24"/>
      <w:highlight w:val="yellow"/>
      <w:vertAlign w:val="baseline"/>
    </w:rPr>
  </w:style>
  <w:style w:type="character" w:customStyle="1" w:styleId="name2">
    <w:name w:val="name2"/>
    <w:basedOn w:val="a0"/>
    <w:qFormat/>
  </w:style>
  <w:style w:type="character" w:customStyle="1" w:styleId="volume-value">
    <w:name w:val="volume-value"/>
    <w:basedOn w:val="a0"/>
    <w:qFormat/>
  </w:style>
  <w:style w:type="character" w:customStyle="1" w:styleId="vol-issue-comma">
    <w:name w:val="vol-issue-comma"/>
    <w:basedOn w:val="a0"/>
    <w:qFormat/>
  </w:style>
  <w:style w:type="character" w:customStyle="1" w:styleId="issue-value">
    <w:name w:val="issue-value"/>
    <w:basedOn w:val="a0"/>
    <w:qFormat/>
  </w:style>
  <w:style w:type="character" w:customStyle="1" w:styleId="slug-pages3">
    <w:name w:val="slug-pages3"/>
    <w:basedOn w:val="a0"/>
    <w:qFormat/>
  </w:style>
  <w:style w:type="character" w:customStyle="1" w:styleId="title-link-wrapper1">
    <w:name w:val="title-link-wrapper1"/>
    <w:qFormat/>
    <w:rPr>
      <w:vanish w:val="0"/>
      <w:sz w:val="32"/>
      <w:szCs w:val="32"/>
    </w:rPr>
  </w:style>
  <w:style w:type="character" w:customStyle="1" w:styleId="hidden1">
    <w:name w:val="hidden1"/>
    <w:basedOn w:val="a0"/>
    <w:qFormat/>
  </w:style>
  <w:style w:type="character" w:customStyle="1" w:styleId="standard-view-style">
    <w:name w:val="standard-view-style"/>
    <w:basedOn w:val="a0"/>
    <w:qFormat/>
  </w:style>
  <w:style w:type="character" w:customStyle="1" w:styleId="medium-font">
    <w:name w:val="medium-font"/>
    <w:basedOn w:val="a0"/>
    <w:qFormat/>
  </w:style>
  <w:style w:type="character" w:customStyle="1" w:styleId="searchword">
    <w:name w:val="searchword"/>
    <w:qFormat/>
    <w:rPr>
      <w:highlight w:val="yellow"/>
    </w:rPr>
  </w:style>
  <w:style w:type="character" w:customStyle="1" w:styleId="st">
    <w:name w:val="st"/>
    <w:basedOn w:val="a0"/>
    <w:qFormat/>
  </w:style>
  <w:style w:type="character" w:customStyle="1" w:styleId="MTEquationSection">
    <w:name w:val="MTEquationSection"/>
    <w:qFormat/>
    <w:rPr>
      <w:rFonts w:ascii="Times New Roman" w:hAnsi="Times New Roman" w:cs="Times New Roman"/>
      <w:vanish w:val="0"/>
      <w:color w:val="FF0000"/>
      <w:sz w:val="24"/>
      <w:szCs w:val="24"/>
    </w:rPr>
  </w:style>
  <w:style w:type="character" w:customStyle="1" w:styleId="il">
    <w:name w:val="il"/>
    <w:basedOn w:val="a0"/>
    <w:qFormat/>
  </w:style>
  <w:style w:type="character" w:customStyle="1" w:styleId="apple-converted-space">
    <w:name w:val="apple-converted-space"/>
    <w:basedOn w:val="a0"/>
    <w:qFormat/>
  </w:style>
  <w:style w:type="character" w:customStyle="1" w:styleId="cit-gray1">
    <w:name w:val="cit-gray1"/>
    <w:qFormat/>
    <w:rPr>
      <w:color w:val="666666"/>
    </w:rPr>
  </w:style>
  <w:style w:type="character" w:customStyle="1" w:styleId="memo13">
    <w:name w:val="memo13"/>
    <w:basedOn w:val="a0"/>
    <w:qFormat/>
  </w:style>
  <w:style w:type="character" w:customStyle="1" w:styleId="revtext">
    <w:name w:val="rev_text"/>
    <w:basedOn w:val="a0"/>
    <w:qFormat/>
  </w:style>
  <w:style w:type="character" w:customStyle="1" w:styleId="a8">
    <w:name w:val="a"/>
    <w:basedOn w:val="a0"/>
    <w:qFormat/>
  </w:style>
  <w:style w:type="character" w:styleId="a9">
    <w:name w:val="Strong"/>
    <w:qFormat/>
    <w:rPr>
      <w:b/>
      <w:bCs/>
    </w:rPr>
  </w:style>
  <w:style w:type="character" w:customStyle="1" w:styleId="ListLabel1">
    <w:name w:val="ListLabel 1"/>
    <w:qFormat/>
    <w:rPr>
      <w:rFonts w:cs="Times New Roman"/>
      <w:b/>
      <w:sz w:val="28"/>
    </w:rPr>
  </w:style>
  <w:style w:type="character" w:customStyle="1" w:styleId="ListLabel2">
    <w:name w:val="ListLabel 2"/>
    <w:qFormat/>
    <w:rPr>
      <w:rFonts w:cs="Times New Roman"/>
      <w:b/>
      <w:sz w:val="28"/>
    </w:rPr>
  </w:style>
  <w:style w:type="character" w:customStyle="1" w:styleId="ListLabel3">
    <w:name w:val="ListLabel 3"/>
    <w:qFormat/>
    <w:rPr>
      <w:rFonts w:eastAsia="맑은 고딕" w:cs="Times New Roman"/>
    </w:rPr>
  </w:style>
  <w:style w:type="character" w:customStyle="1" w:styleId="ListLabel4">
    <w:name w:val="ListLabel 4"/>
    <w:qFormat/>
    <w:rPr>
      <w:rFonts w:eastAsia="맑은 고딕" w:cs="Times New Roman"/>
    </w:rPr>
  </w:style>
  <w:style w:type="character" w:customStyle="1" w:styleId="FootnoteCharacters">
    <w:name w:val="Footnote Characters"/>
    <w:qFormat/>
  </w:style>
  <w:style w:type="paragraph" w:customStyle="1" w:styleId="Heading">
    <w:name w:val="Heading"/>
    <w:basedOn w:val="a"/>
    <w:next w:val="aa"/>
    <w:qFormat/>
    <w:pPr>
      <w:keepNext/>
      <w:spacing w:before="240" w:after="120"/>
    </w:pPr>
    <w:rPr>
      <w:rFonts w:ascii="Liberation Sans" w:eastAsia="Noto Sans CJK SC Regular" w:hAnsi="Liberation Sans" w:cs="Lohit Devanagari"/>
      <w:sz w:val="28"/>
      <w:szCs w:val="28"/>
    </w:rPr>
  </w:style>
  <w:style w:type="paragraph" w:styleId="aa">
    <w:name w:val="Body Text"/>
    <w:basedOn w:val="a"/>
    <w:pPr>
      <w:spacing w:after="140" w:line="288"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HTML">
    <w:name w:val="HTML Address"/>
    <w:basedOn w:val="a"/>
    <w:qFormat/>
    <w:pPr>
      <w:widowControl/>
    </w:pPr>
    <w:rPr>
      <w:rFonts w:ascii="굴림" w:eastAsia="굴림" w:hAnsi="굴림" w:cs="굴림"/>
      <w:i/>
      <w:iCs/>
      <w:kern w:val="0"/>
      <w:sz w:val="24"/>
      <w:szCs w:val="24"/>
    </w:rPr>
  </w:style>
  <w:style w:type="paragraph" w:styleId="ad">
    <w:name w:val="Normal (Web)"/>
    <w:basedOn w:val="a"/>
    <w:qFormat/>
    <w:pPr>
      <w:widowControl/>
      <w:spacing w:before="280" w:after="280"/>
    </w:pPr>
    <w:rPr>
      <w:rFonts w:ascii="굴림" w:eastAsia="굴림" w:hAnsi="굴림" w:cs="굴림"/>
      <w:kern w:val="0"/>
      <w:sz w:val="24"/>
      <w:szCs w:val="24"/>
    </w:rPr>
  </w:style>
  <w:style w:type="paragraph" w:styleId="ae">
    <w:name w:val="footnote text"/>
    <w:basedOn w:val="a"/>
    <w:qFormat/>
    <w:pPr>
      <w:snapToGrid w:val="0"/>
    </w:pPr>
  </w:style>
  <w:style w:type="paragraph" w:styleId="af">
    <w:name w:val="annotation text"/>
    <w:basedOn w:val="a"/>
    <w:qFormat/>
  </w:style>
  <w:style w:type="paragraph" w:styleId="af0">
    <w:name w:val="header"/>
    <w:basedOn w:val="a"/>
    <w:pPr>
      <w:tabs>
        <w:tab w:val="center" w:pos="4513"/>
        <w:tab w:val="right" w:pos="9026"/>
      </w:tabs>
      <w:snapToGrid w:val="0"/>
    </w:pPr>
  </w:style>
  <w:style w:type="paragraph" w:styleId="af1">
    <w:name w:val="footer"/>
    <w:basedOn w:val="a"/>
    <w:pPr>
      <w:tabs>
        <w:tab w:val="center" w:pos="4513"/>
        <w:tab w:val="right" w:pos="9026"/>
      </w:tabs>
      <w:snapToGrid w:val="0"/>
    </w:pPr>
  </w:style>
  <w:style w:type="paragraph" w:styleId="af2">
    <w:name w:val="Date"/>
    <w:basedOn w:val="a"/>
    <w:qFormat/>
    <w:rPr>
      <w:rFonts w:ascii="바탕" w:eastAsia="바탕" w:hAnsi="바탕"/>
      <w:color w:val="0000FF"/>
      <w:szCs w:val="24"/>
    </w:rPr>
  </w:style>
  <w:style w:type="paragraph" w:styleId="af3">
    <w:name w:val="annotation subject"/>
    <w:basedOn w:val="af"/>
    <w:qFormat/>
    <w:rPr>
      <w:b/>
      <w:bCs/>
    </w:rPr>
  </w:style>
  <w:style w:type="paragraph" w:styleId="af4">
    <w:name w:val="Balloon Text"/>
    <w:basedOn w:val="a"/>
    <w:qFormat/>
    <w:rPr>
      <w:sz w:val="18"/>
      <w:szCs w:val="18"/>
    </w:rPr>
  </w:style>
  <w:style w:type="paragraph" w:styleId="af5">
    <w:name w:val="List Paragraph"/>
    <w:basedOn w:val="a"/>
    <w:qFormat/>
    <w:pPr>
      <w:ind w:left="800"/>
    </w:pPr>
  </w:style>
  <w:style w:type="paragraph" w:customStyle="1" w:styleId="articledetails">
    <w:name w:val="articledetails"/>
    <w:basedOn w:val="a"/>
    <w:qFormat/>
    <w:pPr>
      <w:widowControl/>
      <w:spacing w:before="280" w:after="280"/>
    </w:pPr>
    <w:rPr>
      <w:rFonts w:ascii="굴림" w:eastAsia="굴림" w:hAnsi="굴림" w:cs="굴림"/>
      <w:kern w:val="0"/>
      <w:sz w:val="24"/>
      <w:szCs w:val="24"/>
    </w:rPr>
  </w:style>
  <w:style w:type="paragraph" w:customStyle="1" w:styleId="Default">
    <w:name w:val="Default"/>
    <w:qFormat/>
    <w:pPr>
      <w:widowControl w:val="0"/>
    </w:pPr>
    <w:rPr>
      <w:rFonts w:ascii="Times New Roman" w:hAnsi="Times New Roman" w:cs="Times New Roman"/>
      <w:color w:val="000000"/>
      <w:kern w:val="0"/>
      <w:sz w:val="24"/>
      <w:szCs w:val="24"/>
    </w:rPr>
  </w:style>
  <w:style w:type="paragraph" w:customStyle="1" w:styleId="MTDisplayEquation">
    <w:name w:val="MTDisplayEquation"/>
    <w:basedOn w:val="a"/>
    <w:qFormat/>
    <w:pPr>
      <w:tabs>
        <w:tab w:val="center" w:pos="4520"/>
        <w:tab w:val="right" w:pos="9020"/>
      </w:tabs>
      <w:spacing w:line="480" w:lineRule="auto"/>
    </w:pPr>
    <w:rPr>
      <w:rFonts w:ascii="Times New Roman" w:eastAsia="AdvTimes" w:hAnsi="Times New Roman"/>
      <w:kern w:val="0"/>
      <w:sz w:val="24"/>
      <w:szCs w:val="24"/>
    </w:rPr>
  </w:style>
  <w:style w:type="paragraph" w:customStyle="1" w:styleId="af6">
    <w:name w:val="논제"/>
    <w:basedOn w:val="a"/>
    <w:qFormat/>
    <w:pPr>
      <w:widowControl/>
      <w:snapToGrid w:val="0"/>
      <w:spacing w:line="288" w:lineRule="auto"/>
      <w:jc w:val="center"/>
    </w:pPr>
    <w:rPr>
      <w:rFonts w:ascii="한양견명조" w:eastAsia="한양견명조" w:hAnsi="한양견명조" w:cs="굴림"/>
      <w:color w:val="000000"/>
      <w:kern w:val="0"/>
      <w:sz w:val="46"/>
      <w:szCs w:val="46"/>
    </w:rPr>
  </w:style>
  <w:style w:type="paragraph" w:customStyle="1" w:styleId="af7">
    <w:name w:val="저자이름"/>
    <w:basedOn w:val="a"/>
    <w:qFormat/>
    <w:pPr>
      <w:widowControl/>
      <w:snapToGrid w:val="0"/>
      <w:spacing w:before="1248" w:after="566" w:line="420" w:lineRule="auto"/>
      <w:jc w:val="right"/>
    </w:pPr>
    <w:rPr>
      <w:rFonts w:ascii="신명 태명조" w:eastAsia="신명 태명조" w:hAnsi="신명 태명조" w:cs="굴림"/>
      <w:color w:val="000000"/>
      <w:kern w:val="0"/>
      <w:sz w:val="24"/>
      <w:szCs w:val="24"/>
    </w:rPr>
  </w:style>
  <w:style w:type="paragraph" w:customStyle="1" w:styleId="10">
    <w:name w:val="1쪽"/>
    <w:basedOn w:val="a"/>
    <w:qFormat/>
    <w:pPr>
      <w:widowControl/>
      <w:spacing w:before="280" w:after="280"/>
    </w:pPr>
    <w:rPr>
      <w:rFonts w:ascii="굴림" w:eastAsia="굴림" w:hAnsi="굴림" w:cs="굴림"/>
      <w:kern w:val="0"/>
      <w:sz w:val="24"/>
      <w:szCs w:val="24"/>
    </w:rPr>
  </w:style>
  <w:style w:type="paragraph" w:customStyle="1" w:styleId="af8">
    <w:name w:val="바탕글"/>
    <w:basedOn w:val="a"/>
    <w:qFormat/>
    <w:pPr>
      <w:spacing w:line="384" w:lineRule="auto"/>
    </w:pPr>
    <w:rPr>
      <w:rFonts w:ascii="함초롬바탕" w:eastAsia="굴림" w:hAnsi="함초롬바탕" w:cs="굴림"/>
      <w:color w:val="000000"/>
      <w:kern w:val="0"/>
      <w:szCs w:val="20"/>
    </w:rPr>
  </w:style>
  <w:style w:type="paragraph" w:customStyle="1" w:styleId="xl65">
    <w:name w:val="xl65"/>
    <w:basedOn w:val="a"/>
    <w:qFormat/>
    <w:pPr>
      <w:shd w:val="clear" w:color="auto" w:fill="FFFFFF"/>
    </w:pPr>
    <w:rPr>
      <w:rFonts w:ascii="Arial" w:eastAsia="굴림" w:hAnsi="Arial" w:cs="굴림"/>
      <w:color w:val="000000"/>
      <w:kern w:val="0"/>
      <w:szCs w:val="20"/>
    </w:rPr>
  </w:style>
  <w:style w:type="paragraph" w:customStyle="1" w:styleId="td">
    <w:name w:val="td"/>
    <w:basedOn w:val="a"/>
    <w:qFormat/>
    <w:pPr>
      <w:shd w:val="clear" w:color="auto" w:fill="FFFFFF"/>
    </w:pPr>
    <w:rPr>
      <w:rFonts w:ascii="Arial" w:eastAsia="굴림" w:hAnsi="Arial" w:cs="굴림"/>
      <w:color w:val="000000"/>
      <w:kern w:val="0"/>
      <w:szCs w:val="20"/>
    </w:rPr>
  </w:style>
  <w:style w:type="paragraph" w:customStyle="1" w:styleId="xl71">
    <w:name w:val="xl71"/>
    <w:basedOn w:val="a"/>
    <w:qFormat/>
    <w:pPr>
      <w:shd w:val="clear" w:color="auto" w:fill="FFFFFF"/>
      <w:jc w:val="center"/>
    </w:pPr>
    <w:rPr>
      <w:rFonts w:ascii="Arial" w:eastAsia="굴림" w:hAnsi="Arial" w:cs="굴림"/>
      <w:color w:val="000000"/>
      <w:kern w:val="0"/>
      <w:szCs w:val="20"/>
    </w:rPr>
  </w:style>
  <w:style w:type="paragraph" w:customStyle="1" w:styleId="xl70">
    <w:name w:val="xl70"/>
    <w:basedOn w:val="a"/>
    <w:qFormat/>
    <w:pPr>
      <w:shd w:val="clear" w:color="auto" w:fill="FFFFFF"/>
      <w:jc w:val="center"/>
    </w:pPr>
    <w:rPr>
      <w:rFonts w:ascii="Arial" w:eastAsia="굴림" w:hAnsi="Arial" w:cs="굴림"/>
      <w:color w:val="000000"/>
      <w:kern w:val="0"/>
      <w:szCs w:val="20"/>
    </w:rPr>
  </w:style>
  <w:style w:type="paragraph" w:customStyle="1" w:styleId="xl73">
    <w:name w:val="xl73"/>
    <w:basedOn w:val="a"/>
    <w:qFormat/>
    <w:pPr>
      <w:shd w:val="clear" w:color="auto" w:fill="FFFFFF"/>
    </w:pPr>
    <w:rPr>
      <w:rFonts w:ascii="Arial" w:eastAsia="굴림" w:hAnsi="Arial" w:cs="굴림"/>
      <w:color w:val="000000"/>
      <w:kern w:val="0"/>
      <w:szCs w:val="20"/>
    </w:rPr>
  </w:style>
  <w:style w:type="paragraph" w:customStyle="1" w:styleId="xl75">
    <w:name w:val="xl75"/>
    <w:basedOn w:val="a"/>
    <w:qFormat/>
    <w:pPr>
      <w:shd w:val="clear" w:color="auto" w:fill="FFFFFF"/>
      <w:jc w:val="center"/>
    </w:pPr>
    <w:rPr>
      <w:rFonts w:ascii="Arial" w:eastAsia="굴림" w:hAnsi="Arial" w:cs="굴림"/>
      <w:color w:val="000000"/>
      <w:kern w:val="0"/>
      <w:szCs w:val="20"/>
    </w:rPr>
  </w:style>
  <w:style w:type="paragraph" w:customStyle="1" w:styleId="xl68">
    <w:name w:val="xl68"/>
    <w:basedOn w:val="a"/>
    <w:qFormat/>
    <w:pPr>
      <w:shd w:val="clear" w:color="auto" w:fill="FFFFFF"/>
    </w:pPr>
    <w:rPr>
      <w:rFonts w:ascii="Arial" w:eastAsia="굴림" w:hAnsi="Arial" w:cs="굴림"/>
      <w:color w:val="000000"/>
      <w:kern w:val="0"/>
      <w:szCs w:val="20"/>
    </w:rPr>
  </w:style>
  <w:style w:type="paragraph" w:customStyle="1" w:styleId="xl72">
    <w:name w:val="xl72"/>
    <w:basedOn w:val="a"/>
    <w:qFormat/>
    <w:pPr>
      <w:shd w:val="clear" w:color="auto" w:fill="FFFFFF"/>
      <w:jc w:val="center"/>
    </w:pPr>
    <w:rPr>
      <w:rFonts w:ascii="Arial" w:eastAsia="굴림" w:hAnsi="Arial" w:cs="굴림"/>
      <w:color w:val="000000"/>
      <w:kern w:val="0"/>
      <w:szCs w:val="20"/>
    </w:rPr>
  </w:style>
  <w:style w:type="paragraph" w:customStyle="1" w:styleId="s0">
    <w:name w:val="s0"/>
    <w:qFormat/>
    <w:pPr>
      <w:widowControl w:val="0"/>
    </w:pPr>
    <w:rPr>
      <w:rFonts w:ascii="천리안체H" w:eastAsia="천리안체H" w:hAnsi="천리안체H" w:cs="Times New Roman"/>
      <w:color w:val="00000A"/>
      <w:kern w:val="0"/>
      <w:sz w:val="24"/>
      <w:szCs w:val="24"/>
    </w:rPr>
  </w:style>
  <w:style w:type="paragraph" w:styleId="af9">
    <w:name w:val="Revision"/>
    <w:qFormat/>
    <w:rPr>
      <w:rFonts w:cs="Times New Roman"/>
      <w:color w:val="00000A"/>
    </w:rPr>
  </w:style>
  <w:style w:type="paragraph" w:customStyle="1" w:styleId="TableContents">
    <w:name w:val="Tabl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65C99-51A3-4436-A847-D56ED4FC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22</Pages>
  <Words>4123</Words>
  <Characters>23503</Characters>
  <Application>Microsoft Office Word</Application>
  <DocSecurity>0</DocSecurity>
  <Lines>195</Lines>
  <Paragraphs>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Kenjin Che</cp:lastModifiedBy>
  <cp:revision>72</cp:revision>
  <cp:lastPrinted>2017-10-30T23:47:00Z</cp:lastPrinted>
  <dcterms:created xsi:type="dcterms:W3CDTF">2017-10-30T23:20:00Z</dcterms:created>
  <dcterms:modified xsi:type="dcterms:W3CDTF">2017-12-06T06:00:00Z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