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ind w:firstLine="0"/>
        <w:jc w:val="center"/>
      </w:pPr>
      <w:r>
        <w:rPr>
          <w:rFonts w:ascii="Times New Roman" w:cs="Times New Roman" w:eastAsia="Times New Roman" w:hAnsi="Times New Roman"/>
          <w:b/>
          <w:bCs/>
          <w:sz w:val="24"/>
          <w:szCs w:val="24"/>
        </w:rPr>
        <w:t xml:space="preserve">Tipos de Analítica y Consideraciones Éticas en la Predicción de Retrasos en Órdenes de Producción</w:t>
      </w:r>
    </w:p>
    <w:p>
      <w:pPr>
        <w:spacing w:after="0" w:line="480" w:lineRule="auto"/>
        <w:ind w:firstLine="0"/>
        <w:jc w:val="center"/>
      </w:pPr>
      <w:r>
        <w:rPr>
          <w:rFonts w:ascii="Times New Roman" w:cs="Times New Roman" w:eastAsia="Times New Roman" w:hAnsi="Times New Roman"/>
          <w:b w:val="false"/>
          <w:bCs w:val="false"/>
          <w:sz w:val="24"/>
          <w:szCs w:val="24"/>
        </w:rPr>
        <w:t xml:space="preserve">Nicol Alexandra Vargas Sanchez</w:t>
      </w:r>
    </w:p>
    <w:p>
      <w:pPr>
        <w:spacing w:after="0" w:line="480" w:lineRule="auto"/>
        <w:ind w:firstLine="0"/>
        <w:jc w:val="center"/>
      </w:pPr>
      <w:r>
        <w:rPr>
          <w:rFonts w:ascii="Times New Roman" w:cs="Times New Roman" w:eastAsia="Times New Roman" w:hAnsi="Times New Roman"/>
          <w:b w:val="false"/>
          <w:bCs w:val="false"/>
          <w:sz w:val="24"/>
          <w:szCs w:val="24"/>
        </w:rPr>
        <w:t xml:space="preserve">Programa de Ingeniería Industrial, Corporación Universitaria del Huila</w:t>
      </w:r>
    </w:p>
    <w:p>
      <w:pPr>
        <w:spacing w:after="0" w:line="480" w:lineRule="auto"/>
        <w:ind w:firstLine="0"/>
        <w:jc w:val="center"/>
      </w:pPr>
      <w:r>
        <w:rPr>
          <w:rFonts w:ascii="Times New Roman" w:cs="Times New Roman" w:eastAsia="Times New Roman" w:hAnsi="Times New Roman"/>
          <w:b w:val="false"/>
          <w:bCs w:val="false"/>
          <w:sz w:val="24"/>
          <w:szCs w:val="24"/>
        </w:rPr>
        <w:t xml:space="preserve">Ciencia de Datos</w:t>
      </w:r>
    </w:p>
    <w:p>
      <w:pPr>
        <w:spacing w:after="0" w:line="480" w:lineRule="auto"/>
        <w:ind w:firstLine="0"/>
        <w:jc w:val="center"/>
      </w:pPr>
      <w:r>
        <w:rPr>
          <w:rFonts w:ascii="Times New Roman" w:cs="Times New Roman" w:eastAsia="Times New Roman" w:hAnsi="Times New Roman"/>
          <w:b w:val="false"/>
          <w:bCs w:val="false"/>
          <w:sz w:val="24"/>
          <w:szCs w:val="24"/>
        </w:rPr>
        <w:t xml:space="preserve">Actividad práctica – Semana 4</w:t>
      </w:r>
    </w:p>
    <w:p>
      <w:pPr>
        <w:pageBreakBefore/>
      </w:pPr>
      <w:r>
        <w:rPr>
          <w:rFonts w:ascii="Times New Roman" w:cs="Times New Roman" w:eastAsia="Times New Roman" w:hAnsi="Times New Roman"/>
          <w:sz w:val="24"/>
          <w:szCs w:val="24"/>
        </w:rPr>
        <w:t xml:space="preserve"/>
      </w:r>
    </w:p>
    <w:p>
      <w:pPr>
        <w:spacing w:after="0" w:line="480" w:lineRule="auto"/>
        <w:ind w:firstLine="0"/>
        <w:jc w:val="center"/>
      </w:pPr>
      <w:r>
        <w:rPr>
          <w:rFonts w:ascii="Times New Roman" w:cs="Times New Roman" w:eastAsia="Times New Roman" w:hAnsi="Times New Roman"/>
          <w:b/>
          <w:bCs/>
          <w:sz w:val="24"/>
          <w:szCs w:val="24"/>
        </w:rPr>
        <w:t xml:space="preserve">Tipos de Analítica y Consideraciones Éticas en la Predicción de Retrasos en Órdenes de Producción</w:t>
      </w:r>
    </w:p>
    <w:p>
      <w:pPr>
        <w:spacing w:after="0" w:line="480" w:lineRule="auto"/>
        <w:ind w:firstLine="0"/>
        <w:jc w:val="both"/>
      </w:pPr>
      <w:r>
        <w:rPr>
          <w:rFonts w:ascii="Times New Roman" w:cs="Times New Roman" w:eastAsia="Times New Roman" w:hAnsi="Times New Roman"/>
          <w:b/>
          <w:bCs/>
          <w:sz w:val="24"/>
          <w:szCs w:val="24"/>
        </w:rPr>
        <w:t xml:space="preserve">Contexto del Caso</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Este documento continúa el caso trabajado desde la Semana 1: la predicción de retrasos en órdenes de producción a partir de datos de producción, mantenimiento, calidad, inventarios, personal y sensores de máquina. En esta actividad se clasifica el problema según los cuatro tipos de analítica de datos, se plantea una pregunta representativa para cada tipo, se justifica el enfoque de aprendizaje automático más adecuado para los componentes predictivo y prescriptivo, y se identifica un riesgo ético o de sesgo asociado al caso junto con su estrategia de mitigación.</w:t>
      </w:r>
    </w:p>
    <w:p>
      <w:pPr>
        <w:spacing w:after="0" w:line="480" w:lineRule="auto"/>
        <w:ind w:firstLine="0"/>
        <w:jc w:val="both"/>
      </w:pPr>
      <w:r>
        <w:rPr>
          <w:rFonts w:ascii="Times New Roman" w:cs="Times New Roman" w:eastAsia="Times New Roman" w:hAnsi="Times New Roman"/>
          <w:b/>
          <w:bCs/>
          <w:sz w:val="24"/>
          <w:szCs w:val="24"/>
        </w:rPr>
        <w:t xml:space="preserve">Clasificación de la Analítica Aplicada al Caso</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La analítica de datos suele clasificarse en cuatro niveles según el tipo de pregunta que responde y su grado de sofisticación: descriptiva (¿qué pasó?), diagnóstica (¿por qué pasó?), predictiva (¿qué es probable que pase?) y prescriptiva (¿qué debería hacerse al respecto?) [1]. Las dos primeras se basan en el análisis de información histórica para caracterizar y explicar el comportamiento pasado del proceso, mientras que la analítica predictiva utiliza patrones extraídos de esos datos históricos para estimar eventos futuros mediante modelos de aprendizaje automático [2], y la analítica prescriptiva va un paso más allá al recomendar o incluso automatizar la mejor acción posible frente a un escenario predicho, combinando modelos predictivos con técnicas de optimización o simulación [1]. En el caso de las órdenes de producción, estos cuatro niveles se traducen en preguntas concretas para el área de Ingeniería Industrial, las cuales se presentan a continuación.</w:t>
      </w:r>
    </w:p>
    <w:p>
      <w:pPr>
        <w:spacing w:after="0" w:line="480" w:lineRule="auto"/>
        <w:ind w:firstLine="0"/>
        <w:jc w:val="both"/>
      </w:pPr>
      <w:r>
        <w:rPr>
          <w:rFonts w:ascii="Times New Roman" w:cs="Times New Roman" w:eastAsia="Times New Roman" w:hAnsi="Times New Roman"/>
          <w:b/>
          <w:bCs/>
          <w:sz w:val="24"/>
          <w:szCs w:val="24"/>
        </w:rPr>
        <w:t xml:space="preserve">Cuatro Preguntas Clasificadas por Tipo de Analítica</w:t>
      </w:r>
    </w:p>
    <w:p>
      <w:pPr>
        <w:spacing w:after="0" w:line="480" w:lineRule="auto"/>
        <w:jc w:val="both"/>
      </w:pPr>
      <w:r>
        <w:rPr>
          <w:rFonts w:ascii="Times New Roman" w:cs="Times New Roman" w:eastAsia="Times New Roman" w:hAnsi="Times New Roman"/>
          <w:b/>
          <w:bCs/>
          <w:i w:val="false"/>
          <w:iCs w:val="false"/>
          <w:sz w:val="24"/>
          <w:szCs w:val="24"/>
        </w:rPr>
        <w:t xml:space="preserve">Analítica descriptiva. </w:t>
      </w:r>
      <w:r>
        <w:rPr>
          <w:rFonts w:ascii="Times New Roman" w:cs="Times New Roman" w:eastAsia="Times New Roman" w:hAnsi="Times New Roman"/>
          <w:b w:val="false"/>
          <w:bCs w:val="false"/>
          <w:i w:val="false"/>
          <w:iCs w:val="false"/>
          <w:sz w:val="24"/>
          <w:szCs w:val="24"/>
        </w:rPr>
        <w:t xml:space="preserve">¿Cuál ha sido el porcentaje de órdenes de producción retrasadas por mes durante el último año, y cómo se distribuye entre líneas de producción, turnos y tipos de producto?</w:t>
      </w:r>
    </w:p>
    <w:p>
      <w:pPr>
        <w:spacing w:after="0" w:line="480" w:lineRule="auto"/>
        <w:jc w:val="both"/>
      </w:pPr>
      <w:r>
        <w:rPr>
          <w:rFonts w:ascii="Times New Roman" w:cs="Times New Roman" w:eastAsia="Times New Roman" w:hAnsi="Times New Roman"/>
          <w:b/>
          <w:bCs/>
          <w:i w:val="false"/>
          <w:iCs w:val="false"/>
          <w:sz w:val="24"/>
          <w:szCs w:val="24"/>
        </w:rPr>
        <w:t xml:space="preserve">Analítica diagnóstica. </w:t>
      </w:r>
      <w:r>
        <w:rPr>
          <w:rFonts w:ascii="Times New Roman" w:cs="Times New Roman" w:eastAsia="Times New Roman" w:hAnsi="Times New Roman"/>
          <w:b w:val="false"/>
          <w:bCs w:val="false"/>
          <w:i w:val="false"/>
          <w:iCs w:val="false"/>
          <w:sz w:val="24"/>
          <w:szCs w:val="24"/>
        </w:rPr>
        <w:t xml:space="preserve">¿Qué factores operativos —paradas de máquina, disponibilidad de materia prima, ausentismo de operarios o defectos de calidad— están más asociados con las órdenes que efectivamente presentaron retraso en los últimos meses?</w:t>
      </w:r>
    </w:p>
    <w:p>
      <w:pPr>
        <w:spacing w:after="0" w:line="480" w:lineRule="auto"/>
        <w:jc w:val="both"/>
      </w:pPr>
      <w:r>
        <w:rPr>
          <w:rFonts w:ascii="Times New Roman" w:cs="Times New Roman" w:eastAsia="Times New Roman" w:hAnsi="Times New Roman"/>
          <w:b/>
          <w:bCs/>
          <w:i w:val="false"/>
          <w:iCs w:val="false"/>
          <w:sz w:val="24"/>
          <w:szCs w:val="24"/>
        </w:rPr>
        <w:t xml:space="preserve">Analítica predictiva. </w:t>
      </w:r>
      <w:r>
        <w:rPr>
          <w:rFonts w:ascii="Times New Roman" w:cs="Times New Roman" w:eastAsia="Times New Roman" w:hAnsi="Times New Roman"/>
          <w:b w:val="false"/>
          <w:bCs w:val="false"/>
          <w:i w:val="false"/>
          <w:iCs w:val="false"/>
          <w:sz w:val="24"/>
          <w:szCs w:val="24"/>
        </w:rPr>
        <w:t xml:space="preserve">Dado el tipo de producto, la máquina asignada, el turno y el estado reciente de mantenimiento, ¿cuál es la probabilidad de que una orden de producción actualmente en curso termine retrasada?</w:t>
      </w:r>
    </w:p>
    <w:p>
      <w:pPr>
        <w:spacing w:after="0" w:line="480" w:lineRule="auto"/>
        <w:jc w:val="both"/>
      </w:pPr>
      <w:r>
        <w:rPr>
          <w:rFonts w:ascii="Times New Roman" w:cs="Times New Roman" w:eastAsia="Times New Roman" w:hAnsi="Times New Roman"/>
          <w:b/>
          <w:bCs/>
          <w:i w:val="false"/>
          <w:iCs w:val="false"/>
          <w:sz w:val="24"/>
          <w:szCs w:val="24"/>
        </w:rPr>
        <w:t xml:space="preserve">Analítica prescriptiva. </w:t>
      </w:r>
      <w:r>
        <w:rPr>
          <w:rFonts w:ascii="Times New Roman" w:cs="Times New Roman" w:eastAsia="Times New Roman" w:hAnsi="Times New Roman"/>
          <w:b w:val="false"/>
          <w:bCs w:val="false"/>
          <w:i w:val="false"/>
          <w:iCs w:val="false"/>
          <w:sz w:val="24"/>
          <w:szCs w:val="24"/>
        </w:rPr>
        <w:t xml:space="preserve">Para el conjunto de órdenes identificadas con alta probabilidad de retraso, ¿qué combinación de acciones —reasignar operarios, adelantar un mantenimiento o priorizar el abastecimiento de materia prima— minimiza el impacto total de los retrasos dados los recursos disponibles en la planta?</w:t>
      </w:r>
    </w:p>
    <w:p>
      <w:pPr>
        <w:spacing w:after="0" w:line="480" w:lineRule="auto"/>
        <w:ind w:firstLine="0"/>
        <w:jc w:val="both"/>
      </w:pPr>
      <w:r>
        <w:rPr>
          <w:rFonts w:ascii="Times New Roman" w:cs="Times New Roman" w:eastAsia="Times New Roman" w:hAnsi="Times New Roman"/>
          <w:b/>
          <w:bCs/>
          <w:sz w:val="24"/>
          <w:szCs w:val="24"/>
        </w:rPr>
        <w:t xml:space="preserve">Enfoque de Aprendizaje Automático: Predictiva y Prescriptiva</w:t>
      </w:r>
    </w:p>
    <w:p>
      <w:pPr>
        <w:spacing w:after="0" w:line="480" w:lineRule="auto"/>
        <w:jc w:val="both"/>
      </w:pPr>
      <w:r>
        <w:rPr>
          <w:rFonts w:ascii="Times New Roman" w:cs="Times New Roman" w:eastAsia="Times New Roman" w:hAnsi="Times New Roman"/>
          <w:b/>
          <w:bCs/>
          <w:i w:val="false"/>
          <w:iCs w:val="false"/>
          <w:sz w:val="24"/>
          <w:szCs w:val="24"/>
        </w:rPr>
        <w:t xml:space="preserve">Componente predictivo. </w:t>
      </w:r>
      <w:r>
        <w:rPr>
          <w:rFonts w:ascii="Times New Roman" w:cs="Times New Roman" w:eastAsia="Times New Roman" w:hAnsi="Times New Roman"/>
          <w:b w:val="false"/>
          <w:bCs w:val="false"/>
          <w:i w:val="false"/>
          <w:iCs w:val="false"/>
          <w:sz w:val="24"/>
          <w:szCs w:val="24"/>
        </w:rPr>
        <w:t xml:space="preserve">Para estimar la probabilidad de retraso de una orden se recomienda un enfoque de aprendizaje supervisado, específicamente un modelo de clasificación binaria (retraso / no retraso). Esto se debe a que la organización cuenta con una variable objetivo conocida y verificable a partir de los registros históricos del ERP: si cada orden pasada terminó o no dentro del tiempo planificado. El aprendizaje supervisado consiste precisamente en entrenar un modelo a partir de ejemplos etiquetados para aprender la relación entre un conjunto de variables de entrada y una salida conocida [3], lo cual encaja de forma natural con este caso. Un enfoque no supervisado, en cambio, no utilizaría esa etiqueta histórica y buscaría agrupamientos o patrones sin relación directa con el evento de interés, por lo que resultaría menos adecuado como modelo principal, aunque sí puede emplearse de forma complementaria: por ejemplo, mediante técnicas de agrupamiento (clustering) para segmentar exploratoriamente las órdenes según patrones operativos similares antes de construir el modelo supervisado.</w:t>
      </w:r>
    </w:p>
    <w:p>
      <w:pPr>
        <w:spacing w:after="0" w:line="480" w:lineRule="auto"/>
        <w:jc w:val="both"/>
      </w:pPr>
      <w:r>
        <w:rPr>
          <w:rFonts w:ascii="Times New Roman" w:cs="Times New Roman" w:eastAsia="Times New Roman" w:hAnsi="Times New Roman"/>
          <w:b/>
          <w:bCs/>
          <w:i w:val="false"/>
          <w:iCs w:val="false"/>
          <w:sz w:val="24"/>
          <w:szCs w:val="24"/>
        </w:rPr>
        <w:t xml:space="preserve">Componente prescriptivo. </w:t>
      </w:r>
      <w:r>
        <w:rPr>
          <w:rFonts w:ascii="Times New Roman" w:cs="Times New Roman" w:eastAsia="Times New Roman" w:hAnsi="Times New Roman"/>
          <w:b w:val="false"/>
          <w:bCs w:val="false"/>
          <w:i w:val="false"/>
          <w:iCs w:val="false"/>
          <w:sz w:val="24"/>
          <w:szCs w:val="24"/>
        </w:rPr>
        <w:t xml:space="preserve">La analítica prescriptiva no corresponde en sentido estricto a una tarea de aprendizaje supervisado ni no supervisado, sino a una capa de decisión que combina las probabilidades de retraso estimadas por el modelo predictivo (supervisado) con reglas de negocio o técnicas de optimización para recomendar la acción más conveniente. Sin embargo, si se opta por reforzar esta capa con aprendizaje automático —por ejemplo, para estimar el efecto esperado de cada posible intervención (reasignar un operario, adelantar un mantenimiento) sobre la probabilidad de retraso—, el enfoque más adecuado sigue siendo supervisado, ya que también requeriría datos históricos etiquetados sobre qué intervenciones se aplicaron y qué resultado tuvieron. Un enfoque no supervisado no permitiría relacionar acciones específicas con sus resultados, que es justamente lo que la decisión prescriptiva necesita conocer [1].</w:t>
      </w:r>
    </w:p>
    <w:p>
      <w:pPr>
        <w:spacing w:after="0" w:line="480" w:lineRule="auto"/>
        <w:ind w:firstLine="0"/>
        <w:jc w:val="both"/>
      </w:pPr>
      <w:r>
        <w:rPr>
          <w:rFonts w:ascii="Times New Roman" w:cs="Times New Roman" w:eastAsia="Times New Roman" w:hAnsi="Times New Roman"/>
          <w:b/>
          <w:bCs/>
          <w:sz w:val="24"/>
          <w:szCs w:val="24"/>
        </w:rPr>
        <w:t xml:space="preserve">Riesgo Ético y de Sesgo Identificado</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Un riesgo ético relevante para este caso es el sesgo de atribución en los reportes históricos de novedades de producción. Las causas de un retraso suelen registrarse de forma manual por supervisores, y en la práctica es común que ciertos turnos —por ejemplo, el turno nocturno, con menor supervisión directa— sean señalados con mayor frecuencia como responsables de una demora, incluso cuando la causa real fue una falla de máquina o una falta de materia prima ajena al desempeño de los operarios de ese turno. Si el modelo predictivo se entrena con estos datos sin revisión, aprenderá una asociación espuria entre el turno y el riesgo de retraso, en lugar de una relación causal real con las variables operativas. Este tipo de sesgo histórico, presente en los datos de entrenamiento antes de que exista cualquier algoritmo, es uno de los más documentados en la literatura sobre equidad en aprendizaje automático [4]. Sus consecuencias no son solo técnicas: si los resultados del modelo llegaran a usarse, aunque no sea la intención original, para evaluar el desempeño de operarios o turnos específicos, se generaría una decisión injusta basada en un patrón de datos contaminado y no en el comportamiento real de las personas [5].</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Para mitigar este riesgo se proponen varias acciones concretas. Primero, auditar la calidad y la consistencia de los reportes de novedades, cruzándolos con fuentes más objetivas como los registros de sensores de máquina y los eventos de mantenimiento, de manera que la causa atribuida a un retraso no dependa únicamente del criterio del supervisor de turno. Segundo, calcular las métricas de error del modelo de forma desagregada por turno y por línea de producción, para verificar que la tasa de falsos positivos no sea sistemáticamente mayor para un grupo en particular. Tercero, delimitar explícitamente el uso previsto del modelo —apoyar decisiones logísticas de asignación de recursos— y excluir de manera expresa su uso como herramienta de evaluación del desempeño individual de los operarios. Finalmente, mantener una revisión humana antes de traducir cualquier predicción en una acción con impacto directo sobre las personas, en línea con los principios de beneficencia, no maleficencia y justicia propuestos para el diseño ético de sistemas de inteligencia artificial [6].</w:t>
      </w:r>
    </w:p>
    <w:p>
      <w:pPr>
        <w:spacing w:after="0" w:line="480" w:lineRule="auto"/>
        <w:ind w:firstLine="0"/>
        <w:jc w:val="both"/>
      </w:pPr>
      <w:r>
        <w:rPr>
          <w:rFonts w:ascii="Times New Roman" w:cs="Times New Roman" w:eastAsia="Times New Roman" w:hAnsi="Times New Roman"/>
          <w:b/>
          <w:bCs/>
          <w:sz w:val="24"/>
          <w:szCs w:val="24"/>
        </w:rPr>
        <w:t xml:space="preserve">Marco de Referencia y Conceptos Bibliográficos</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La clasificación de la analítica en niveles descriptivo, diagnóstico, predictivo y prescriptivo, retomada en este documento, se apoya en la revisión de Lepenioti, Bousdekis, Apostolou y Mentzas sobre analítica prescriptiva, quienes ubican estos cuatro niveles en un continuo de madurez analítica en el que cada nivel agrega mayor valor y complejidad de decisión respecto al anterior [1]. El componente predictivo, por su parte, se enmarca en el proceso de descubrimiento de conocimiento en bases de datos descrito por Fayyad, Piatetsky-Shapiro y Smyth, en el cual se extraen patrones de datos históricos etiquetados para anticipar eventos futuros [2], mientras que la distinción entre aprendizaje supervisado y no supervisado utilizada para justificar el enfoque de modelado corresponde a la definición clásica de Mitchell, según la cual el aprendizaje supervisado requiere ejemplos con una salida conocida a partir de la cual el algoritmo generaliza [3].</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En cuanto a los riesgos éticos, la literatura de equidad en aprendizaje automático distingue varias fuentes de sesgo —entre ellas el sesgo histórico presente en los datos antes de cualquier modelamiento, como el descrito en este caso para los reportes de novedades— y advierte que un modelo entrenado sobre datos sesgados reproduce y puede amplificar dicho sesgo en sus predicciones [4]. Barocas, Hardt y Narayanan profundizan en las limitaciones prácticas de las nociones matemáticas de equidad y en la dificultad de corregir un sesgo que ya está incorporado en el proceso de generación de los datos, más allá de ajustes puramente algorítmicos [5]. Finalmente, el marco de los cinco principios éticos para la inteligencia artificial en sociedad propuesto por Floridi y Cowls —beneficencia, no maleficencia, autonomía, justicia y explicabilidad— ofrece una guía para delimitar el uso responsable del modelo predictivo propuesto en este caso, evitando que una herramienta pensada para apoyar decisiones logísticas termine utilizada, sin la debida supervisión, para evaluar de forma injusta a las personas involucradas en el proceso [6].</w:t>
      </w:r>
    </w:p>
    <w:p>
      <w:pPr>
        <w:spacing w:after="0" w:line="480" w:lineRule="auto"/>
        <w:ind w:firstLine="0"/>
        <w:jc w:val="both"/>
      </w:pPr>
      <w:r>
        <w:rPr>
          <w:rFonts w:ascii="Times New Roman" w:cs="Times New Roman" w:eastAsia="Times New Roman" w:hAnsi="Times New Roman"/>
          <w:b/>
          <w:bCs/>
          <w:sz w:val="24"/>
          <w:szCs w:val="24"/>
        </w:rPr>
        <w:t xml:space="preserve">Conclusión</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El caso de predicción de retrasos en órdenes de producción admite preguntas claramente diferenciadas en los cuatro niveles de analítica, y su componente predictivo se resuelve de forma natural mediante aprendizaje supervisado gracias a la disponibilidad de una etiqueta histórica de retraso, mientras que su componente prescriptivo depende de esa misma base supervisada combinada con reglas de decisión u optimización. Sin embargo, el valor de este modelo solo será real si se gestiona de forma responsable el riesgo de sesgo histórico en los datos de origen, mediante auditoría de las fuentes, evaluación desagregada del desempeño del modelo y una delimitación explícita de su uso, evitando que una herramienta de apoyo operativo se convierta, de forma no intencionada, en un mecanismo de evaluación injusta hacia las personas.</w:t>
      </w:r>
    </w:p>
    <w:p>
      <w:pPr>
        <w:spacing w:after="0" w:line="480" w:lineRule="auto"/>
        <w:ind w:firstLine="0"/>
        <w:jc w:val="both"/>
      </w:pPr>
      <w:r>
        <w:rPr>
          <w:rFonts w:ascii="Times New Roman" w:cs="Times New Roman" w:eastAsia="Times New Roman" w:hAnsi="Times New Roman"/>
          <w:b/>
          <w:bCs/>
          <w:sz w:val="24"/>
          <w:szCs w:val="24"/>
        </w:rPr>
        <w:t xml:space="preserve">Referencias</w:t>
      </w:r>
    </w:p>
    <w:p>
      <w:pPr>
        <w:spacing w:after="0" w:line="480" w:lineRule="auto"/>
        <w:ind w:left="720" w:hanging="720"/>
        <w:jc w:val="left"/>
      </w:pPr>
      <w:r>
        <w:rPr>
          <w:rFonts w:ascii="Times New Roman" w:cs="Times New Roman" w:eastAsia="Times New Roman" w:hAnsi="Times New Roman"/>
          <w:sz w:val="24"/>
          <w:szCs w:val="24"/>
        </w:rPr>
        <w:t xml:space="preserve">[1] K. Lepenioti, A. Bousdekis, D. Apostolou, and G. Mentzas, "Prescriptive analytics: Literature review and research challenges," International Journal of Information Management, vol. 50, pp. 57–70, 2020.</w:t>
      </w:r>
    </w:p>
    <w:p>
      <w:pPr>
        <w:spacing w:after="0" w:line="480" w:lineRule="auto"/>
        <w:ind w:left="720" w:hanging="720"/>
        <w:jc w:val="left"/>
      </w:pPr>
      <w:r>
        <w:rPr>
          <w:rFonts w:ascii="Times New Roman" w:cs="Times New Roman" w:eastAsia="Times New Roman" w:hAnsi="Times New Roman"/>
          <w:sz w:val="24"/>
          <w:szCs w:val="24"/>
        </w:rPr>
        <w:t xml:space="preserve">[2] U. Fayyad, G. Piatetsky-Shapiro, and P. Smyth, "From data mining to knowledge discovery in databases," AI Magazine, vol. 17, no. 3, pp. 37–54, 1996.</w:t>
      </w:r>
    </w:p>
    <w:p>
      <w:pPr>
        <w:spacing w:after="0" w:line="480" w:lineRule="auto"/>
        <w:ind w:left="720" w:hanging="720"/>
        <w:jc w:val="left"/>
      </w:pPr>
      <w:r>
        <w:rPr>
          <w:rFonts w:ascii="Times New Roman" w:cs="Times New Roman" w:eastAsia="Times New Roman" w:hAnsi="Times New Roman"/>
          <w:sz w:val="24"/>
          <w:szCs w:val="24"/>
        </w:rPr>
        <w:t xml:space="preserve">[3] T. M. Mitchell, Machine Learning. New York, NY, USA: McGraw-Hill, 1997.</w:t>
      </w:r>
    </w:p>
    <w:p>
      <w:pPr>
        <w:spacing w:after="0" w:line="480" w:lineRule="auto"/>
        <w:ind w:left="720" w:hanging="720"/>
        <w:jc w:val="left"/>
      </w:pPr>
      <w:r>
        <w:rPr>
          <w:rFonts w:ascii="Times New Roman" w:cs="Times New Roman" w:eastAsia="Times New Roman" w:hAnsi="Times New Roman"/>
          <w:sz w:val="24"/>
          <w:szCs w:val="24"/>
        </w:rPr>
        <w:t xml:space="preserve">[4] N. Mehrabi, F. Morstatter, N. Saxena, K. Lerman, and A. Galstyan, "A survey on bias and fairness in machine learning," ACM Computing Surveys, vol. 54, no. 6, pp. 1–35, 2021.</w:t>
      </w:r>
    </w:p>
    <w:p>
      <w:pPr>
        <w:spacing w:after="0" w:line="480" w:lineRule="auto"/>
        <w:ind w:left="720" w:hanging="720"/>
        <w:jc w:val="left"/>
      </w:pPr>
      <w:r>
        <w:rPr>
          <w:rFonts w:ascii="Times New Roman" w:cs="Times New Roman" w:eastAsia="Times New Roman" w:hAnsi="Times New Roman"/>
          <w:sz w:val="24"/>
          <w:szCs w:val="24"/>
        </w:rPr>
        <w:t xml:space="preserve">[5] S. Barocas, M. Hardt, and A. Narayanan, Fairness and Machine Learning: Limitations and Opportunities. Cambridge, MA, USA: MIT Press, 2023.</w:t>
      </w:r>
    </w:p>
    <w:p>
      <w:pPr>
        <w:spacing w:after="0" w:line="480" w:lineRule="auto"/>
        <w:ind w:left="720" w:hanging="720"/>
        <w:jc w:val="left"/>
      </w:pPr>
      <w:r>
        <w:rPr>
          <w:rFonts w:ascii="Times New Roman" w:cs="Times New Roman" w:eastAsia="Times New Roman" w:hAnsi="Times New Roman"/>
          <w:sz w:val="24"/>
          <w:szCs w:val="24"/>
        </w:rPr>
        <w:t xml:space="preserve">[6] L. Floridi and J. Cowls, "A unified framework of five principles for AI in society," Harvard Data Science Review, vol. 1, no. 1, 2019.</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2026-08-30T03:15:33.854Z</dcterms:created>
  <dcterms:modified xsi:type="dcterms:W3CDTF">2026-08-30T03:15:33.854Z</dcterms:modified>
</cp:coreProperties>
</file>

<file path=docProps/custom.xml><?xml version="1.0" encoding="utf-8"?>
<Properties xmlns="http://schemas.openxmlformats.org/officeDocument/2006/custom-properties" xmlns:vt="http://schemas.openxmlformats.org/officeDocument/2006/docPropsVTypes"/>
</file>