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Heat-Pump Backup Heating: Methodology</w:t>
      </w:r>
    </w:p>
    <w:p>
      <w:pPr>
        <w:spacing w:after="200"/>
      </w:pPr>
      <w:r>
        <w:rPr>
          <w:i/>
          <w:iCs/>
          <w:color w:val="555555"/>
          <w:sz w:val="22"/>
          <w:szCs w:val="22"/>
        </w:rPr>
        <w:t xml:space="preserve">Residential CO2 Footprint Calculator — supplementary methods for space heating by heat pumps with a backup heat source</w:t>
      </w:r>
    </w:p>
    <w:p>
      <w:pPr>
        <w:pStyle w:val="Heading1"/>
        <w:spacing w:after="120" w:before="240"/>
      </w:pPr>
      <w:r>
        <w:rPr>
          <w:b/>
          <w:bCs/>
          <w:color w:val="1F3864"/>
        </w:rPr>
        <w:t xml:space="preserve">1. Motivation</w:t>
      </w:r>
    </w:p>
    <w:p>
      <w:pPr>
        <w:spacing w:after="120" w:before="0"/>
      </w:pPr>
      <w:r>
        <w:rPr>
          <w:sz w:val="21"/>
          <w:szCs w:val="21"/>
        </w:rPr>
        <w:t xml:space="preserve">The calculator previously estimated emissions for households heating with an electric heat pump using a single published seasonal coefficient of performance (COP) of 1.90 in Canada and 2.00 in the United States, applied uniformly within each country. Those figures are whole-fleet seasonal averages that implicitly assume electric-resistance backup on the coldest days. They do not represent a household whose heat pump is paired with a fossil-fuel backup — a natural-gas or oil/propane furnace that carries the load once the outdoor temperature falls below a switchover point. For such a dual-fuel system the coldest, most energy-intensive part of the heating season is served by combustion rather than by the grid, which can change the estimated space-heating emissions substantially and in a direction that depends on how clean the local electricity grid is.</w:t>
      </w:r>
    </w:p>
    <w:p>
      <w:pPr>
        <w:spacing w:after="120" w:before="0"/>
      </w:pPr>
      <w:r>
        <w:rPr>
          <w:sz w:val="21"/>
          <w:szCs w:val="21"/>
        </w:rPr>
        <w:t xml:space="preserve">This document describes the revised treatment: a new survey question capturing the backup heat source, a physically-grounded heat-pump performance curve taken from field measurements, a jurisdiction-specific seasonal COP, and a per-jurisdiction economic switchover between the heat pump and the fossil backup.</w:t>
      </w:r>
    </w:p>
    <w:p>
      <w:pPr>
        <w:pStyle w:val="Heading1"/>
        <w:spacing w:after="120" w:before="240"/>
      </w:pPr>
      <w:r>
        <w:rPr>
          <w:b/>
          <w:bCs/>
          <w:color w:val="1F3864"/>
        </w:rPr>
        <w:t xml:space="preserve">2. New survey input: backup heat source</w:t>
      </w:r>
    </w:p>
    <w:p>
      <w:pPr>
        <w:spacing w:after="120" w:before="0"/>
      </w:pPr>
      <w:r>
        <w:rPr>
          <w:sz w:val="21"/>
          <w:szCs w:val="21"/>
        </w:rPr>
        <w:t xml:space="preserve">Respondents who report an electric heat pump as their main space-heating system are asked a follow-up question: “What is the backup heat source for your heat pump?” with response options </w:t>
      </w:r>
      <w:r>
        <w:rPr>
          <w:b/>
          <w:bCs/>
          <w:sz w:val="21"/>
          <w:szCs w:val="21"/>
        </w:rPr>
        <w:t xml:space="preserve">Electric</w:t>
      </w:r>
      <w:r>
        <w:rPr>
          <w:sz w:val="21"/>
          <w:szCs w:val="21"/>
        </w:rPr>
        <w:t xml:space="preserve"> (resistance), </w:t>
      </w:r>
      <w:r>
        <w:rPr>
          <w:b/>
          <w:bCs/>
          <w:sz w:val="21"/>
          <w:szCs w:val="21"/>
        </w:rPr>
        <w:t xml:space="preserve">Natural gas</w:t>
      </w:r>
      <w:r>
        <w:rPr>
          <w:sz w:val="21"/>
          <w:szCs w:val="21"/>
        </w:rPr>
        <w:t xml:space="preserve">, </w:t>
      </w:r>
      <w:r>
        <w:rPr>
          <w:b/>
          <w:bCs/>
          <w:sz w:val="21"/>
          <w:szCs w:val="21"/>
        </w:rPr>
        <w:t xml:space="preserve">Oil or propane</w:t>
      </w:r>
      <w:r>
        <w:rPr>
          <w:sz w:val="21"/>
          <w:szCs w:val="21"/>
        </w:rPr>
        <w:t xml:space="preserve">, </w:t>
      </w:r>
      <w:r>
        <w:rPr>
          <w:b/>
          <w:bCs/>
          <w:sz w:val="21"/>
          <w:szCs w:val="21"/>
        </w:rPr>
        <w:t xml:space="preserve">None</w:t>
      </w:r>
      <w:r>
        <w:rPr>
          <w:sz w:val="21"/>
          <w:szCs w:val="21"/>
        </w:rPr>
        <w:t xml:space="preserve">, and </w:t>
      </w:r>
      <w:r>
        <w:rPr>
          <w:b/>
          <w:bCs/>
          <w:sz w:val="21"/>
          <w:szCs w:val="21"/>
        </w:rPr>
        <w:t xml:space="preserve">Don’t know</w:t>
      </w:r>
      <w:r>
        <w:rPr>
          <w:sz w:val="21"/>
          <w:szCs w:val="21"/>
        </w:rPr>
        <w:t xml:space="preserve">. In the calculator workbook this is cell B15 on the Calculator sheet. It is used only when the space-heating system is an electric heat pump; for all other systems it is ignored.</w:t>
      </w:r>
    </w:p>
    <w:p>
      <w:pPr>
        <w:spacing w:after="120" w:before="0"/>
      </w:pPr>
      <w:r>
        <w:rPr>
          <w:sz w:val="21"/>
          <w:szCs w:val="21"/>
        </w:rPr>
        <w:t xml:space="preserve">The three non-fossil answers (Electric, None, Don’t know) are treated identically: the whole heating load is met by the heat pump at its jurisdiction-specific seasonal COP, which already embeds resistance top-up on the coldest days. The two fossil answers (Natural gas, Oil or propane) trigger the dual-fuel calculation in Sections 6–7.</w:t>
      </w:r>
    </w:p>
    <w:p>
      <w:pPr>
        <w:pStyle w:val="Heading1"/>
        <w:spacing w:after="120" w:before="240"/>
      </w:pPr>
      <w:r>
        <w:rPr>
          <w:b/>
          <w:bCs/>
          <w:color w:val="1F3864"/>
        </w:rPr>
        <w:t xml:space="preserve">3. Heat-pump performance curve (field data)</w:t>
      </w:r>
    </w:p>
    <w:p>
      <w:pPr>
        <w:spacing w:after="120" w:before="0"/>
      </w:pPr>
      <w:r>
        <w:rPr>
          <w:sz w:val="21"/>
          <w:szCs w:val="21"/>
        </w:rPr>
        <w:t xml:space="preserve">The temperature dependence of heat-pump efficiency is taken from </w:t>
      </w:r>
      <w:r>
        <w:rPr>
          <w:b/>
          <w:bCs/>
          <w:sz w:val="21"/>
          <w:szCs w:val="21"/>
        </w:rPr>
        <w:t xml:space="preserve">Gibb, Rosenow, Lowes &amp; Hewitt (2023)</w:t>
      </w:r>
      <w:r>
        <w:rPr>
          <w:sz w:val="21"/>
          <w:szCs w:val="21"/>
        </w:rPr>
        <w:t xml:space="preserve">, “Coming in from the cold: Heat pump efficiency at low temperatures,” Joule 7, 1939–1942. That study compiles raw performance data from seven field studies spanning roughly 550 heat-pump systems and 2,760 measurements across five countries (including Canadian and US installations), and plots average measured COP against average outdoor temperature with a locally-weighted (LOWESS) trend line.</w:t>
      </w:r>
    </w:p>
    <w:p>
      <w:pPr>
        <w:spacing w:after="120" w:before="0"/>
      </w:pPr>
      <w:r>
        <w:rPr>
          <w:sz w:val="21"/>
          <w:szCs w:val="21"/>
        </w:rPr>
        <w:t xml:space="preserve">Two features make this source preferable to manufacturer-datasheet curves (e.g. Staffell et al. 2012; Ruhnau et al. 2019) for a whole-population calculator. First, it is </w:t>
      </w:r>
      <w:r>
        <w:rPr>
          <w:b/>
          <w:bCs/>
          <w:sz w:val="21"/>
          <w:szCs w:val="21"/>
        </w:rPr>
        <w:t xml:space="preserve">real-world field performance</w:t>
      </w:r>
      <w:r>
        <w:rPr>
          <w:sz w:val="21"/>
          <w:szCs w:val="21"/>
        </w:rPr>
        <w:t xml:space="preserve"> rather than laboratory ratings. Second, the trend line is drawn from the study’s “mild cold climate” dataset, which is a mix of standard air-to-water and air-to-air units — </w:t>
      </w:r>
      <w:r>
        <w:rPr>
          <w:b/>
          <w:bCs/>
          <w:sz w:val="21"/>
          <w:szCs w:val="21"/>
        </w:rPr>
        <w:t xml:space="preserve">not</w:t>
      </w:r>
      <w:r>
        <w:rPr>
          <w:sz w:val="21"/>
          <w:szCs w:val="21"/>
        </w:rPr>
        <w:t xml:space="preserve"> specially-engineered cold-climate heat pumps. Gibb treats cold-climate (ccASHP) equipment separately in an “extreme cold” section that we do not use, so the curve is representative of ordinary installed stock, consistent with the calculator’s standard-stock assumption.</w:t>
      </w:r>
    </w:p>
    <w:p>
      <w:pPr>
        <w:spacing w:after="120" w:before="0"/>
      </w:pPr>
      <w:r>
        <w:rPr>
          <w:sz w:val="21"/>
          <w:szCs w:val="21"/>
        </w:rPr>
        <w:t xml:space="preserve">We digitized the published trend line and fit a quadratic (RMSE 0.026 COP units):</w:t>
      </w:r>
    </w:p>
    <w:p>
      <w:pPr>
        <w:spacing w:after="120" w:before="60"/>
        <w:jc w:val="center"/>
      </w:pPr>
      <w:r>
        <w:rPr>
          <w:i/>
          <w:iCs/>
          <w:sz w:val="22"/>
          <w:szCs w:val="22"/>
        </w:rPr>
        <w:t xml:space="preserve">COP_field(T) = 2.827 + 0.0807·T + 0.00151·T²      (T in °C)</w:t>
      </w:r>
    </w:p>
    <w:p>
      <w:pPr>
        <w:spacing w:after="120" w:before="0"/>
      </w:pPr>
      <w:r>
        <w:rPr>
          <w:sz w:val="21"/>
          <w:szCs w:val="21"/>
        </w:rPr>
        <w:t xml:space="preserve">Digitized values from the field curve:</w:t>
      </w:r>
    </w:p>
    <w:tbl>
      <w:tblPr>
        <w:tblW w:type="dxa" w:w="640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700"/>
        <w:gridCol w:w="700"/>
        <w:gridCol w:w="700"/>
        <w:gridCol w:w="700"/>
        <w:gridCol w:w="700"/>
        <w:gridCol w:w="700"/>
        <w:gridCol w:w="700"/>
      </w:tblGrid>
      <w:tr>
        <w:trPr>
          <w:tblHeader/>
        </w:trPr>
        <w:tc>
          <w:tcPr>
            <w:tcW w:type="dxa" w:w="1500"/>
            <w:shd w:fill="1F3864" w:val="clear"/>
            <w:tcMar>
              <w:top w:type="dxa" w:w="40"/>
              <w:left w:type="dxa" w:w="60"/>
              <w:bottom w:type="dxa" w:w="40"/>
              <w:right w:type="dxa" w:w="60"/>
            </w:tcMar>
          </w:tcPr>
          <w:p>
            <w:pPr>
              <w:jc w:val="center"/>
            </w:pPr>
            <w:r>
              <w:rPr>
                <w:b/>
                <w:bCs/>
                <w:color w:val="FFFFFF"/>
                <w:sz w:val="18"/>
                <w:szCs w:val="18"/>
              </w:rPr>
              <w:t xml:space="preserve">Outdoor T (°C)</w:t>
            </w:r>
          </w:p>
        </w:tc>
        <w:tc>
          <w:tcPr>
            <w:tcW w:type="dxa" w:w="700"/>
            <w:shd w:fill="1F3864" w:val="clear"/>
            <w:tcMar>
              <w:top w:type="dxa" w:w="40"/>
              <w:left w:type="dxa" w:w="60"/>
              <w:bottom w:type="dxa" w:w="40"/>
              <w:right w:type="dxa" w:w="60"/>
            </w:tcMar>
          </w:tcPr>
          <w:p>
            <w:pPr>
              <w:jc w:val="center"/>
            </w:pPr>
            <w:r>
              <w:rPr>
                <w:b/>
                <w:bCs/>
                <w:color w:val="FFFFFF"/>
                <w:sz w:val="18"/>
                <w:szCs w:val="18"/>
              </w:rPr>
              <w:t xml:space="preserve">-20</w:t>
            </w:r>
          </w:p>
        </w:tc>
        <w:tc>
          <w:tcPr>
            <w:tcW w:type="dxa" w:w="700"/>
            <w:shd w:fill="1F3864" w:val="clear"/>
            <w:tcMar>
              <w:top w:type="dxa" w:w="40"/>
              <w:left w:type="dxa" w:w="60"/>
              <w:bottom w:type="dxa" w:w="40"/>
              <w:right w:type="dxa" w:w="60"/>
            </w:tcMar>
          </w:tcPr>
          <w:p>
            <w:pPr>
              <w:jc w:val="center"/>
            </w:pPr>
            <w:r>
              <w:rPr>
                <w:b/>
                <w:bCs/>
                <w:color w:val="FFFFFF"/>
                <w:sz w:val="18"/>
                <w:szCs w:val="18"/>
              </w:rPr>
              <w:t xml:space="preserve">-15</w:t>
            </w:r>
          </w:p>
        </w:tc>
        <w:tc>
          <w:tcPr>
            <w:tcW w:type="dxa" w:w="700"/>
            <w:shd w:fill="1F3864" w:val="clear"/>
            <w:tcMar>
              <w:top w:type="dxa" w:w="40"/>
              <w:left w:type="dxa" w:w="60"/>
              <w:bottom w:type="dxa" w:w="40"/>
              <w:right w:type="dxa" w:w="60"/>
            </w:tcMar>
          </w:tcPr>
          <w:p>
            <w:pPr>
              <w:jc w:val="center"/>
            </w:pPr>
            <w:r>
              <w:rPr>
                <w:b/>
                <w:bCs/>
                <w:color w:val="FFFFFF"/>
                <w:sz w:val="18"/>
                <w:szCs w:val="18"/>
              </w:rPr>
              <w:t xml:space="preserve">-10</w:t>
            </w:r>
          </w:p>
        </w:tc>
        <w:tc>
          <w:tcPr>
            <w:tcW w:type="dxa" w:w="700"/>
            <w:shd w:fill="1F3864" w:val="clear"/>
            <w:tcMar>
              <w:top w:type="dxa" w:w="40"/>
              <w:left w:type="dxa" w:w="60"/>
              <w:bottom w:type="dxa" w:w="40"/>
              <w:right w:type="dxa" w:w="60"/>
            </w:tcMar>
          </w:tcPr>
          <w:p>
            <w:pPr>
              <w:jc w:val="center"/>
            </w:pPr>
            <w:r>
              <w:rPr>
                <w:b/>
                <w:bCs/>
                <w:color w:val="FFFFFF"/>
                <w:sz w:val="18"/>
                <w:szCs w:val="18"/>
              </w:rPr>
              <w:t xml:space="preserve">-5</w:t>
            </w:r>
          </w:p>
        </w:tc>
        <w:tc>
          <w:tcPr>
            <w:tcW w:type="dxa" w:w="700"/>
            <w:shd w:fill="1F3864" w:val="clear"/>
            <w:tcMar>
              <w:top w:type="dxa" w:w="40"/>
              <w:left w:type="dxa" w:w="60"/>
              <w:bottom w:type="dxa" w:w="40"/>
              <w:right w:type="dxa" w:w="60"/>
            </w:tcMar>
          </w:tcPr>
          <w:p>
            <w:pPr>
              <w:jc w:val="center"/>
            </w:pPr>
            <w:r>
              <w:rPr>
                <w:b/>
                <w:bCs/>
                <w:color w:val="FFFFFF"/>
                <w:sz w:val="18"/>
                <w:szCs w:val="18"/>
              </w:rPr>
              <w:t xml:space="preserve">0</w:t>
            </w:r>
          </w:p>
        </w:tc>
        <w:tc>
          <w:tcPr>
            <w:tcW w:type="dxa" w:w="700"/>
            <w:shd w:fill="1F3864" w:val="clear"/>
            <w:tcMar>
              <w:top w:type="dxa" w:w="40"/>
              <w:left w:type="dxa" w:w="60"/>
              <w:bottom w:type="dxa" w:w="40"/>
              <w:right w:type="dxa" w:w="60"/>
            </w:tcMar>
          </w:tcPr>
          <w:p>
            <w:pPr>
              <w:jc w:val="center"/>
            </w:pPr>
            <w:r>
              <w:rPr>
                <w:b/>
                <w:bCs/>
                <w:color w:val="FFFFFF"/>
                <w:sz w:val="18"/>
                <w:szCs w:val="18"/>
              </w:rPr>
              <w:t xml:space="preserve">+5</w:t>
            </w:r>
          </w:p>
        </w:tc>
        <w:tc>
          <w:tcPr>
            <w:tcW w:type="dxa" w:w="700"/>
            <w:shd w:fill="1F3864" w:val="clear"/>
            <w:tcMar>
              <w:top w:type="dxa" w:w="40"/>
              <w:left w:type="dxa" w:w="60"/>
              <w:bottom w:type="dxa" w:w="40"/>
              <w:right w:type="dxa" w:w="60"/>
            </w:tcMar>
          </w:tcPr>
          <w:p>
            <w:pPr>
              <w:jc w:val="center"/>
            </w:pPr>
            <w:r>
              <w:rPr>
                <w:b/>
                <w:bCs/>
                <w:color w:val="FFFFFF"/>
                <w:sz w:val="18"/>
                <w:szCs w:val="18"/>
              </w:rPr>
              <w:t xml:space="preserve">+10</w:t>
            </w:r>
          </w:p>
        </w:tc>
      </w:tr>
      <w:tr>
        <w:tc>
          <w:tcPr>
            <w:tcW w:type="dxa" w:w="1500"/>
            <w:tcMar>
              <w:top w:type="dxa" w:w="40"/>
              <w:left w:type="dxa" w:w="60"/>
              <w:bottom w:type="dxa" w:w="40"/>
              <w:right w:type="dxa" w:w="60"/>
            </w:tcMar>
          </w:tcPr>
          <w:p>
            <w:pPr>
              <w:jc w:val="left"/>
            </w:pPr>
            <w:r>
              <w:rPr>
                <w:b w:val="false"/>
                <w:bCs w:val="false"/>
                <w:sz w:val="18"/>
                <w:szCs w:val="18"/>
              </w:rPr>
              <w:t xml:space="preserve">COP</w:t>
            </w:r>
          </w:p>
        </w:tc>
        <w:tc>
          <w:tcPr>
            <w:tcW w:type="dxa" w:w="700"/>
            <w:tcMar>
              <w:top w:type="dxa" w:w="40"/>
              <w:left w:type="dxa" w:w="60"/>
              <w:bottom w:type="dxa" w:w="40"/>
              <w:right w:type="dxa" w:w="60"/>
            </w:tcMar>
          </w:tcPr>
          <w:p>
            <w:pPr>
              <w:jc w:val="left"/>
            </w:pPr>
            <w:r>
              <w:rPr>
                <w:b w:val="false"/>
                <w:bCs w:val="false"/>
                <w:sz w:val="18"/>
                <w:szCs w:val="18"/>
              </w:rPr>
              <w:t xml:space="preserve">1.77</w:t>
            </w:r>
          </w:p>
        </w:tc>
        <w:tc>
          <w:tcPr>
            <w:tcW w:type="dxa" w:w="700"/>
            <w:tcMar>
              <w:top w:type="dxa" w:w="40"/>
              <w:left w:type="dxa" w:w="60"/>
              <w:bottom w:type="dxa" w:w="40"/>
              <w:right w:type="dxa" w:w="60"/>
            </w:tcMar>
          </w:tcPr>
          <w:p>
            <w:pPr>
              <w:jc w:val="center"/>
            </w:pPr>
            <w:r>
              <w:rPr>
                <w:b w:val="false"/>
                <w:bCs w:val="false"/>
                <w:sz w:val="18"/>
                <w:szCs w:val="18"/>
              </w:rPr>
              <w:t xml:space="preserve">1.97</w:t>
            </w:r>
          </w:p>
        </w:tc>
        <w:tc>
          <w:tcPr>
            <w:tcW w:type="dxa" w:w="700"/>
            <w:tcMar>
              <w:top w:type="dxa" w:w="40"/>
              <w:left w:type="dxa" w:w="60"/>
              <w:bottom w:type="dxa" w:w="40"/>
              <w:right w:type="dxa" w:w="60"/>
            </w:tcMar>
          </w:tcPr>
          <w:p>
            <w:pPr>
              <w:jc w:val="center"/>
            </w:pPr>
            <w:r>
              <w:rPr>
                <w:b w:val="false"/>
                <w:bCs w:val="false"/>
                <w:sz w:val="18"/>
                <w:szCs w:val="18"/>
              </w:rPr>
              <w:t xml:space="preserve">2.16</w:t>
            </w:r>
          </w:p>
        </w:tc>
        <w:tc>
          <w:tcPr>
            <w:tcW w:type="dxa" w:w="700"/>
            <w:tcMar>
              <w:top w:type="dxa" w:w="40"/>
              <w:left w:type="dxa" w:w="60"/>
              <w:bottom w:type="dxa" w:w="40"/>
              <w:right w:type="dxa" w:w="60"/>
            </w:tcMar>
          </w:tcPr>
          <w:p>
            <w:pPr>
              <w:jc w:val="center"/>
            </w:pPr>
            <w:r>
              <w:rPr>
                <w:b w:val="false"/>
                <w:bCs w:val="false"/>
                <w:sz w:val="18"/>
                <w:szCs w:val="18"/>
              </w:rPr>
              <w:t xml:space="preserve">2.42</w:t>
            </w:r>
          </w:p>
        </w:tc>
        <w:tc>
          <w:tcPr>
            <w:tcW w:type="dxa" w:w="700"/>
            <w:tcMar>
              <w:top w:type="dxa" w:w="40"/>
              <w:left w:type="dxa" w:w="60"/>
              <w:bottom w:type="dxa" w:w="40"/>
              <w:right w:type="dxa" w:w="60"/>
            </w:tcMar>
          </w:tcPr>
          <w:p>
            <w:pPr>
              <w:jc w:val="center"/>
            </w:pPr>
            <w:r>
              <w:rPr>
                <w:b w:val="false"/>
                <w:bCs w:val="false"/>
                <w:sz w:val="18"/>
                <w:szCs w:val="18"/>
              </w:rPr>
              <w:t xml:space="preserve">2.83</w:t>
            </w:r>
          </w:p>
        </w:tc>
        <w:tc>
          <w:tcPr>
            <w:tcW w:type="dxa" w:w="700"/>
            <w:tcMar>
              <w:top w:type="dxa" w:w="40"/>
              <w:left w:type="dxa" w:w="60"/>
              <w:bottom w:type="dxa" w:w="40"/>
              <w:right w:type="dxa" w:w="60"/>
            </w:tcMar>
          </w:tcPr>
          <w:p>
            <w:pPr>
              <w:jc w:val="center"/>
            </w:pPr>
            <w:r>
              <w:rPr>
                <w:b w:val="false"/>
                <w:bCs w:val="false"/>
                <w:sz w:val="18"/>
                <w:szCs w:val="18"/>
              </w:rPr>
              <w:t xml:space="preserve">3.28</w:t>
            </w:r>
          </w:p>
        </w:tc>
        <w:tc>
          <w:tcPr>
            <w:tcW w:type="dxa" w:w="700"/>
            <w:tcMar>
              <w:top w:type="dxa" w:w="40"/>
              <w:left w:type="dxa" w:w="60"/>
              <w:bottom w:type="dxa" w:w="40"/>
              <w:right w:type="dxa" w:w="60"/>
            </w:tcMar>
          </w:tcPr>
          <w:p>
            <w:pPr>
              <w:jc w:val="center"/>
            </w:pPr>
            <w:r>
              <w:rPr>
                <w:b w:val="false"/>
                <w:bCs w:val="false"/>
                <w:sz w:val="18"/>
                <w:szCs w:val="18"/>
              </w:rPr>
              <w:t xml:space="preserve">3.76</w:t>
            </w:r>
          </w:p>
        </w:tc>
      </w:tr>
    </w:tbl>
    <w:p>
      <w:pPr>
        <w:spacing w:after="120" w:before="80"/>
      </w:pPr>
      <w:r>
        <w:rPr>
          <w:sz w:val="21"/>
          <w:szCs w:val="21"/>
        </w:rPr>
        <w:t xml:space="preserve">As a validation, this curve averages 2.68 over the −10°C to +5°C band; Gibb report a measured mean of 2.74 and median 2.62 for the same band — agreement within about two percent.</w:t>
      </w:r>
    </w:p>
    <w:p>
      <w:pPr>
        <w:pStyle w:val="Heading1"/>
        <w:spacing w:after="120" w:before="240"/>
      </w:pPr>
      <w:r>
        <w:rPr>
          <w:b/>
          <w:bCs/>
          <w:color w:val="1F3864"/>
        </w:rPr>
        <w:t xml:space="preserve">4. Standard-stock lockout</w:t>
      </w:r>
    </w:p>
    <w:p>
      <w:pPr>
        <w:spacing w:after="120" w:before="0"/>
      </w:pPr>
      <w:r>
        <w:rPr>
          <w:sz w:val="21"/>
          <w:szCs w:val="21"/>
        </w:rPr>
        <w:t xml:space="preserve">A standard (non cold-climate) heat pump has a low-ambient compressor cutout, below which it cannot operate and heating reverts to the backup. We impose a lockout at </w:t>
      </w:r>
      <w:r>
        <w:rPr>
          <w:b/>
          <w:bCs/>
          <w:sz w:val="21"/>
          <w:szCs w:val="21"/>
        </w:rPr>
        <w:t xml:space="preserve">−15°C</w:t>
      </w:r>
      <w:r>
        <w:rPr>
          <w:sz w:val="21"/>
          <w:szCs w:val="21"/>
        </w:rPr>
        <w:t xml:space="preserve">: below this temperature the effective COP is set to 1.0 (electric-resistance equivalent) for the electric-backup seasonal average, and for fossil-backup systems the furnace necessarily carries all load below lockout. This prevents the model from relying on the sparse, optimistic tail of the field curve below −15°C, which is drawn disproportionately from variable-capacity and cold-climate-capable units.</w:t>
      </w:r>
    </w:p>
    <w:p>
      <w:pPr>
        <w:pStyle w:val="Heading1"/>
        <w:spacing w:after="120" w:before="240"/>
      </w:pPr>
      <w:r>
        <w:rPr>
          <w:b/>
          <w:bCs/>
          <w:color w:val="1F3864"/>
        </w:rPr>
        <w:t xml:space="preserve">5. Seasonal integration and calibration</w:t>
      </w:r>
    </w:p>
    <w:p>
      <w:pPr>
        <w:spacing w:after="120" w:before="0"/>
      </w:pPr>
      <w:r>
        <w:rPr>
          <w:sz w:val="21"/>
          <w:szCs w:val="21"/>
        </w:rPr>
        <w:t xml:space="preserve">For each jurisdiction the daily mean temperature is modelled as a seasonal sinusoid, T(d) = T_ann − A·cos(2π(d+10)/365) with amplitude A = T_ann − T_Jan, using representative-city climate normals (annual mean and January mean). Day-to-day variability around the seasonal mean is added as a Normal distribution with standard deviation 4°C. The heating load in each temperature bin is weighted by heating demand, proportional to max(0, 18°C − T) (an 18°C base temperature).</w:t>
      </w:r>
    </w:p>
    <w:p>
      <w:pPr>
        <w:spacing w:after="120" w:before="0"/>
      </w:pPr>
      <w:r>
        <w:rPr>
          <w:sz w:val="21"/>
          <w:szCs w:val="21"/>
        </w:rPr>
        <w:t xml:space="preserve">The field curve fixes the </w:t>
      </w:r>
      <w:r>
        <w:rPr>
          <w:b/>
          <w:bCs/>
          <w:sz w:val="21"/>
          <w:szCs w:val="21"/>
        </w:rPr>
        <w:t xml:space="preserve">shape</w:t>
      </w:r>
      <w:r>
        <w:rPr>
          <w:sz w:val="21"/>
          <w:szCs w:val="21"/>
        </w:rPr>
        <w:t xml:space="preserve"> of the COP–temperature relationship; its </w:t>
      </w:r>
      <w:r>
        <w:rPr>
          <w:b/>
          <w:bCs/>
          <w:sz w:val="21"/>
          <w:szCs w:val="21"/>
        </w:rPr>
        <w:t xml:space="preserve">level</w:t>
      </w:r>
      <w:r>
        <w:rPr>
          <w:sz w:val="21"/>
          <w:szCs w:val="21"/>
        </w:rPr>
        <w:t xml:space="preserve"> is anchored to the published national fleet figures. A single multiplicative factor φ is applied to the curve and solved so that the load-weighted seasonal COP, integrated over a representative national climate, reproduces 1.90 in Canada and 2.00 in the United States. This yields φ_CA = 0.731 and φ_US = 0.626.</w:t>
      </w:r>
    </w:p>
    <w:p>
      <w:pPr>
        <w:spacing w:after="120" w:before="0"/>
      </w:pPr>
      <w:r>
        <w:rPr>
          <w:sz w:val="21"/>
          <w:szCs w:val="21"/>
        </w:rPr>
        <w:t xml:space="preserve">Because the climate is now handled explicitly (each jurisdiction is integrated over its own temperatures), the ratio φ_US / φ_CA = 0.855 isolates the difference in fleet performance holding climate constant: the US installed fleet performs about 15% below the Canadian fleet at equal climate. This is consistent with the Canadian stock being newer on average (recent heat-pump subsidy programs) and removes the need for an arbitrary vintage-versus-climate split — the split falls out of the data.</w:t>
      </w:r>
    </w:p>
    <w:p>
      <w:pPr>
        <w:pStyle w:val="Heading1"/>
        <w:spacing w:after="120" w:before="240"/>
      </w:pPr>
      <w:r>
        <w:rPr>
          <w:b/>
          <w:bCs/>
          <w:color w:val="1F3864"/>
        </w:rPr>
        <w:t xml:space="preserve">6. Jurisdiction-specific seasonal COP (electric / no fossil backup)</w:t>
      </w:r>
    </w:p>
    <w:p>
      <w:pPr>
        <w:spacing w:after="120" w:before="0"/>
      </w:pPr>
      <w:r>
        <w:rPr>
          <w:b/>
          <w:bCs/>
          <w:sz w:val="21"/>
          <w:szCs w:val="21"/>
        </w:rPr>
        <w:t xml:space="preserve">This section and Section 7 are two branches of one model, not two different methods.</w:t>
      </w:r>
      <w:r>
        <w:rPr>
          <w:sz w:val="21"/>
          <w:szCs w:val="21"/>
        </w:rPr>
        <w:t xml:space="preserve"> Both integrate the same field COP curve (Section 3) over the same jurisdiction climate (Section 5); they differ only in the temperature at which the heat pump stops carrying the load, and in what picks it up. With no fossil backup the heat pump runs down to its −15°C lockout and electric resistance covers the rest; because every kilowatt-hour — heat pump and resistance alike — is drawn from the grid at one emission factor, the whole season collapses to a single effective number (the jurisdiction seasonal COP below), and emissions are simply demand ÷ COP × grid factor. This collapse is exact, not an approximation: the seasonal COP is the load-weighted (harmonic) mean of the performance curve — total heat delivered divided by total electricity used — so demand ÷ COP × grid factor reproduces a bin-by-bin integration of the full curve to the last digit, discarding no temperature detail. It works only because the single grid emission factor pulls out of the sum. With a fossil backup the heat pump instead hands off at the economic switchover (Section 7) to a fuel with its own emission factor, so the calculation cannot collapse to a single COP and keeps the two-term form of Section 8. The electric case is the limiting case of that same two-term formula in which the “backup” is the grid itself.</w:t>
      </w:r>
    </w:p>
    <w:p>
      <w:pPr>
        <w:spacing w:after="120" w:before="0"/>
      </w:pPr>
      <w:r>
        <w:rPr>
          <w:sz w:val="21"/>
          <w:szCs w:val="21"/>
        </w:rPr>
        <w:t xml:space="preserve">This section concerns </w:t>
      </w:r>
      <w:r>
        <w:rPr>
          <w:b/>
          <w:bCs/>
          <w:sz w:val="21"/>
          <w:szCs w:val="21"/>
        </w:rPr>
        <w:t xml:space="preserve">only</w:t>
      </w:r>
      <w:r>
        <w:rPr>
          <w:sz w:val="21"/>
          <w:szCs w:val="21"/>
        </w:rPr>
        <w:t xml:space="preserve"> heat pumps without a fossil backup (electric-resistance, none, or don’t-know). This is the case the published national figures themselves describe: 1.90 (CA) and 2.00 (US) are whole-fleet seasonal COPs that already assume electric-resistance top-up on the coldest days, which is what drags them down. For this subgroup the calculator uses the </w:t>
      </w:r>
      <w:r>
        <w:rPr>
          <w:b/>
          <w:bCs/>
          <w:sz w:val="21"/>
          <w:szCs w:val="21"/>
        </w:rPr>
        <w:t xml:space="preserve">jurisdiction-specific</w:t>
      </w:r>
      <w:r>
        <w:rPr>
          <w:sz w:val="21"/>
          <w:szCs w:val="21"/>
        </w:rPr>
        <w:t xml:space="preserve"> seasonal COP obtained by integrating φ·COP_field(T) over each jurisdiction’s own climate (with resistance below the −15°C lockout), rather than a flat national value. These range from about 2.5 in the mildest jurisdictions (Vancouver, coastal/southern US) down to roughly 1.2–1.5 in the coldest (Nunavut, Northwest Territories, the northern Plains).</w:t>
      </w:r>
    </w:p>
    <w:p>
      <w:pPr>
        <w:spacing w:after="120" w:before="0"/>
      </w:pPr>
      <w:r>
        <w:rPr>
          <w:sz w:val="21"/>
          <w:szCs w:val="21"/>
        </w:rPr>
        <w:t xml:space="preserve">The φ calibration anchors this electric-backup curve to 1.90 / 2.00 at a representative national climate, so the published headline figures are recovered where heat pumps are actually concentrated — the milder, more populous provinces and states. (The simple unweighted average across all 66 jurisdictions is about 1.80 in Canada and 2.00 in the US, because it counts sparsely-populated cold territories equally with the populous south; it is not forced to equal the national figure.)</w:t>
      </w:r>
    </w:p>
    <w:p>
      <w:pPr>
        <w:spacing w:after="120" w:before="0"/>
      </w:pPr>
      <w:r>
        <w:rPr>
          <w:sz w:val="21"/>
          <w:szCs w:val="21"/>
        </w:rPr>
        <w:t xml:space="preserve">Heat pumps with a natural-gas or oil/propane backup are </w:t>
      </w:r>
      <w:r>
        <w:rPr>
          <w:b/>
          <w:bCs/>
          <w:sz w:val="21"/>
          <w:szCs w:val="21"/>
        </w:rPr>
        <w:t xml:space="preserve">not</w:t>
      </w:r>
      <w:r>
        <w:rPr>
          <w:sz w:val="21"/>
          <w:szCs w:val="21"/>
        </w:rPr>
        <w:t xml:space="preserve"> set to 1.90 / 2.00. Because the furnace carries the coldest, lowest-COP hours, the heat pump operates only in its more efficient range, so its operating COP is higher — averaging roughly 2.2 for gas backup (Section 7, Section 10) — and the emissions calculation (Section 8) uses that higher operating COP for the heat-pump share, not the whole-fleet seasonal figure. The “Don’t know” main-heating mix inherits the jurisdiction-specific electric-backup COP for its heat-pump component, a small consistency improvement.</w:t>
      </w:r>
    </w:p>
    <w:p>
      <w:pPr>
        <w:pStyle w:val="Heading1"/>
        <w:spacing w:after="120" w:before="240"/>
      </w:pPr>
      <w:r>
        <w:rPr>
          <w:b/>
          <w:bCs/>
          <w:color w:val="1F3864"/>
        </w:rPr>
        <w:t xml:space="preserve">7. Economic switchover for fossil backup</w:t>
      </w:r>
    </w:p>
    <w:p>
      <w:pPr>
        <w:spacing w:after="120" w:before="0"/>
      </w:pPr>
      <w:r>
        <w:rPr>
          <w:sz w:val="21"/>
          <w:szCs w:val="21"/>
        </w:rPr>
        <w:t xml:space="preserve">For a dual-fuel system the outdoor temperature at which heating switches from the heat pump to the fossil furnace is modelled as the </w:t>
      </w:r>
      <w:r>
        <w:rPr>
          <w:b/>
          <w:bCs/>
          <w:sz w:val="21"/>
          <w:szCs w:val="21"/>
        </w:rPr>
        <w:t xml:space="preserve">cost-minimizing</w:t>
      </w:r>
      <w:r>
        <w:rPr>
          <w:sz w:val="21"/>
          <w:szCs w:val="21"/>
        </w:rPr>
        <w:t xml:space="preserve"> (economic) switchover: a household runs whichever source delivers heat more cheaply at the margin. The heat pump is cheaper while its COP exceeds a break-even value determined by local energy prices:</w:t>
      </w:r>
    </w:p>
    <w:p>
      <w:pPr>
        <w:spacing w:after="120" w:before="60"/>
        <w:jc w:val="center"/>
      </w:pPr>
      <w:r>
        <w:rPr>
          <w:i/>
          <w:iCs/>
          <w:sz w:val="22"/>
          <w:szCs w:val="22"/>
        </w:rPr>
        <w:t xml:space="preserve">COP* = (electricity price [$/kWh] × furnace efficiency) ÷ (fuel price [$/GJ] × 0.0036)</w:t>
      </w:r>
    </w:p>
    <w:p>
      <w:pPr>
        <w:spacing w:after="120" w:before="0"/>
      </w:pPr>
      <w:r>
        <w:rPr>
          <w:sz w:val="21"/>
          <w:szCs w:val="21"/>
        </w:rPr>
        <w:t xml:space="preserve">The switchover temperature is the outdoor temperature at which φ·COP_field(T) falls to COP*. Two bounds are applied. The switchover is </w:t>
      </w:r>
      <w:r>
        <w:rPr>
          <w:b/>
          <w:bCs/>
          <w:sz w:val="21"/>
          <w:szCs w:val="21"/>
        </w:rPr>
        <w:t xml:space="preserve">capped at a maximum of 0°C</w:t>
      </w:r>
      <w:r>
        <w:rPr>
          <w:sz w:val="21"/>
          <w:szCs w:val="21"/>
        </w:rPr>
        <w:t xml:space="preserve"> — installed dual-fuel systems are configured heat-pump-priority above freezing, and a homeowner who paid to install a heat pump runs it in mild weather regardless of a marginal price advantage for gas. It is </w:t>
      </w:r>
      <w:r>
        <w:rPr>
          <w:b/>
          <w:bCs/>
          <w:sz w:val="21"/>
          <w:szCs w:val="21"/>
        </w:rPr>
        <w:t xml:space="preserve">floored at the −15°C lockout</w:t>
      </w:r>
      <w:r>
        <w:rPr>
          <w:sz w:val="21"/>
          <w:szCs w:val="21"/>
        </w:rPr>
        <w:t xml:space="preserve">. Between these bounds the actual economic value is used, so jurisdictions with cheap electricity (e.g. Québec, Manitoba, British Columbia hydro) run the heat pump colder, toward lockout, while jurisdictions with cheap gas keep the heat pump running only down to freezing.</w:t>
      </w:r>
    </w:p>
    <w:p>
      <w:pPr>
        <w:spacing w:after="120" w:before="0"/>
      </w:pPr>
      <w:r>
        <w:rPr>
          <w:b/>
          <w:bCs/>
          <w:sz w:val="21"/>
          <w:szCs w:val="21"/>
        </w:rPr>
        <w:t xml:space="preserve">Why the cap matters.</w:t>
      </w:r>
      <w:r>
        <w:rPr>
          <w:sz w:val="21"/>
          <w:szCs w:val="21"/>
        </w:rPr>
        <w:t xml:space="preserve"> Without it, the literal cost-minimizing switchover exceeds the entire heating season across most of cheap-gas North America: in Ontario, for example, delivered gas near $11/GJ against ~14¢/kWh electricity gives a break-even COP of about 3.2, which the heat pump reaches only above roughly +15°C — implying an installed heat pump sits idle all winter while gas does the heating. That is economically consistent but does not reflect how heat-pump-priority controls are actually configured, so the 0°C cap is imposed. The cap binds in most gas-served jurisdictions; the economic value governs where electricity is cheap or the backup fuel is expensive.</w:t>
      </w:r>
    </w:p>
    <w:p>
      <w:pPr>
        <w:spacing w:after="120" w:before="0"/>
      </w:pPr>
      <w:r>
        <w:rPr>
          <w:sz w:val="21"/>
          <w:szCs w:val="21"/>
        </w:rPr>
        <w:t xml:space="preserve">Oil and propane are much more expensive per GJ than natural gas, so for oil/propane backup the break-even COP is near 1 and the heat pump runs essentially to lockout almost everywhere; the fossil furnace engages only in the coldest jurisdictions with expensive electricity.</w:t>
      </w:r>
    </w:p>
    <w:p>
      <w:pPr>
        <w:pStyle w:val="Heading1"/>
        <w:spacing w:after="120" w:before="240"/>
      </w:pPr>
      <w:r>
        <w:rPr>
          <w:b/>
          <w:bCs/>
          <w:color w:val="1F3864"/>
        </w:rPr>
        <w:t xml:space="preserve">8. Emissions calculation</w:t>
      </w:r>
    </w:p>
    <w:p>
      <w:pPr>
        <w:spacing w:after="120" w:before="0"/>
      </w:pPr>
      <w:r>
        <w:rPr>
          <w:sz w:val="21"/>
          <w:szCs w:val="21"/>
        </w:rPr>
        <w:t xml:space="preserve">Let D be the annual useful space-heating demand (GJ), g the delivered-electricity lifecycle emission factor (kg CO2e/GJ), f_hp the fraction of D carried by the heat pump (load above switchover), COP_op the load-weighted operating COP of the heat pump above switchover, η_b the backup furnace efficiency, and e_b the backup-fuel lifecycle emission factor. Space-heating emissions for a fossil-backup heat pump are:</w:t>
      </w:r>
    </w:p>
    <w:p>
      <w:pPr>
        <w:spacing w:after="120" w:before="60"/>
        <w:jc w:val="center"/>
      </w:pPr>
      <w:r>
        <w:rPr>
          <w:i/>
          <w:iCs/>
          <w:sz w:val="22"/>
          <w:szCs w:val="22"/>
        </w:rPr>
        <w:t xml:space="preserve">E = f_hp · (D / COP_op) · g  +  (1 − f_hp) · (D / η_b) · e_b</w:t>
      </w:r>
    </w:p>
    <w:p>
      <w:pPr>
        <w:spacing w:after="120" w:before="0"/>
      </w:pPr>
      <w:r>
        <w:rPr>
          <w:sz w:val="21"/>
          <w:szCs w:val="21"/>
        </w:rPr>
        <w:t xml:space="preserve">The first term is the grid electricity used by the heat pump above switchover; the second is the fossil fuel burned by the backup below switchover. For non-fossil backup the second term is zero and COP_op is the jurisdiction seasonal COP, recovering the Section 6 result. In the workbook this is computed in an auditable block (Calculator cells K24:L32) that exposes f_hp, COP_op, backup efficiency, backup emission factor, heat-pump electricity (GJ), backup fuel (GJ), and the resulting emissions, so every dual-fuel result can be traced. Emission factors are on the same lifecycle basis as the rest of the calculator: natural gas 63.3 kg CO2e/GJ and oil/propane 79.8 kg CO2e/GJ (combustion plus upstream), and the jurisdiction grid factor for electricity.</w:t>
      </w:r>
    </w:p>
    <w:p>
      <w:pPr>
        <w:pStyle w:val="Heading1"/>
        <w:spacing w:after="120" w:before="240"/>
      </w:pPr>
      <w:r>
        <w:rPr>
          <w:b/>
          <w:bCs/>
          <w:color w:val="1F3864"/>
        </w:rPr>
        <w:t xml:space="preserve">9. Energy prices and sources</w:t>
      </w:r>
    </w:p>
    <w:p>
      <w:pPr>
        <w:spacing w:after="120" w:before="0"/>
      </w:pPr>
      <w:r>
        <w:rPr>
          <w:sz w:val="21"/>
          <w:szCs w:val="21"/>
        </w:rPr>
        <w:t xml:space="preserve">Electricity and fuel prices enter only through their ratio in the break-even COP; absolute levels do not otherwise affect emissions. US residential electricity and natural-gas prices are state-level values compiled from EIA data (electricity in ¢/kWh; natural gas converted from $/thousand cubic feet at 1.0835 GJ per Mcf). Canadian residential electricity is by province/territory; Canadian delivered natural gas is a per-province estimate (order $9–$16/GJ, higher where gas is scarce). Heating oil and propane are treated as regional commodities (about $28/GJ in the US, $40/GJ in Canada). Furnace efficiencies used in the break-even are 0.90 for gas and 0.83 for oil/propane; the emissions calculation uses the workbook’s own jurisdiction furnace efficiencies. All prices are 2024–2026 vintage. Note that the removal of the Canadian federal consumer carbon charge in 2025 lowered delivered gas by roughly $1–$2/GJ, which pushes gas-region switchovers warmer (against the 0°C cap); the results are mildly sensitive to this.</w:t>
      </w:r>
    </w:p>
    <w:p>
      <w:pPr>
        <w:pStyle w:val="Heading1"/>
        <w:spacing w:after="120" w:before="240"/>
      </w:pPr>
      <w:r>
        <w:rPr>
          <w:b/>
          <w:bCs/>
          <w:color w:val="1F3864"/>
        </w:rPr>
        <w:t xml:space="preserve">10. Per-jurisdiction parameters</w:t>
      </w:r>
    </w:p>
    <w:p>
      <w:pPr>
        <w:spacing w:after="120" w:before="0"/>
      </w:pPr>
      <w:r>
        <w:rPr>
          <w:sz w:val="21"/>
          <w:szCs w:val="21"/>
        </w:rPr>
        <w:t xml:space="preserve">The table lists, for every jurisdiction, the electric-backup seasonal COP (SPF); and for each fossil backup the heat-pump load fraction f_hp, operating COP, and switchover temperature. Prices shown are the electricity (¢/kWh) and delivered gas ($/GJ) used in the switchover. Canadian and US values are in their own currencies (the switchover depends only on within-jurisdiction ratios).</w:t>
      </w:r>
    </w:p>
    <w:p>
      <w:pPr>
        <w:spacing w:after="80" w:before="0"/>
      </w:pPr>
      <w:r>
        <w:rPr>
          <w:sz w:val="21"/>
          <w:szCs w:val="21"/>
        </w:rPr>
        <w:t xml:space="preserve">Puerto Rico and the US Virgin Islands are included (66 jurisdictions total). Both are tropical, so space-heating demand is essentially zero and the heat-pump-backup logic is largely inactive there — a heat pump is effectively a cooling appliance. Their footprints are dominated instead by air-conditioning and other electricity on carbon-intensive island grids: Puerto Rico’s grid emission factor is from eGRID2022 (subregion PRMS, ≈726 g CO2e/kWh, roughly double the US average), and the US Virgin Islands (WAPA, almost entirely oil-fired) is estimated higher still. Their non-electricity parameters (heating, cooling, hot-water and housing intensities) are set from a Hawaii analogue with tropical adjustments, since jurisdiction-specific stock data are unavailable.</w:t>
      </w:r>
    </w:p>
    <w:tbl>
      <w:tblPr>
        <w:tblW w:type="dxa" w:w="8880"/>
        <w:tblBorders>
          <w:top w:val="single" w:color="AAAAAA" w:sz="2"/>
          <w:left w:val="single" w:color="AAAAAA" w:sz="2"/>
          <w:bottom w:val="single" w:color="AAAAAA" w:sz="2"/>
          <w:right w:val="single" w:color="AAAAAA" w:sz="2"/>
          <w:insideH w:val="single" w:color="CCCCCC" w:sz="1"/>
          <w:insideV w:val="single" w:color="CCCCCC" w:sz="1"/>
        </w:tblBorders>
      </w:tblPr>
      <w:tblGrid>
        <w:gridCol w:w="520"/>
        <w:gridCol w:w="1760"/>
        <w:gridCol w:w="620"/>
        <w:gridCol w:w="720"/>
        <w:gridCol w:w="720"/>
        <w:gridCol w:w="760"/>
        <w:gridCol w:w="720"/>
        <w:gridCol w:w="720"/>
        <w:gridCol w:w="760"/>
        <w:gridCol w:w="720"/>
        <w:gridCol w:w="860"/>
      </w:tblGrid>
      <w:tr>
        <w:trPr>
          <w:tblHeader/>
        </w:trPr>
        <w:tc>
          <w:tcPr>
            <w:tcW w:type="dxa" w:w="520"/>
            <w:shd w:fill="1F3864" w:val="clear"/>
            <w:tcMar>
              <w:top w:type="dxa" w:w="40"/>
              <w:left w:type="dxa" w:w="60"/>
              <w:bottom w:type="dxa" w:w="40"/>
              <w:right w:type="dxa" w:w="60"/>
            </w:tcMar>
          </w:tcPr>
          <w:p>
            <w:pPr>
              <w:jc w:val="center"/>
            </w:pPr>
            <w:r>
              <w:rPr>
                <w:b/>
                <w:bCs/>
                <w:color w:val="FFFFFF"/>
                <w:sz w:val="18"/>
                <w:szCs w:val="18"/>
              </w:rPr>
              <w:t xml:space="preserve">Ctry</w:t>
            </w:r>
          </w:p>
        </w:tc>
        <w:tc>
          <w:tcPr>
            <w:tcW w:type="dxa" w:w="1760"/>
            <w:shd w:fill="1F3864" w:val="clear"/>
            <w:tcMar>
              <w:top w:type="dxa" w:w="40"/>
              <w:left w:type="dxa" w:w="60"/>
              <w:bottom w:type="dxa" w:w="40"/>
              <w:right w:type="dxa" w:w="60"/>
            </w:tcMar>
          </w:tcPr>
          <w:p>
            <w:pPr>
              <w:jc w:val="center"/>
            </w:pPr>
            <w:r>
              <w:rPr>
                <w:b/>
                <w:bCs/>
                <w:color w:val="FFFFFF"/>
                <w:sz w:val="18"/>
                <w:szCs w:val="18"/>
              </w:rPr>
              <w:t xml:space="preserve">Juris (city)</w:t>
            </w:r>
          </w:p>
        </w:tc>
        <w:tc>
          <w:tcPr>
            <w:tcW w:type="dxa" w:w="620"/>
            <w:shd w:fill="1F3864" w:val="clear"/>
            <w:tcMar>
              <w:top w:type="dxa" w:w="40"/>
              <w:left w:type="dxa" w:w="60"/>
              <w:bottom w:type="dxa" w:w="40"/>
              <w:right w:type="dxa" w:w="60"/>
            </w:tcMar>
          </w:tcPr>
          <w:p>
            <w:pPr>
              <w:jc w:val="center"/>
            </w:pPr>
            <w:r>
              <w:rPr>
                <w:b/>
                <w:bCs/>
                <w:color w:val="FFFFFF"/>
                <w:sz w:val="18"/>
                <w:szCs w:val="18"/>
              </w:rPr>
              <w:t xml:space="preserve">SPF</w:t>
            </w:r>
          </w:p>
        </w:tc>
        <w:tc>
          <w:tcPr>
            <w:tcW w:type="dxa" w:w="720"/>
            <w:shd w:fill="1F3864" w:val="clear"/>
            <w:tcMar>
              <w:top w:type="dxa" w:w="40"/>
              <w:left w:type="dxa" w:w="60"/>
              <w:bottom w:type="dxa" w:w="40"/>
              <w:right w:type="dxa" w:w="60"/>
            </w:tcMar>
          </w:tcPr>
          <w:p>
            <w:pPr>
              <w:jc w:val="center"/>
            </w:pPr>
            <w:r>
              <w:rPr>
                <w:b/>
                <w:bCs/>
                <w:color w:val="FFFFFF"/>
                <w:sz w:val="18"/>
                <w:szCs w:val="18"/>
              </w:rPr>
              <w:t xml:space="preserve">gas f_hp</w:t>
            </w:r>
          </w:p>
        </w:tc>
        <w:tc>
          <w:tcPr>
            <w:tcW w:type="dxa" w:w="720"/>
            <w:shd w:fill="1F3864" w:val="clear"/>
            <w:tcMar>
              <w:top w:type="dxa" w:w="40"/>
              <w:left w:type="dxa" w:w="60"/>
              <w:bottom w:type="dxa" w:w="40"/>
              <w:right w:type="dxa" w:w="60"/>
            </w:tcMar>
          </w:tcPr>
          <w:p>
            <w:pPr>
              <w:jc w:val="center"/>
            </w:pPr>
            <w:r>
              <w:rPr>
                <w:b/>
                <w:bCs/>
                <w:color w:val="FFFFFF"/>
                <w:sz w:val="18"/>
                <w:szCs w:val="18"/>
              </w:rPr>
              <w:t xml:space="preserve">gas COP</w:t>
            </w:r>
          </w:p>
        </w:tc>
        <w:tc>
          <w:tcPr>
            <w:tcW w:type="dxa" w:w="760"/>
            <w:shd w:fill="1F3864" w:val="clear"/>
            <w:tcMar>
              <w:top w:type="dxa" w:w="40"/>
              <w:left w:type="dxa" w:w="60"/>
              <w:bottom w:type="dxa" w:w="40"/>
              <w:right w:type="dxa" w:w="60"/>
            </w:tcMar>
          </w:tcPr>
          <w:p>
            <w:pPr>
              <w:jc w:val="center"/>
            </w:pPr>
            <w:r>
              <w:rPr>
                <w:b/>
                <w:bCs/>
                <w:color w:val="FFFFFF"/>
                <w:sz w:val="18"/>
                <w:szCs w:val="18"/>
              </w:rPr>
              <w:t xml:space="preserve">gas T_sw</w:t>
            </w:r>
          </w:p>
        </w:tc>
        <w:tc>
          <w:tcPr>
            <w:tcW w:type="dxa" w:w="720"/>
            <w:shd w:fill="1F3864" w:val="clear"/>
            <w:tcMar>
              <w:top w:type="dxa" w:w="40"/>
              <w:left w:type="dxa" w:w="60"/>
              <w:bottom w:type="dxa" w:w="40"/>
              <w:right w:type="dxa" w:w="60"/>
            </w:tcMar>
          </w:tcPr>
          <w:p>
            <w:pPr>
              <w:jc w:val="center"/>
            </w:pPr>
            <w:r>
              <w:rPr>
                <w:b/>
                <w:bCs/>
                <w:color w:val="FFFFFF"/>
                <w:sz w:val="18"/>
                <w:szCs w:val="18"/>
              </w:rPr>
              <w:t xml:space="preserve">oil f_hp</w:t>
            </w:r>
          </w:p>
        </w:tc>
        <w:tc>
          <w:tcPr>
            <w:tcW w:type="dxa" w:w="720"/>
            <w:shd w:fill="1F3864" w:val="clear"/>
            <w:tcMar>
              <w:top w:type="dxa" w:w="40"/>
              <w:left w:type="dxa" w:w="60"/>
              <w:bottom w:type="dxa" w:w="40"/>
              <w:right w:type="dxa" w:w="60"/>
            </w:tcMar>
          </w:tcPr>
          <w:p>
            <w:pPr>
              <w:jc w:val="center"/>
            </w:pPr>
            <w:r>
              <w:rPr>
                <w:b/>
                <w:bCs/>
                <w:color w:val="FFFFFF"/>
                <w:sz w:val="18"/>
                <w:szCs w:val="18"/>
              </w:rPr>
              <w:t xml:space="preserve">oil COP</w:t>
            </w:r>
          </w:p>
        </w:tc>
        <w:tc>
          <w:tcPr>
            <w:tcW w:type="dxa" w:w="760"/>
            <w:shd w:fill="1F3864" w:val="clear"/>
            <w:tcMar>
              <w:top w:type="dxa" w:w="40"/>
              <w:left w:type="dxa" w:w="60"/>
              <w:bottom w:type="dxa" w:w="40"/>
              <w:right w:type="dxa" w:w="60"/>
            </w:tcMar>
          </w:tcPr>
          <w:p>
            <w:pPr>
              <w:jc w:val="center"/>
            </w:pPr>
            <w:r>
              <w:rPr>
                <w:b/>
                <w:bCs/>
                <w:color w:val="FFFFFF"/>
                <w:sz w:val="18"/>
                <w:szCs w:val="18"/>
              </w:rPr>
              <w:t xml:space="preserve">oil T_sw</w:t>
            </w:r>
          </w:p>
        </w:tc>
        <w:tc>
          <w:tcPr>
            <w:tcW w:type="dxa" w:w="720"/>
            <w:shd w:fill="1F3864" w:val="clear"/>
            <w:tcMar>
              <w:top w:type="dxa" w:w="40"/>
              <w:left w:type="dxa" w:w="60"/>
              <w:bottom w:type="dxa" w:w="40"/>
              <w:right w:type="dxa" w:w="60"/>
            </w:tcMar>
          </w:tcPr>
          <w:p>
            <w:pPr>
              <w:jc w:val="center"/>
            </w:pPr>
            <w:r>
              <w:rPr>
                <w:b/>
                <w:bCs/>
                <w:color w:val="FFFFFF"/>
                <w:sz w:val="18"/>
                <w:szCs w:val="18"/>
              </w:rPr>
              <w:t xml:space="preserve">¢/kWh</w:t>
            </w:r>
          </w:p>
        </w:tc>
        <w:tc>
          <w:tcPr>
            <w:tcW w:type="dxa" w:w="860"/>
            <w:shd w:fill="1F3864" w:val="clear"/>
            <w:tcMar>
              <w:top w:type="dxa" w:w="40"/>
              <w:left w:type="dxa" w:w="60"/>
              <w:bottom w:type="dxa" w:w="40"/>
              <w:right w:type="dxa" w:w="60"/>
            </w:tcMar>
          </w:tcPr>
          <w:p>
            <w:pPr>
              <w:jc w:val="center"/>
            </w:pPr>
            <w:r>
              <w:rPr>
                <w:b/>
                <w:bCs/>
                <w:color w:val="FFFFFF"/>
                <w:sz w:val="18"/>
                <w:szCs w:val="18"/>
              </w:rPr>
              <w:t xml:space="preserve">gas $/GJ</w:t>
            </w:r>
          </w:p>
        </w:tc>
      </w:tr>
      <w:tr>
        <w:tc>
          <w:tcPr>
            <w:tcW w:type="dxa" w:w="520"/>
            <w:tcMar>
              <w:top w:type="dxa" w:w="40"/>
              <w:left w:type="dxa" w:w="60"/>
              <w:bottom w:type="dxa" w:w="40"/>
              <w:right w:type="dxa" w:w="60"/>
            </w:tcMar>
          </w:tcPr>
          <w:p>
            <w:pPr>
              <w:jc w:val="left"/>
            </w:pPr>
            <w:r>
              <w:rPr>
                <w:b w:val="false"/>
                <w:bCs w:val="false"/>
                <w:sz w:val="18"/>
                <w:szCs w:val="18"/>
              </w:rPr>
              <w:t xml:space="preserve">CA</w:t>
            </w:r>
          </w:p>
        </w:tc>
        <w:tc>
          <w:tcPr>
            <w:tcW w:type="dxa" w:w="1760"/>
            <w:tcMar>
              <w:top w:type="dxa" w:w="40"/>
              <w:left w:type="dxa" w:w="60"/>
              <w:bottom w:type="dxa" w:w="40"/>
              <w:right w:type="dxa" w:w="60"/>
            </w:tcMar>
          </w:tcPr>
          <w:p>
            <w:pPr>
              <w:jc w:val="left"/>
            </w:pPr>
            <w:r>
              <w:rPr>
                <w:b w:val="false"/>
                <w:bCs w:val="false"/>
                <w:sz w:val="18"/>
                <w:szCs w:val="18"/>
              </w:rPr>
              <w:t xml:space="preserve">BC (Vancouver)</w:t>
            </w:r>
          </w:p>
        </w:tc>
        <w:tc>
          <w:tcPr>
            <w:tcW w:type="dxa" w:w="620"/>
            <w:tcMar>
              <w:top w:type="dxa" w:w="40"/>
              <w:left w:type="dxa" w:w="60"/>
              <w:bottom w:type="dxa" w:w="40"/>
              <w:right w:type="dxa" w:w="60"/>
            </w:tcMar>
          </w:tcPr>
          <w:p>
            <w:pPr>
              <w:jc w:val="center"/>
            </w:pPr>
            <w:r>
              <w:rPr>
                <w:b w:val="false"/>
                <w:bCs w:val="false"/>
                <w:sz w:val="18"/>
                <w:szCs w:val="18"/>
              </w:rPr>
              <w:t xml:space="preserve">2.45</w:t>
            </w:r>
          </w:p>
        </w:tc>
        <w:tc>
          <w:tcPr>
            <w:tcW w:type="dxa" w:w="720"/>
            <w:tcMar>
              <w:top w:type="dxa" w:w="40"/>
              <w:left w:type="dxa" w:w="60"/>
              <w:bottom w:type="dxa" w:w="40"/>
              <w:right w:type="dxa" w:w="60"/>
            </w:tcMar>
          </w:tcPr>
          <w:p>
            <w:pPr>
              <w:jc w:val="center"/>
            </w:pPr>
            <w:r>
              <w:rPr>
                <w:b w:val="false"/>
                <w:bCs w:val="false"/>
                <w:sz w:val="18"/>
                <w:szCs w:val="18"/>
              </w:rPr>
              <w:t xml:space="preserve">0.89</w:t>
            </w:r>
          </w:p>
        </w:tc>
        <w:tc>
          <w:tcPr>
            <w:tcW w:type="dxa" w:w="720"/>
            <w:tcMar>
              <w:top w:type="dxa" w:w="40"/>
              <w:left w:type="dxa" w:w="60"/>
              <w:bottom w:type="dxa" w:w="40"/>
              <w:right w:type="dxa" w:w="60"/>
            </w:tcMar>
          </w:tcPr>
          <w:p>
            <w:pPr>
              <w:jc w:val="center"/>
            </w:pPr>
            <w:r>
              <w:rPr>
                <w:b w:val="false"/>
                <w:bCs w:val="false"/>
                <w:sz w:val="18"/>
                <w:szCs w:val="18"/>
              </w:rPr>
              <w:t xml:space="preserve">2.53</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2.45</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11.4</w:t>
            </w:r>
          </w:p>
        </w:tc>
        <w:tc>
          <w:tcPr>
            <w:tcW w:type="dxa" w:w="860"/>
            <w:tcMar>
              <w:top w:type="dxa" w:w="40"/>
              <w:left w:type="dxa" w:w="60"/>
              <w:bottom w:type="dxa" w:w="40"/>
              <w:right w:type="dxa" w:w="60"/>
            </w:tcMar>
          </w:tcPr>
          <w:p>
            <w:pPr>
              <w:jc w:val="center"/>
            </w:pPr>
            <w:r>
              <w:rPr>
                <w:b w:val="false"/>
                <w:bCs w:val="false"/>
                <w:sz w:val="18"/>
                <w:szCs w:val="18"/>
              </w:rPr>
              <w:t xml:space="preserve">13.0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CA</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NL (St. John's)</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14.8</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30.0</w:t>
            </w:r>
          </w:p>
        </w:tc>
      </w:tr>
      <w:tr>
        <w:tc>
          <w:tcPr>
            <w:tcW w:type="dxa" w:w="520"/>
            <w:tcMar>
              <w:top w:type="dxa" w:w="40"/>
              <w:left w:type="dxa" w:w="60"/>
              <w:bottom w:type="dxa" w:w="40"/>
              <w:right w:type="dxa" w:w="60"/>
            </w:tcMar>
          </w:tcPr>
          <w:p>
            <w:pPr>
              <w:jc w:val="left"/>
            </w:pPr>
            <w:r>
              <w:rPr>
                <w:b w:val="false"/>
                <w:bCs w:val="false"/>
                <w:sz w:val="18"/>
                <w:szCs w:val="18"/>
              </w:rPr>
              <w:t xml:space="preserve">CA</w:t>
            </w:r>
          </w:p>
        </w:tc>
        <w:tc>
          <w:tcPr>
            <w:tcW w:type="dxa" w:w="1760"/>
            <w:tcMar>
              <w:top w:type="dxa" w:w="40"/>
              <w:left w:type="dxa" w:w="60"/>
              <w:bottom w:type="dxa" w:w="40"/>
              <w:right w:type="dxa" w:w="60"/>
            </w:tcMar>
          </w:tcPr>
          <w:p>
            <w:pPr>
              <w:jc w:val="left"/>
            </w:pPr>
            <w:r>
              <w:rPr>
                <w:b w:val="false"/>
                <w:bCs w:val="false"/>
                <w:sz w:val="18"/>
                <w:szCs w:val="18"/>
              </w:rPr>
              <w:t xml:space="preserve">NS (Halifax)</w:t>
            </w:r>
          </w:p>
        </w:tc>
        <w:tc>
          <w:tcPr>
            <w:tcW w:type="dxa" w:w="620"/>
            <w:tcMar>
              <w:top w:type="dxa" w:w="40"/>
              <w:left w:type="dxa" w:w="60"/>
              <w:bottom w:type="dxa" w:w="40"/>
              <w:right w:type="dxa" w:w="60"/>
            </w:tcMar>
          </w:tcPr>
          <w:p>
            <w:pPr>
              <w:jc w:val="center"/>
            </w:pPr>
            <w:r>
              <w:rPr>
                <w:b w:val="false"/>
                <w:bCs w:val="false"/>
                <w:sz w:val="18"/>
                <w:szCs w:val="18"/>
              </w:rPr>
              <w:t xml:space="preserve">2.08</w:t>
            </w:r>
          </w:p>
        </w:tc>
        <w:tc>
          <w:tcPr>
            <w:tcW w:type="dxa" w:w="720"/>
            <w:tcMar>
              <w:top w:type="dxa" w:w="40"/>
              <w:left w:type="dxa" w:w="60"/>
              <w:bottom w:type="dxa" w:w="40"/>
              <w:right w:type="dxa" w:w="60"/>
            </w:tcMar>
          </w:tcPr>
          <w:p>
            <w:pPr>
              <w:jc w:val="center"/>
            </w:pPr>
            <w:r>
              <w:rPr>
                <w:b w:val="false"/>
                <w:bCs w:val="false"/>
                <w:sz w:val="18"/>
                <w:szCs w:val="18"/>
              </w:rPr>
              <w:t xml:space="preserve">0.48</w:t>
            </w:r>
          </w:p>
        </w:tc>
        <w:tc>
          <w:tcPr>
            <w:tcW w:type="dxa" w:w="720"/>
            <w:tcMar>
              <w:top w:type="dxa" w:w="40"/>
              <w:left w:type="dxa" w:w="60"/>
              <w:bottom w:type="dxa" w:w="40"/>
              <w:right w:type="dxa" w:w="60"/>
            </w:tcMar>
          </w:tcPr>
          <w:p>
            <w:pPr>
              <w:jc w:val="center"/>
            </w:pPr>
            <w:r>
              <w:rPr>
                <w:b w:val="false"/>
                <w:bCs w:val="false"/>
                <w:sz w:val="18"/>
                <w:szCs w:val="18"/>
              </w:rPr>
              <w:t xml:space="preserve">2.45</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18.3</w:t>
            </w:r>
          </w:p>
        </w:tc>
        <w:tc>
          <w:tcPr>
            <w:tcW w:type="dxa" w:w="860"/>
            <w:tcMar>
              <w:top w:type="dxa" w:w="40"/>
              <w:left w:type="dxa" w:w="60"/>
              <w:bottom w:type="dxa" w:w="40"/>
              <w:right w:type="dxa" w:w="60"/>
            </w:tcMar>
          </w:tcPr>
          <w:p>
            <w:pPr>
              <w:jc w:val="center"/>
            </w:pPr>
            <w:r>
              <w:rPr>
                <w:b w:val="false"/>
                <w:bCs w:val="false"/>
                <w:sz w:val="18"/>
                <w:szCs w:val="18"/>
              </w:rPr>
              <w:t xml:space="preserve">20.0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CA</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ON (Toronto)</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2.07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0.46</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2.44</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2.07</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14.1</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11.0</w:t>
            </w:r>
          </w:p>
        </w:tc>
      </w:tr>
      <w:tr>
        <w:tc>
          <w:tcPr>
            <w:tcW w:type="dxa" w:w="520"/>
            <w:tcMar>
              <w:top w:type="dxa" w:w="40"/>
              <w:left w:type="dxa" w:w="60"/>
              <w:bottom w:type="dxa" w:w="40"/>
              <w:right w:type="dxa" w:w="60"/>
            </w:tcMar>
          </w:tcPr>
          <w:p>
            <w:pPr>
              <w:jc w:val="left"/>
            </w:pPr>
            <w:r>
              <w:rPr>
                <w:b w:val="false"/>
                <w:bCs w:val="false"/>
                <w:sz w:val="18"/>
                <w:szCs w:val="18"/>
              </w:rPr>
              <w:t xml:space="preserve">CA</w:t>
            </w:r>
          </w:p>
        </w:tc>
        <w:tc>
          <w:tcPr>
            <w:tcW w:type="dxa" w:w="1760"/>
            <w:tcMar>
              <w:top w:type="dxa" w:w="40"/>
              <w:left w:type="dxa" w:w="60"/>
              <w:bottom w:type="dxa" w:w="40"/>
              <w:right w:type="dxa" w:w="60"/>
            </w:tcMar>
          </w:tcPr>
          <w:p>
            <w:pPr>
              <w:jc w:val="left"/>
            </w:pPr>
            <w:r>
              <w:rPr>
                <w:b w:val="false"/>
                <w:bCs w:val="false"/>
                <w:sz w:val="18"/>
                <w:szCs w:val="18"/>
              </w:rPr>
              <w:t xml:space="preserve">AB (Calgary)</w:t>
            </w:r>
          </w:p>
        </w:tc>
        <w:tc>
          <w:tcPr>
            <w:tcW w:type="dxa" w:w="620"/>
            <w:tcMar>
              <w:top w:type="dxa" w:w="40"/>
              <w:left w:type="dxa" w:w="60"/>
              <w:bottom w:type="dxa" w:w="40"/>
              <w:right w:type="dxa" w:w="60"/>
            </w:tcMar>
          </w:tcPr>
          <w:p>
            <w:pPr>
              <w:jc w:val="center"/>
            </w:pPr>
            <w:r>
              <w:rPr>
                <w:b w:val="false"/>
                <w:bCs w:val="false"/>
                <w:sz w:val="18"/>
                <w:szCs w:val="18"/>
              </w:rPr>
              <w:t xml:space="preserve">1.96</w:t>
            </w:r>
          </w:p>
        </w:tc>
        <w:tc>
          <w:tcPr>
            <w:tcW w:type="dxa" w:w="720"/>
            <w:tcMar>
              <w:top w:type="dxa" w:w="40"/>
              <w:left w:type="dxa" w:w="60"/>
              <w:bottom w:type="dxa" w:w="40"/>
              <w:right w:type="dxa" w:w="60"/>
            </w:tcMar>
          </w:tcPr>
          <w:p>
            <w:pPr>
              <w:jc w:val="center"/>
            </w:pPr>
            <w:r>
              <w:rPr>
                <w:b w:val="false"/>
                <w:bCs w:val="false"/>
                <w:sz w:val="18"/>
                <w:szCs w:val="18"/>
              </w:rPr>
              <w:t xml:space="preserve">0.37</w:t>
            </w:r>
          </w:p>
        </w:tc>
        <w:tc>
          <w:tcPr>
            <w:tcW w:type="dxa" w:w="720"/>
            <w:tcMar>
              <w:top w:type="dxa" w:w="40"/>
              <w:left w:type="dxa" w:w="60"/>
              <w:bottom w:type="dxa" w:w="40"/>
              <w:right w:type="dxa" w:w="60"/>
            </w:tcMar>
          </w:tcPr>
          <w:p>
            <w:pPr>
              <w:jc w:val="center"/>
            </w:pPr>
            <w:r>
              <w:rPr>
                <w:b w:val="false"/>
                <w:bCs w:val="false"/>
                <w:sz w:val="18"/>
                <w:szCs w:val="18"/>
              </w:rPr>
              <w:t xml:space="preserve">2.47</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0.97</w:t>
            </w:r>
          </w:p>
        </w:tc>
        <w:tc>
          <w:tcPr>
            <w:tcW w:type="dxa" w:w="720"/>
            <w:tcMar>
              <w:top w:type="dxa" w:w="40"/>
              <w:left w:type="dxa" w:w="60"/>
              <w:bottom w:type="dxa" w:w="40"/>
              <w:right w:type="dxa" w:w="60"/>
            </w:tcMar>
          </w:tcPr>
          <w:p>
            <w:pPr>
              <w:jc w:val="center"/>
            </w:pPr>
            <w:r>
              <w:rPr>
                <w:b w:val="false"/>
                <w:bCs w:val="false"/>
                <w:sz w:val="18"/>
                <w:szCs w:val="18"/>
              </w:rPr>
              <w:t xml:space="preserve">1.99</w:t>
            </w:r>
          </w:p>
        </w:tc>
        <w:tc>
          <w:tcPr>
            <w:tcW w:type="dxa" w:w="760"/>
            <w:tcMar>
              <w:top w:type="dxa" w:w="40"/>
              <w:left w:type="dxa" w:w="60"/>
              <w:bottom w:type="dxa" w:w="40"/>
              <w:right w:type="dxa" w:w="60"/>
            </w:tcMar>
          </w:tcPr>
          <w:p>
            <w:pPr>
              <w:jc w:val="center"/>
            </w:pPr>
            <w:r>
              <w:rPr>
                <w:b w:val="false"/>
                <w:bCs w:val="false"/>
                <w:sz w:val="18"/>
                <w:szCs w:val="18"/>
              </w:rPr>
              <w:t xml:space="preserve">-13</w:t>
            </w:r>
          </w:p>
        </w:tc>
        <w:tc>
          <w:tcPr>
            <w:tcW w:type="dxa" w:w="720"/>
            <w:tcMar>
              <w:top w:type="dxa" w:w="40"/>
              <w:left w:type="dxa" w:w="60"/>
              <w:bottom w:type="dxa" w:w="40"/>
              <w:right w:type="dxa" w:w="60"/>
            </w:tcMar>
          </w:tcPr>
          <w:p>
            <w:pPr>
              <w:jc w:val="center"/>
            </w:pPr>
            <w:r>
              <w:rPr>
                <w:b w:val="false"/>
                <w:bCs w:val="false"/>
                <w:sz w:val="18"/>
                <w:szCs w:val="18"/>
              </w:rPr>
              <w:t xml:space="preserve">25.8</w:t>
            </w:r>
          </w:p>
        </w:tc>
        <w:tc>
          <w:tcPr>
            <w:tcW w:type="dxa" w:w="860"/>
            <w:tcMar>
              <w:top w:type="dxa" w:w="40"/>
              <w:left w:type="dxa" w:w="60"/>
              <w:bottom w:type="dxa" w:w="40"/>
              <w:right w:type="dxa" w:w="60"/>
            </w:tcMar>
          </w:tcPr>
          <w:p>
            <w:pPr>
              <w:jc w:val="center"/>
            </w:pPr>
            <w:r>
              <w:rPr>
                <w:b w:val="false"/>
                <w:bCs w:val="false"/>
                <w:sz w:val="18"/>
                <w:szCs w:val="18"/>
              </w:rPr>
              <w:t xml:space="preserve">9.0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CA</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PE (Charlottetown)</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1.93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1.95</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18.4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30.0</w:t>
            </w:r>
          </w:p>
        </w:tc>
      </w:tr>
      <w:tr>
        <w:tc>
          <w:tcPr>
            <w:tcW w:type="dxa" w:w="520"/>
            <w:tcMar>
              <w:top w:type="dxa" w:w="40"/>
              <w:left w:type="dxa" w:w="60"/>
              <w:bottom w:type="dxa" w:w="40"/>
              <w:right w:type="dxa" w:w="60"/>
            </w:tcMar>
          </w:tcPr>
          <w:p>
            <w:pPr>
              <w:jc w:val="left"/>
            </w:pPr>
            <w:r>
              <w:rPr>
                <w:b w:val="false"/>
                <w:bCs w:val="false"/>
                <w:sz w:val="18"/>
                <w:szCs w:val="18"/>
              </w:rPr>
              <w:t xml:space="preserve">CA</w:t>
            </w:r>
          </w:p>
        </w:tc>
        <w:tc>
          <w:tcPr>
            <w:tcW w:type="dxa" w:w="1760"/>
            <w:tcMar>
              <w:top w:type="dxa" w:w="40"/>
              <w:left w:type="dxa" w:w="60"/>
              <w:bottom w:type="dxa" w:w="40"/>
              <w:right w:type="dxa" w:w="60"/>
            </w:tcMar>
          </w:tcPr>
          <w:p>
            <w:pPr>
              <w:jc w:val="left"/>
            </w:pPr>
            <w:r>
              <w:rPr>
                <w:b w:val="false"/>
                <w:bCs w:val="false"/>
                <w:sz w:val="18"/>
                <w:szCs w:val="18"/>
              </w:rPr>
              <w:t xml:space="preserve">NB (Fredericton)</w:t>
            </w:r>
          </w:p>
        </w:tc>
        <w:tc>
          <w:tcPr>
            <w:tcW w:type="dxa" w:w="620"/>
            <w:tcMar>
              <w:top w:type="dxa" w:w="40"/>
              <w:left w:type="dxa" w:w="60"/>
              <w:bottom w:type="dxa" w:w="40"/>
              <w:right w:type="dxa" w:w="60"/>
            </w:tcMar>
          </w:tcPr>
          <w:p>
            <w:pPr>
              <w:jc w:val="center"/>
            </w:pPr>
            <w:r>
              <w:rPr>
                <w:b w:val="false"/>
                <w:bCs w:val="false"/>
                <w:sz w:val="18"/>
                <w:szCs w:val="18"/>
              </w:rPr>
              <w:t xml:space="preserve">1.85</w:t>
            </w:r>
          </w:p>
        </w:tc>
        <w:tc>
          <w:tcPr>
            <w:tcW w:type="dxa" w:w="720"/>
            <w:tcMar>
              <w:top w:type="dxa" w:w="40"/>
              <w:left w:type="dxa" w:w="60"/>
              <w:bottom w:type="dxa" w:w="40"/>
              <w:right w:type="dxa" w:w="60"/>
            </w:tcMar>
          </w:tcPr>
          <w:p>
            <w:pPr>
              <w:jc w:val="center"/>
            </w:pPr>
            <w:r>
              <w:rPr>
                <w:b w:val="false"/>
                <w:bCs w:val="false"/>
                <w:sz w:val="18"/>
                <w:szCs w:val="18"/>
              </w:rPr>
              <w:t xml:space="preserve">0.61</w:t>
            </w:r>
          </w:p>
        </w:tc>
        <w:tc>
          <w:tcPr>
            <w:tcW w:type="dxa" w:w="720"/>
            <w:tcMar>
              <w:top w:type="dxa" w:w="40"/>
              <w:left w:type="dxa" w:w="60"/>
              <w:bottom w:type="dxa" w:w="40"/>
              <w:right w:type="dxa" w:w="60"/>
            </w:tcMar>
          </w:tcPr>
          <w:p>
            <w:pPr>
              <w:jc w:val="center"/>
            </w:pPr>
            <w:r>
              <w:rPr>
                <w:b w:val="false"/>
                <w:bCs w:val="false"/>
                <w:sz w:val="18"/>
                <w:szCs w:val="18"/>
              </w:rPr>
              <w:t xml:space="preserve">2.13</w:t>
            </w:r>
          </w:p>
        </w:tc>
        <w:tc>
          <w:tcPr>
            <w:tcW w:type="dxa" w:w="760"/>
            <w:tcMar>
              <w:top w:type="dxa" w:w="40"/>
              <w:left w:type="dxa" w:w="60"/>
              <w:bottom w:type="dxa" w:w="40"/>
              <w:right w:type="dxa" w:w="60"/>
            </w:tcMar>
          </w:tcPr>
          <w:p>
            <w:pPr>
              <w:jc w:val="center"/>
            </w:pPr>
            <w:r>
              <w:rPr>
                <w:b w:val="false"/>
                <w:bCs w:val="false"/>
                <w:sz w:val="18"/>
                <w:szCs w:val="18"/>
              </w:rPr>
              <w:t xml:space="preserve">-6</w:t>
            </w:r>
          </w:p>
        </w:tc>
        <w:tc>
          <w:tcPr>
            <w:tcW w:type="dxa" w:w="720"/>
            <w:tcMar>
              <w:top w:type="dxa" w:w="40"/>
              <w:left w:type="dxa" w:w="60"/>
              <w:bottom w:type="dxa" w:w="40"/>
              <w:right w:type="dxa" w:w="60"/>
            </w:tcMar>
          </w:tcPr>
          <w:p>
            <w:pPr>
              <w:jc w:val="center"/>
            </w:pPr>
            <w:r>
              <w:rPr>
                <w:b w:val="false"/>
                <w:bCs w:val="false"/>
                <w:sz w:val="18"/>
                <w:szCs w:val="18"/>
              </w:rPr>
              <w:t xml:space="preserve">0.97</w:t>
            </w:r>
          </w:p>
        </w:tc>
        <w:tc>
          <w:tcPr>
            <w:tcW w:type="dxa" w:w="720"/>
            <w:tcMar>
              <w:top w:type="dxa" w:w="40"/>
              <w:left w:type="dxa" w:w="60"/>
              <w:bottom w:type="dxa" w:w="40"/>
              <w:right w:type="dxa" w:w="60"/>
            </w:tcMar>
          </w:tcPr>
          <w:p>
            <w:pPr>
              <w:jc w:val="center"/>
            </w:pPr>
            <w:r>
              <w:rPr>
                <w:b w:val="false"/>
                <w:bCs w:val="false"/>
                <w:sz w:val="18"/>
                <w:szCs w:val="18"/>
              </w:rPr>
              <w:t xml:space="preserve">1.90</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13.9</w:t>
            </w:r>
          </w:p>
        </w:tc>
        <w:tc>
          <w:tcPr>
            <w:tcW w:type="dxa" w:w="860"/>
            <w:tcMar>
              <w:top w:type="dxa" w:w="40"/>
              <w:left w:type="dxa" w:w="60"/>
              <w:bottom w:type="dxa" w:w="40"/>
              <w:right w:type="dxa" w:w="60"/>
            </w:tcMar>
          </w:tcPr>
          <w:p>
            <w:pPr>
              <w:jc w:val="center"/>
            </w:pPr>
            <w:r>
              <w:rPr>
                <w:b w:val="false"/>
                <w:bCs w:val="false"/>
                <w:sz w:val="18"/>
                <w:szCs w:val="18"/>
              </w:rPr>
              <w:t xml:space="preserve">20.0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CA</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QC (Montreal)</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1.85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1.89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1.89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7.8</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16.0</w:t>
            </w:r>
          </w:p>
        </w:tc>
      </w:tr>
      <w:tr>
        <w:tc>
          <w:tcPr>
            <w:tcW w:type="dxa" w:w="520"/>
            <w:tcMar>
              <w:top w:type="dxa" w:w="40"/>
              <w:left w:type="dxa" w:w="60"/>
              <w:bottom w:type="dxa" w:w="40"/>
              <w:right w:type="dxa" w:w="60"/>
            </w:tcMar>
          </w:tcPr>
          <w:p>
            <w:pPr>
              <w:jc w:val="left"/>
            </w:pPr>
            <w:r>
              <w:rPr>
                <w:b w:val="false"/>
                <w:bCs w:val="false"/>
                <w:sz w:val="18"/>
                <w:szCs w:val="18"/>
              </w:rPr>
              <w:t xml:space="preserve">CA</w:t>
            </w:r>
          </w:p>
        </w:tc>
        <w:tc>
          <w:tcPr>
            <w:tcW w:type="dxa" w:w="1760"/>
            <w:tcMar>
              <w:top w:type="dxa" w:w="40"/>
              <w:left w:type="dxa" w:w="60"/>
              <w:bottom w:type="dxa" w:w="40"/>
              <w:right w:type="dxa" w:w="60"/>
            </w:tcMar>
          </w:tcPr>
          <w:p>
            <w:pPr>
              <w:jc w:val="left"/>
            </w:pPr>
            <w:r>
              <w:rPr>
                <w:b w:val="false"/>
                <w:bCs w:val="false"/>
                <w:sz w:val="18"/>
                <w:szCs w:val="18"/>
              </w:rPr>
              <w:t xml:space="preserve">YT (Whitehorse)</w:t>
            </w:r>
          </w:p>
        </w:tc>
        <w:tc>
          <w:tcPr>
            <w:tcW w:type="dxa" w:w="620"/>
            <w:tcMar>
              <w:top w:type="dxa" w:w="40"/>
              <w:left w:type="dxa" w:w="60"/>
              <w:bottom w:type="dxa" w:w="40"/>
              <w:right w:type="dxa" w:w="60"/>
            </w:tcMar>
          </w:tcPr>
          <w:p>
            <w:pPr>
              <w:jc w:val="center"/>
            </w:pPr>
            <w:r>
              <w:rPr>
                <w:b w:val="false"/>
                <w:bCs w:val="false"/>
                <w:sz w:val="18"/>
                <w:szCs w:val="18"/>
              </w:rPr>
              <w:t xml:space="preserve">1.58</w:t>
            </w:r>
          </w:p>
        </w:tc>
        <w:tc>
          <w:tcPr>
            <w:tcW w:type="dxa" w:w="720"/>
            <w:tcMar>
              <w:top w:type="dxa" w:w="40"/>
              <w:left w:type="dxa" w:w="60"/>
              <w:bottom w:type="dxa" w:w="40"/>
              <w:right w:type="dxa" w:w="60"/>
            </w:tcMar>
          </w:tcPr>
          <w:p>
            <w:pPr>
              <w:jc w:val="center"/>
            </w:pPr>
            <w:r>
              <w:rPr>
                <w:b w:val="false"/>
                <w:bCs w:val="false"/>
                <w:sz w:val="18"/>
                <w:szCs w:val="18"/>
              </w:rPr>
              <w:t xml:space="preserve">0.59</w:t>
            </w:r>
          </w:p>
        </w:tc>
        <w:tc>
          <w:tcPr>
            <w:tcW w:type="dxa" w:w="720"/>
            <w:tcMar>
              <w:top w:type="dxa" w:w="40"/>
              <w:left w:type="dxa" w:w="60"/>
              <w:bottom w:type="dxa" w:w="40"/>
              <w:right w:type="dxa" w:w="60"/>
            </w:tcMar>
          </w:tcPr>
          <w:p>
            <w:pPr>
              <w:jc w:val="center"/>
            </w:pPr>
            <w:r>
              <w:rPr>
                <w:b w:val="false"/>
                <w:bCs w:val="false"/>
                <w:sz w:val="18"/>
                <w:szCs w:val="18"/>
              </w:rPr>
              <w:t xml:space="preserve">1.97</w:t>
            </w:r>
          </w:p>
        </w:tc>
        <w:tc>
          <w:tcPr>
            <w:tcW w:type="dxa" w:w="760"/>
            <w:tcMar>
              <w:top w:type="dxa" w:w="40"/>
              <w:left w:type="dxa" w:w="60"/>
              <w:bottom w:type="dxa" w:w="40"/>
              <w:right w:type="dxa" w:w="60"/>
            </w:tcMar>
          </w:tcPr>
          <w:p>
            <w:pPr>
              <w:jc w:val="center"/>
            </w:pPr>
            <w:r>
              <w:rPr>
                <w:b w:val="false"/>
                <w:bCs w:val="false"/>
                <w:sz w:val="18"/>
                <w:szCs w:val="18"/>
              </w:rPr>
              <w:t xml:space="preserve">-11</w:t>
            </w:r>
          </w:p>
        </w:tc>
        <w:tc>
          <w:tcPr>
            <w:tcW w:type="dxa" w:w="720"/>
            <w:tcMar>
              <w:top w:type="dxa" w:w="40"/>
              <w:left w:type="dxa" w:w="60"/>
              <w:bottom w:type="dxa" w:w="40"/>
              <w:right w:type="dxa" w:w="60"/>
            </w:tcMar>
          </w:tcPr>
          <w:p>
            <w:pPr>
              <w:jc w:val="center"/>
            </w:pPr>
            <w:r>
              <w:rPr>
                <w:b w:val="false"/>
                <w:bCs w:val="false"/>
                <w:sz w:val="18"/>
                <w:szCs w:val="18"/>
              </w:rPr>
              <w:t xml:space="preserve">0.80</w:t>
            </w:r>
          </w:p>
        </w:tc>
        <w:tc>
          <w:tcPr>
            <w:tcW w:type="dxa" w:w="720"/>
            <w:tcMar>
              <w:top w:type="dxa" w:w="40"/>
              <w:left w:type="dxa" w:w="60"/>
              <w:bottom w:type="dxa" w:w="40"/>
              <w:right w:type="dxa" w:w="60"/>
            </w:tcMar>
          </w:tcPr>
          <w:p>
            <w:pPr>
              <w:jc w:val="center"/>
            </w:pPr>
            <w:r>
              <w:rPr>
                <w:b w:val="false"/>
                <w:bCs w:val="false"/>
                <w:sz w:val="18"/>
                <w:szCs w:val="18"/>
              </w:rPr>
              <w:t xml:space="preserve">1.82</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18.7</w:t>
            </w:r>
          </w:p>
        </w:tc>
        <w:tc>
          <w:tcPr>
            <w:tcW w:type="dxa" w:w="860"/>
            <w:tcMar>
              <w:top w:type="dxa" w:w="40"/>
              <w:left w:type="dxa" w:w="60"/>
              <w:bottom w:type="dxa" w:w="40"/>
              <w:right w:type="dxa" w:w="60"/>
            </w:tcMar>
          </w:tcPr>
          <w:p>
            <w:pPr>
              <w:jc w:val="center"/>
            </w:pPr>
            <w:r>
              <w:rPr>
                <w:b w:val="false"/>
                <w:bCs w:val="false"/>
                <w:sz w:val="18"/>
                <w:szCs w:val="18"/>
              </w:rPr>
              <w:t xml:space="preserve">30.0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CA</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SK (Regina)</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1.55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0.19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2.48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0.78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1.80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19.9</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10.0</w:t>
            </w:r>
          </w:p>
        </w:tc>
      </w:tr>
      <w:tr>
        <w:tc>
          <w:tcPr>
            <w:tcW w:type="dxa" w:w="520"/>
            <w:tcMar>
              <w:top w:type="dxa" w:w="40"/>
              <w:left w:type="dxa" w:w="60"/>
              <w:bottom w:type="dxa" w:w="40"/>
              <w:right w:type="dxa" w:w="60"/>
            </w:tcMar>
          </w:tcPr>
          <w:p>
            <w:pPr>
              <w:jc w:val="left"/>
            </w:pPr>
            <w:r>
              <w:rPr>
                <w:b w:val="false"/>
                <w:bCs w:val="false"/>
                <w:sz w:val="18"/>
                <w:szCs w:val="18"/>
              </w:rPr>
              <w:t xml:space="preserve">CA</w:t>
            </w:r>
          </w:p>
        </w:tc>
        <w:tc>
          <w:tcPr>
            <w:tcW w:type="dxa" w:w="1760"/>
            <w:tcMar>
              <w:top w:type="dxa" w:w="40"/>
              <w:left w:type="dxa" w:w="60"/>
              <w:bottom w:type="dxa" w:w="40"/>
              <w:right w:type="dxa" w:w="60"/>
            </w:tcMar>
          </w:tcPr>
          <w:p>
            <w:pPr>
              <w:jc w:val="left"/>
            </w:pPr>
            <w:r>
              <w:rPr>
                <w:b w:val="false"/>
                <w:bCs w:val="false"/>
                <w:sz w:val="18"/>
                <w:szCs w:val="18"/>
              </w:rPr>
              <w:t xml:space="preserve">MB (Winnipeg)</w:t>
            </w:r>
          </w:p>
        </w:tc>
        <w:tc>
          <w:tcPr>
            <w:tcW w:type="dxa" w:w="620"/>
            <w:tcMar>
              <w:top w:type="dxa" w:w="40"/>
              <w:left w:type="dxa" w:w="60"/>
              <w:bottom w:type="dxa" w:w="40"/>
              <w:right w:type="dxa" w:w="60"/>
            </w:tcMar>
          </w:tcPr>
          <w:p>
            <w:pPr>
              <w:jc w:val="center"/>
            </w:pPr>
            <w:r>
              <w:rPr>
                <w:b w:val="false"/>
                <w:bCs w:val="false"/>
                <w:sz w:val="18"/>
                <w:szCs w:val="18"/>
              </w:rPr>
              <w:t xml:space="preserve">1.50</w:t>
            </w:r>
          </w:p>
        </w:tc>
        <w:tc>
          <w:tcPr>
            <w:tcW w:type="dxa" w:w="720"/>
            <w:tcMar>
              <w:top w:type="dxa" w:w="40"/>
              <w:left w:type="dxa" w:w="60"/>
              <w:bottom w:type="dxa" w:w="40"/>
              <w:right w:type="dxa" w:w="60"/>
            </w:tcMar>
          </w:tcPr>
          <w:p>
            <w:pPr>
              <w:jc w:val="center"/>
            </w:pPr>
            <w:r>
              <w:rPr>
                <w:b w:val="false"/>
                <w:bCs w:val="false"/>
                <w:sz w:val="18"/>
                <w:szCs w:val="18"/>
              </w:rPr>
              <w:t xml:space="preserve">0.18</w:t>
            </w:r>
          </w:p>
        </w:tc>
        <w:tc>
          <w:tcPr>
            <w:tcW w:type="dxa" w:w="720"/>
            <w:tcMar>
              <w:top w:type="dxa" w:w="40"/>
              <w:left w:type="dxa" w:w="60"/>
              <w:bottom w:type="dxa" w:w="40"/>
              <w:right w:type="dxa" w:w="60"/>
            </w:tcMar>
          </w:tcPr>
          <w:p>
            <w:pPr>
              <w:jc w:val="center"/>
            </w:pPr>
            <w:r>
              <w:rPr>
                <w:b w:val="false"/>
                <w:bCs w:val="false"/>
                <w:sz w:val="18"/>
                <w:szCs w:val="18"/>
              </w:rPr>
              <w:t xml:space="preserve">2.48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0.73</w:t>
            </w:r>
          </w:p>
        </w:tc>
        <w:tc>
          <w:tcPr>
            <w:tcW w:type="dxa" w:w="720"/>
            <w:tcMar>
              <w:top w:type="dxa" w:w="40"/>
              <w:left w:type="dxa" w:w="60"/>
              <w:bottom w:type="dxa" w:w="40"/>
              <w:right w:type="dxa" w:w="60"/>
            </w:tcMar>
          </w:tcPr>
          <w:p>
            <w:pPr>
              <w:jc w:val="center"/>
            </w:pPr>
            <w:r>
              <w:rPr>
                <w:b w:val="false"/>
                <w:bCs w:val="false"/>
                <w:sz w:val="18"/>
                <w:szCs w:val="18"/>
              </w:rPr>
              <w:t xml:space="preserve">1.79</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10.2</w:t>
            </w:r>
          </w:p>
        </w:tc>
        <w:tc>
          <w:tcPr>
            <w:tcW w:type="dxa" w:w="860"/>
            <w:tcMar>
              <w:top w:type="dxa" w:w="40"/>
              <w:left w:type="dxa" w:w="60"/>
              <w:bottom w:type="dxa" w:w="40"/>
              <w:right w:type="dxa" w:w="60"/>
            </w:tcMar>
          </w:tcPr>
          <w:p>
            <w:pPr>
              <w:jc w:val="center"/>
            </w:pPr>
            <w:r>
              <w:rPr>
                <w:b w:val="false"/>
                <w:bCs w:val="false"/>
                <w:sz w:val="18"/>
                <w:szCs w:val="18"/>
              </w:rPr>
              <w:t xml:space="preserve">9.5</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CA</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NT (Yellowknife)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1.25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0.14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2.50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0.14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2.50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41.0</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30.0</w:t>
            </w:r>
          </w:p>
        </w:tc>
      </w:tr>
      <w:tr>
        <w:tc>
          <w:tcPr>
            <w:tcW w:type="dxa" w:w="520"/>
            <w:tcMar>
              <w:top w:type="dxa" w:w="40"/>
              <w:left w:type="dxa" w:w="60"/>
              <w:bottom w:type="dxa" w:w="40"/>
              <w:right w:type="dxa" w:w="60"/>
            </w:tcMar>
          </w:tcPr>
          <w:p>
            <w:pPr>
              <w:jc w:val="left"/>
            </w:pPr>
            <w:r>
              <w:rPr>
                <w:b w:val="false"/>
                <w:bCs w:val="false"/>
                <w:sz w:val="18"/>
                <w:szCs w:val="18"/>
              </w:rPr>
              <w:t xml:space="preserve">CA</w:t>
            </w:r>
          </w:p>
        </w:tc>
        <w:tc>
          <w:tcPr>
            <w:tcW w:type="dxa" w:w="1760"/>
            <w:tcMar>
              <w:top w:type="dxa" w:w="40"/>
              <w:left w:type="dxa" w:w="60"/>
              <w:bottom w:type="dxa" w:w="40"/>
              <w:right w:type="dxa" w:w="60"/>
            </w:tcMar>
          </w:tcPr>
          <w:p>
            <w:pPr>
              <w:jc w:val="left"/>
            </w:pPr>
            <w:r>
              <w:rPr>
                <w:b w:val="false"/>
                <w:bCs w:val="false"/>
                <w:sz w:val="18"/>
                <w:szCs w:val="18"/>
              </w:rPr>
              <w:t xml:space="preserve">NU (Iqaluit)</w:t>
            </w:r>
          </w:p>
        </w:tc>
        <w:tc>
          <w:tcPr>
            <w:tcW w:type="dxa" w:w="620"/>
            <w:tcMar>
              <w:top w:type="dxa" w:w="40"/>
              <w:left w:type="dxa" w:w="60"/>
              <w:bottom w:type="dxa" w:w="40"/>
              <w:right w:type="dxa" w:w="60"/>
            </w:tcMar>
          </w:tcPr>
          <w:p>
            <w:pPr>
              <w:jc w:val="center"/>
            </w:pPr>
            <w:r>
              <w:rPr>
                <w:b w:val="false"/>
                <w:bCs w:val="false"/>
                <w:sz w:val="18"/>
                <w:szCs w:val="18"/>
              </w:rPr>
              <w:t xml:space="preserve">1.23</w:t>
            </w:r>
          </w:p>
        </w:tc>
        <w:tc>
          <w:tcPr>
            <w:tcW w:type="dxa" w:w="720"/>
            <w:tcMar>
              <w:top w:type="dxa" w:w="40"/>
              <w:left w:type="dxa" w:w="60"/>
              <w:bottom w:type="dxa" w:w="40"/>
              <w:right w:type="dxa" w:w="60"/>
            </w:tcMar>
          </w:tcPr>
          <w:p>
            <w:pPr>
              <w:jc w:val="center"/>
            </w:pPr>
            <w:r>
              <w:rPr>
                <w:b w:val="false"/>
                <w:bCs w:val="false"/>
                <w:sz w:val="18"/>
                <w:szCs w:val="18"/>
              </w:rPr>
              <w:t xml:space="preserve">0.13</w:t>
            </w:r>
          </w:p>
        </w:tc>
        <w:tc>
          <w:tcPr>
            <w:tcW w:type="dxa" w:w="720"/>
            <w:tcMar>
              <w:top w:type="dxa" w:w="40"/>
              <w:left w:type="dxa" w:w="60"/>
              <w:bottom w:type="dxa" w:w="40"/>
              <w:right w:type="dxa" w:w="60"/>
            </w:tcMar>
          </w:tcPr>
          <w:p>
            <w:pPr>
              <w:jc w:val="center"/>
            </w:pPr>
            <w:r>
              <w:rPr>
                <w:b w:val="false"/>
                <w:bCs w:val="false"/>
                <w:sz w:val="18"/>
                <w:szCs w:val="18"/>
              </w:rPr>
              <w:t xml:space="preserve">2.40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0.14</w:t>
            </w:r>
          </w:p>
        </w:tc>
        <w:tc>
          <w:tcPr>
            <w:tcW w:type="dxa" w:w="720"/>
            <w:tcMar>
              <w:top w:type="dxa" w:w="40"/>
              <w:left w:type="dxa" w:w="60"/>
              <w:bottom w:type="dxa" w:w="40"/>
              <w:right w:type="dxa" w:w="60"/>
            </w:tcMar>
          </w:tcPr>
          <w:p>
            <w:pPr>
              <w:jc w:val="center"/>
            </w:pPr>
            <w:r>
              <w:rPr>
                <w:b w:val="false"/>
                <w:bCs w:val="false"/>
                <w:sz w:val="18"/>
                <w:szCs w:val="18"/>
              </w:rPr>
              <w:t xml:space="preserve">2.38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35.4</w:t>
            </w:r>
          </w:p>
        </w:tc>
        <w:tc>
          <w:tcPr>
            <w:tcW w:type="dxa" w:w="860"/>
            <w:tcMar>
              <w:top w:type="dxa" w:w="40"/>
              <w:left w:type="dxa" w:w="60"/>
              <w:bottom w:type="dxa" w:w="40"/>
              <w:right w:type="dxa" w:w="60"/>
            </w:tcMar>
          </w:tcPr>
          <w:p>
            <w:pPr>
              <w:jc w:val="center"/>
            </w:pPr>
            <w:r>
              <w:rPr>
                <w:b w:val="false"/>
                <w:bCs w:val="false"/>
                <w:sz w:val="18"/>
                <w:szCs w:val="18"/>
              </w:rPr>
              <w:t xml:space="preserve">30.0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PR (San Juan)</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2.75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2.75</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2.75</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25.0</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40.0</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VI (St. Thomas)</w:t>
            </w:r>
          </w:p>
        </w:tc>
        <w:tc>
          <w:tcPr>
            <w:tcW w:type="dxa" w:w="620"/>
            <w:tcMar>
              <w:top w:type="dxa" w:w="40"/>
              <w:left w:type="dxa" w:w="60"/>
              <w:bottom w:type="dxa" w:w="40"/>
              <w:right w:type="dxa" w:w="60"/>
            </w:tcMar>
          </w:tcPr>
          <w:p>
            <w:pPr>
              <w:jc w:val="center"/>
            </w:pPr>
            <w:r>
              <w:rPr>
                <w:b w:val="false"/>
                <w:bCs w:val="false"/>
                <w:sz w:val="18"/>
                <w:szCs w:val="18"/>
              </w:rPr>
              <w:t xml:space="preserve">2.75</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2.75</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2.75</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45.0</w:t>
            </w:r>
          </w:p>
        </w:tc>
        <w:tc>
          <w:tcPr>
            <w:tcW w:type="dxa" w:w="860"/>
            <w:tcMar>
              <w:top w:type="dxa" w:w="40"/>
              <w:left w:type="dxa" w:w="60"/>
              <w:bottom w:type="dxa" w:w="40"/>
              <w:right w:type="dxa" w:w="60"/>
            </w:tcMar>
          </w:tcPr>
          <w:p>
            <w:pPr>
              <w:jc w:val="center"/>
            </w:pPr>
            <w:r>
              <w:rPr>
                <w:b w:val="false"/>
                <w:bCs w:val="false"/>
                <w:sz w:val="18"/>
                <w:szCs w:val="18"/>
              </w:rPr>
              <w:t xml:space="preserve">40.0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HI (Honolulu)</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2.73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2.73</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2.73</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46.6</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56.2</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FL (Miami)</w:t>
            </w:r>
          </w:p>
        </w:tc>
        <w:tc>
          <w:tcPr>
            <w:tcW w:type="dxa" w:w="620"/>
            <w:tcMar>
              <w:top w:type="dxa" w:w="40"/>
              <w:left w:type="dxa" w:w="60"/>
              <w:bottom w:type="dxa" w:w="40"/>
              <w:right w:type="dxa" w:w="60"/>
            </w:tcMar>
          </w:tcPr>
          <w:p>
            <w:pPr>
              <w:jc w:val="center"/>
            </w:pPr>
            <w:r>
              <w:rPr>
                <w:b w:val="false"/>
                <w:bCs w:val="false"/>
                <w:sz w:val="18"/>
                <w:szCs w:val="18"/>
              </w:rPr>
              <w:t xml:space="preserve">2.67</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2.67</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2.67</w:t>
            </w:r>
          </w:p>
        </w:tc>
        <w:tc>
          <w:tcPr>
            <w:tcW w:type="dxa" w:w="760"/>
            <w:tcMar>
              <w:top w:type="dxa" w:w="40"/>
              <w:left w:type="dxa" w:w="60"/>
              <w:bottom w:type="dxa" w:w="40"/>
              <w:right w:type="dxa" w:w="60"/>
            </w:tcMar>
          </w:tcPr>
          <w:p>
            <w:pPr>
              <w:jc w:val="center"/>
            </w:pPr>
            <w:r>
              <w:rPr>
                <w:b w:val="false"/>
                <w:bCs w:val="false"/>
                <w:sz w:val="18"/>
                <w:szCs w:val="18"/>
              </w:rPr>
              <w:t xml:space="preserve">-13</w:t>
            </w:r>
          </w:p>
        </w:tc>
        <w:tc>
          <w:tcPr>
            <w:tcW w:type="dxa" w:w="720"/>
            <w:tcMar>
              <w:top w:type="dxa" w:w="40"/>
              <w:left w:type="dxa" w:w="60"/>
              <w:bottom w:type="dxa" w:w="40"/>
              <w:right w:type="dxa" w:w="60"/>
            </w:tcMar>
          </w:tcPr>
          <w:p>
            <w:pPr>
              <w:jc w:val="center"/>
            </w:pPr>
            <w:r>
              <w:rPr>
                <w:b w:val="false"/>
                <w:bCs w:val="false"/>
                <w:sz w:val="18"/>
                <w:szCs w:val="18"/>
              </w:rPr>
              <w:t xml:space="preserve">15.4</w:t>
            </w:r>
          </w:p>
        </w:tc>
        <w:tc>
          <w:tcPr>
            <w:tcW w:type="dxa" w:w="860"/>
            <w:tcMar>
              <w:top w:type="dxa" w:w="40"/>
              <w:left w:type="dxa" w:w="60"/>
              <w:bottom w:type="dxa" w:w="40"/>
              <w:right w:type="dxa" w:w="60"/>
            </w:tcMar>
          </w:tcPr>
          <w:p>
            <w:pPr>
              <w:jc w:val="center"/>
            </w:pPr>
            <w:r>
              <w:rPr>
                <w:b w:val="false"/>
                <w:bCs w:val="false"/>
                <w:sz w:val="18"/>
                <w:szCs w:val="18"/>
              </w:rPr>
              <w:t xml:space="preserve">20.3</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CA (Los Angeles)</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2.49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2.49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2.49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35.3</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19.1</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AZ (Phoenix)</w:t>
            </w:r>
          </w:p>
        </w:tc>
        <w:tc>
          <w:tcPr>
            <w:tcW w:type="dxa" w:w="620"/>
            <w:tcMar>
              <w:top w:type="dxa" w:w="40"/>
              <w:left w:type="dxa" w:w="60"/>
              <w:bottom w:type="dxa" w:w="40"/>
              <w:right w:type="dxa" w:w="60"/>
            </w:tcMar>
          </w:tcPr>
          <w:p>
            <w:pPr>
              <w:jc w:val="center"/>
            </w:pPr>
            <w:r>
              <w:rPr>
                <w:b w:val="false"/>
                <w:bCs w:val="false"/>
                <w:sz w:val="18"/>
                <w:szCs w:val="18"/>
              </w:rPr>
              <w:t xml:space="preserve">2.45</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2.45</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2.45</w:t>
            </w:r>
          </w:p>
        </w:tc>
        <w:tc>
          <w:tcPr>
            <w:tcW w:type="dxa" w:w="760"/>
            <w:tcMar>
              <w:top w:type="dxa" w:w="40"/>
              <w:left w:type="dxa" w:w="60"/>
              <w:bottom w:type="dxa" w:w="40"/>
              <w:right w:type="dxa" w:w="60"/>
            </w:tcMar>
          </w:tcPr>
          <w:p>
            <w:pPr>
              <w:jc w:val="center"/>
            </w:pPr>
            <w:r>
              <w:rPr>
                <w:b w:val="false"/>
                <w:bCs w:val="false"/>
                <w:sz w:val="18"/>
                <w:szCs w:val="18"/>
              </w:rPr>
              <w:t xml:space="preserve">-13</w:t>
            </w:r>
          </w:p>
        </w:tc>
        <w:tc>
          <w:tcPr>
            <w:tcW w:type="dxa" w:w="720"/>
            <w:tcMar>
              <w:top w:type="dxa" w:w="40"/>
              <w:left w:type="dxa" w:w="60"/>
              <w:bottom w:type="dxa" w:w="40"/>
              <w:right w:type="dxa" w:w="60"/>
            </w:tcMar>
          </w:tcPr>
          <w:p>
            <w:pPr>
              <w:jc w:val="center"/>
            </w:pPr>
            <w:r>
              <w:rPr>
                <w:b w:val="false"/>
                <w:bCs w:val="false"/>
                <w:sz w:val="18"/>
                <w:szCs w:val="18"/>
              </w:rPr>
              <w:t xml:space="preserve">15.5</w:t>
            </w:r>
          </w:p>
        </w:tc>
        <w:tc>
          <w:tcPr>
            <w:tcW w:type="dxa" w:w="860"/>
            <w:tcMar>
              <w:top w:type="dxa" w:w="40"/>
              <w:left w:type="dxa" w:w="60"/>
              <w:bottom w:type="dxa" w:w="40"/>
              <w:right w:type="dxa" w:w="60"/>
            </w:tcMar>
          </w:tcPr>
          <w:p>
            <w:pPr>
              <w:jc w:val="center"/>
            </w:pPr>
            <w:r>
              <w:rPr>
                <w:b w:val="false"/>
                <w:bCs w:val="false"/>
                <w:sz w:val="18"/>
                <w:szCs w:val="18"/>
              </w:rPr>
              <w:t xml:space="preserve">18.2</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LA (New Orleans)</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2.41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2.42</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2.41</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14.4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12.9</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SC (Charleston)</w:t>
            </w:r>
          </w:p>
        </w:tc>
        <w:tc>
          <w:tcPr>
            <w:tcW w:type="dxa" w:w="620"/>
            <w:tcMar>
              <w:top w:type="dxa" w:w="40"/>
              <w:left w:type="dxa" w:w="60"/>
              <w:bottom w:type="dxa" w:w="40"/>
              <w:right w:type="dxa" w:w="60"/>
            </w:tcMar>
          </w:tcPr>
          <w:p>
            <w:pPr>
              <w:jc w:val="center"/>
            </w:pPr>
            <w:r>
              <w:rPr>
                <w:b w:val="false"/>
                <w:bCs w:val="false"/>
                <w:sz w:val="18"/>
                <w:szCs w:val="18"/>
              </w:rPr>
              <w:t xml:space="preserve">2.29</w:t>
            </w:r>
          </w:p>
        </w:tc>
        <w:tc>
          <w:tcPr>
            <w:tcW w:type="dxa" w:w="720"/>
            <w:tcMar>
              <w:top w:type="dxa" w:w="40"/>
              <w:left w:type="dxa" w:w="60"/>
              <w:bottom w:type="dxa" w:w="40"/>
              <w:right w:type="dxa" w:w="60"/>
            </w:tcMar>
          </w:tcPr>
          <w:p>
            <w:pPr>
              <w:jc w:val="center"/>
            </w:pPr>
            <w:r>
              <w:rPr>
                <w:b w:val="false"/>
                <w:bCs w:val="false"/>
                <w:sz w:val="18"/>
                <w:szCs w:val="18"/>
              </w:rPr>
              <w:t xml:space="preserve">0.99</w:t>
            </w:r>
          </w:p>
        </w:tc>
        <w:tc>
          <w:tcPr>
            <w:tcW w:type="dxa" w:w="720"/>
            <w:tcMar>
              <w:top w:type="dxa" w:w="40"/>
              <w:left w:type="dxa" w:w="60"/>
              <w:bottom w:type="dxa" w:w="40"/>
              <w:right w:type="dxa" w:w="60"/>
            </w:tcMar>
          </w:tcPr>
          <w:p>
            <w:pPr>
              <w:jc w:val="center"/>
            </w:pPr>
            <w:r>
              <w:rPr>
                <w:b w:val="false"/>
                <w:bCs w:val="false"/>
                <w:sz w:val="18"/>
                <w:szCs w:val="18"/>
              </w:rPr>
              <w:t xml:space="preserve">2.30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2.29</w:t>
            </w:r>
          </w:p>
        </w:tc>
        <w:tc>
          <w:tcPr>
            <w:tcW w:type="dxa" w:w="760"/>
            <w:tcMar>
              <w:top w:type="dxa" w:w="40"/>
              <w:left w:type="dxa" w:w="60"/>
              <w:bottom w:type="dxa" w:w="40"/>
              <w:right w:type="dxa" w:w="60"/>
            </w:tcMar>
          </w:tcPr>
          <w:p>
            <w:pPr>
              <w:jc w:val="center"/>
            </w:pPr>
            <w:r>
              <w:rPr>
                <w:b w:val="false"/>
                <w:bCs w:val="false"/>
                <w:sz w:val="18"/>
                <w:szCs w:val="18"/>
              </w:rPr>
              <w:t xml:space="preserve">-9</w:t>
            </w:r>
          </w:p>
        </w:tc>
        <w:tc>
          <w:tcPr>
            <w:tcW w:type="dxa" w:w="720"/>
            <w:tcMar>
              <w:top w:type="dxa" w:w="40"/>
              <w:left w:type="dxa" w:w="60"/>
              <w:bottom w:type="dxa" w:w="40"/>
              <w:right w:type="dxa" w:w="60"/>
            </w:tcMar>
          </w:tcPr>
          <w:p>
            <w:pPr>
              <w:jc w:val="center"/>
            </w:pPr>
            <w:r>
              <w:rPr>
                <w:b w:val="false"/>
                <w:bCs w:val="false"/>
                <w:sz w:val="18"/>
                <w:szCs w:val="18"/>
              </w:rPr>
              <w:t xml:space="preserve">17.1</w:t>
            </w:r>
          </w:p>
        </w:tc>
        <w:tc>
          <w:tcPr>
            <w:tcW w:type="dxa" w:w="860"/>
            <w:tcMar>
              <w:top w:type="dxa" w:w="40"/>
              <w:left w:type="dxa" w:w="60"/>
              <w:bottom w:type="dxa" w:w="40"/>
              <w:right w:type="dxa" w:w="60"/>
            </w:tcMar>
          </w:tcPr>
          <w:p>
            <w:pPr>
              <w:jc w:val="center"/>
            </w:pPr>
            <w:r>
              <w:rPr>
                <w:b w:val="false"/>
                <w:bCs w:val="false"/>
                <w:sz w:val="18"/>
                <w:szCs w:val="18"/>
              </w:rPr>
              <w:t xml:space="preserve">16.6</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MS (Jackson)</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2.25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2.27</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2.25</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16.8</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17.1</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TX (Dallas)</w:t>
            </w:r>
          </w:p>
        </w:tc>
        <w:tc>
          <w:tcPr>
            <w:tcW w:type="dxa" w:w="620"/>
            <w:tcMar>
              <w:top w:type="dxa" w:w="40"/>
              <w:left w:type="dxa" w:w="60"/>
              <w:bottom w:type="dxa" w:w="40"/>
              <w:right w:type="dxa" w:w="60"/>
            </w:tcMar>
          </w:tcPr>
          <w:p>
            <w:pPr>
              <w:jc w:val="center"/>
            </w:pPr>
            <w:r>
              <w:rPr>
                <w:b w:val="false"/>
                <w:bCs w:val="false"/>
                <w:sz w:val="18"/>
                <w:szCs w:val="18"/>
              </w:rPr>
              <w:t xml:space="preserve">2.25</w:t>
            </w:r>
          </w:p>
        </w:tc>
        <w:tc>
          <w:tcPr>
            <w:tcW w:type="dxa" w:w="720"/>
            <w:tcMar>
              <w:top w:type="dxa" w:w="40"/>
              <w:left w:type="dxa" w:w="60"/>
              <w:bottom w:type="dxa" w:w="40"/>
              <w:right w:type="dxa" w:w="60"/>
            </w:tcMar>
          </w:tcPr>
          <w:p>
            <w:pPr>
              <w:jc w:val="center"/>
            </w:pPr>
            <w:r>
              <w:rPr>
                <w:b w:val="false"/>
                <w:bCs w:val="false"/>
                <w:sz w:val="18"/>
                <w:szCs w:val="18"/>
              </w:rPr>
              <w:t xml:space="preserve">0.98</w:t>
            </w:r>
          </w:p>
        </w:tc>
        <w:tc>
          <w:tcPr>
            <w:tcW w:type="dxa" w:w="720"/>
            <w:tcMar>
              <w:top w:type="dxa" w:w="40"/>
              <w:left w:type="dxa" w:w="60"/>
              <w:bottom w:type="dxa" w:w="40"/>
              <w:right w:type="dxa" w:w="60"/>
            </w:tcMar>
          </w:tcPr>
          <w:p>
            <w:pPr>
              <w:jc w:val="center"/>
            </w:pPr>
            <w:r>
              <w:rPr>
                <w:b w:val="false"/>
                <w:bCs w:val="false"/>
                <w:sz w:val="18"/>
                <w:szCs w:val="18"/>
              </w:rPr>
              <w:t xml:space="preserve">2.26</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2.25</w:t>
            </w:r>
          </w:p>
        </w:tc>
        <w:tc>
          <w:tcPr>
            <w:tcW w:type="dxa" w:w="760"/>
            <w:tcMar>
              <w:top w:type="dxa" w:w="40"/>
              <w:left w:type="dxa" w:w="60"/>
              <w:bottom w:type="dxa" w:w="40"/>
              <w:right w:type="dxa" w:w="60"/>
            </w:tcMar>
          </w:tcPr>
          <w:p>
            <w:pPr>
              <w:jc w:val="center"/>
            </w:pPr>
            <w:r>
              <w:rPr>
                <w:b w:val="false"/>
                <w:bCs w:val="false"/>
                <w:sz w:val="18"/>
                <w:szCs w:val="18"/>
              </w:rPr>
              <w:t xml:space="preserve">-9</w:t>
            </w:r>
          </w:p>
        </w:tc>
        <w:tc>
          <w:tcPr>
            <w:tcW w:type="dxa" w:w="720"/>
            <w:tcMar>
              <w:top w:type="dxa" w:w="40"/>
              <w:left w:type="dxa" w:w="60"/>
              <w:bottom w:type="dxa" w:w="40"/>
              <w:right w:type="dxa" w:w="60"/>
            </w:tcMar>
          </w:tcPr>
          <w:p>
            <w:pPr>
              <w:jc w:val="center"/>
            </w:pPr>
            <w:r>
              <w:rPr>
                <w:b w:val="false"/>
                <w:bCs w:val="false"/>
                <w:sz w:val="18"/>
                <w:szCs w:val="18"/>
              </w:rPr>
              <w:t xml:space="preserve">17.0</w:t>
            </w:r>
          </w:p>
        </w:tc>
        <w:tc>
          <w:tcPr>
            <w:tcW w:type="dxa" w:w="860"/>
            <w:tcMar>
              <w:top w:type="dxa" w:w="40"/>
              <w:left w:type="dxa" w:w="60"/>
              <w:bottom w:type="dxa" w:w="40"/>
              <w:right w:type="dxa" w:w="60"/>
            </w:tcMar>
          </w:tcPr>
          <w:p>
            <w:pPr>
              <w:jc w:val="center"/>
            </w:pPr>
            <w:r>
              <w:rPr>
                <w:b w:val="false"/>
                <w:bCs w:val="false"/>
                <w:sz w:val="18"/>
                <w:szCs w:val="18"/>
              </w:rPr>
              <w:t xml:space="preserve">22.7</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NV (Las Vegas)</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2.25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2.26</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2.25</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14.3</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9.3</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AL (Birmingham)</w:t>
            </w:r>
          </w:p>
        </w:tc>
        <w:tc>
          <w:tcPr>
            <w:tcW w:type="dxa" w:w="620"/>
            <w:tcMar>
              <w:top w:type="dxa" w:w="40"/>
              <w:left w:type="dxa" w:w="60"/>
              <w:bottom w:type="dxa" w:w="40"/>
              <w:right w:type="dxa" w:w="60"/>
            </w:tcMar>
          </w:tcPr>
          <w:p>
            <w:pPr>
              <w:jc w:val="center"/>
            </w:pPr>
            <w:r>
              <w:rPr>
                <w:b w:val="false"/>
                <w:bCs w:val="false"/>
                <w:sz w:val="18"/>
                <w:szCs w:val="18"/>
              </w:rPr>
              <w:t xml:space="preserve">2.21</w:t>
            </w:r>
          </w:p>
        </w:tc>
        <w:tc>
          <w:tcPr>
            <w:tcW w:type="dxa" w:w="720"/>
            <w:tcMar>
              <w:top w:type="dxa" w:w="40"/>
              <w:left w:type="dxa" w:w="60"/>
              <w:bottom w:type="dxa" w:w="40"/>
              <w:right w:type="dxa" w:w="60"/>
            </w:tcMar>
          </w:tcPr>
          <w:p>
            <w:pPr>
              <w:jc w:val="center"/>
            </w:pPr>
            <w:r>
              <w:rPr>
                <w:b w:val="false"/>
                <w:bCs w:val="false"/>
                <w:sz w:val="18"/>
                <w:szCs w:val="18"/>
              </w:rPr>
              <w:t xml:space="preserve">0.96</w:t>
            </w:r>
          </w:p>
        </w:tc>
        <w:tc>
          <w:tcPr>
            <w:tcW w:type="dxa" w:w="720"/>
            <w:tcMar>
              <w:top w:type="dxa" w:w="40"/>
              <w:left w:type="dxa" w:w="60"/>
              <w:bottom w:type="dxa" w:w="40"/>
              <w:right w:type="dxa" w:w="60"/>
            </w:tcMar>
          </w:tcPr>
          <w:p>
            <w:pPr>
              <w:jc w:val="center"/>
            </w:pPr>
            <w:r>
              <w:rPr>
                <w:b w:val="false"/>
                <w:bCs w:val="false"/>
                <w:sz w:val="18"/>
                <w:szCs w:val="18"/>
              </w:rPr>
              <w:t xml:space="preserve">2.23</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2.21</w:t>
            </w:r>
          </w:p>
        </w:tc>
        <w:tc>
          <w:tcPr>
            <w:tcW w:type="dxa" w:w="760"/>
            <w:tcMar>
              <w:top w:type="dxa" w:w="40"/>
              <w:left w:type="dxa" w:w="60"/>
              <w:bottom w:type="dxa" w:w="40"/>
              <w:right w:type="dxa" w:w="60"/>
            </w:tcMar>
          </w:tcPr>
          <w:p>
            <w:pPr>
              <w:jc w:val="center"/>
            </w:pPr>
            <w:r>
              <w:rPr>
                <w:b w:val="false"/>
                <w:bCs w:val="false"/>
                <w:sz w:val="18"/>
                <w:szCs w:val="18"/>
              </w:rPr>
              <w:t xml:space="preserve">-8</w:t>
            </w:r>
          </w:p>
        </w:tc>
        <w:tc>
          <w:tcPr>
            <w:tcW w:type="dxa" w:w="720"/>
            <w:tcMar>
              <w:top w:type="dxa" w:w="40"/>
              <w:left w:type="dxa" w:w="60"/>
              <w:bottom w:type="dxa" w:w="40"/>
              <w:right w:type="dxa" w:w="60"/>
            </w:tcMar>
          </w:tcPr>
          <w:p>
            <w:pPr>
              <w:jc w:val="center"/>
            </w:pPr>
            <w:r>
              <w:rPr>
                <w:b w:val="false"/>
                <w:bCs w:val="false"/>
                <w:sz w:val="18"/>
                <w:szCs w:val="18"/>
              </w:rPr>
              <w:t xml:space="preserve">17.4</w:t>
            </w:r>
          </w:p>
        </w:tc>
        <w:tc>
          <w:tcPr>
            <w:tcW w:type="dxa" w:w="860"/>
            <w:tcMar>
              <w:top w:type="dxa" w:w="40"/>
              <w:left w:type="dxa" w:w="60"/>
              <w:bottom w:type="dxa" w:w="40"/>
              <w:right w:type="dxa" w:w="60"/>
            </w:tcMar>
          </w:tcPr>
          <w:p>
            <w:pPr>
              <w:jc w:val="center"/>
            </w:pPr>
            <w:r>
              <w:rPr>
                <w:b w:val="false"/>
                <w:bCs w:val="false"/>
                <w:sz w:val="18"/>
                <w:szCs w:val="18"/>
              </w:rPr>
              <w:t xml:space="preserve">16.5</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GA (Atlanta)</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2.21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0.96</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2.23</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2.21</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15.4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17.0</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WA (Seattle)</w:t>
            </w:r>
          </w:p>
        </w:tc>
        <w:tc>
          <w:tcPr>
            <w:tcW w:type="dxa" w:w="620"/>
            <w:tcMar>
              <w:top w:type="dxa" w:w="40"/>
              <w:left w:type="dxa" w:w="60"/>
              <w:bottom w:type="dxa" w:w="40"/>
              <w:right w:type="dxa" w:w="60"/>
            </w:tcMar>
          </w:tcPr>
          <w:p>
            <w:pPr>
              <w:jc w:val="center"/>
            </w:pPr>
            <w:r>
              <w:rPr>
                <w:b w:val="false"/>
                <w:bCs w:val="false"/>
                <w:sz w:val="18"/>
                <w:szCs w:val="18"/>
              </w:rPr>
              <w:t xml:space="preserve">2.14</w:t>
            </w:r>
          </w:p>
        </w:tc>
        <w:tc>
          <w:tcPr>
            <w:tcW w:type="dxa" w:w="720"/>
            <w:tcMar>
              <w:top w:type="dxa" w:w="40"/>
              <w:left w:type="dxa" w:w="60"/>
              <w:bottom w:type="dxa" w:w="40"/>
              <w:right w:type="dxa" w:w="60"/>
            </w:tcMar>
          </w:tcPr>
          <w:p>
            <w:pPr>
              <w:jc w:val="center"/>
            </w:pPr>
            <w:r>
              <w:rPr>
                <w:b w:val="false"/>
                <w:bCs w:val="false"/>
                <w:sz w:val="18"/>
                <w:szCs w:val="18"/>
              </w:rPr>
              <w:t xml:space="preserve">0.92</w:t>
            </w:r>
          </w:p>
        </w:tc>
        <w:tc>
          <w:tcPr>
            <w:tcW w:type="dxa" w:w="720"/>
            <w:tcMar>
              <w:top w:type="dxa" w:w="40"/>
              <w:left w:type="dxa" w:w="60"/>
              <w:bottom w:type="dxa" w:w="40"/>
              <w:right w:type="dxa" w:w="60"/>
            </w:tcMar>
          </w:tcPr>
          <w:p>
            <w:pPr>
              <w:jc w:val="center"/>
            </w:pPr>
            <w:r>
              <w:rPr>
                <w:b w:val="false"/>
                <w:bCs w:val="false"/>
                <w:sz w:val="18"/>
                <w:szCs w:val="18"/>
              </w:rPr>
              <w:t xml:space="preserve">2.19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2.14</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14.4</w:t>
            </w:r>
          </w:p>
        </w:tc>
        <w:tc>
          <w:tcPr>
            <w:tcW w:type="dxa" w:w="860"/>
            <w:tcMar>
              <w:top w:type="dxa" w:w="40"/>
              <w:left w:type="dxa" w:w="60"/>
              <w:bottom w:type="dxa" w:w="40"/>
              <w:right w:type="dxa" w:w="60"/>
            </w:tcMar>
          </w:tcPr>
          <w:p>
            <w:pPr>
              <w:jc w:val="center"/>
            </w:pPr>
            <w:r>
              <w:rPr>
                <w:b w:val="false"/>
                <w:bCs w:val="false"/>
                <w:sz w:val="18"/>
                <w:szCs w:val="18"/>
              </w:rPr>
              <w:t xml:space="preserve">12.0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NC (Charlotte)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2.12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2.17</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2.12</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16.3</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14.8</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AR (Little Rock)</w:t>
            </w:r>
          </w:p>
        </w:tc>
        <w:tc>
          <w:tcPr>
            <w:tcW w:type="dxa" w:w="620"/>
            <w:tcMar>
              <w:top w:type="dxa" w:w="40"/>
              <w:left w:type="dxa" w:w="60"/>
              <w:bottom w:type="dxa" w:w="40"/>
              <w:right w:type="dxa" w:w="60"/>
            </w:tcMar>
          </w:tcPr>
          <w:p>
            <w:pPr>
              <w:jc w:val="center"/>
            </w:pPr>
            <w:r>
              <w:rPr>
                <w:b w:val="false"/>
                <w:bCs w:val="false"/>
                <w:sz w:val="18"/>
                <w:szCs w:val="18"/>
              </w:rPr>
              <w:t xml:space="preserve">2.12</w:t>
            </w:r>
          </w:p>
        </w:tc>
        <w:tc>
          <w:tcPr>
            <w:tcW w:type="dxa" w:w="720"/>
            <w:tcMar>
              <w:top w:type="dxa" w:w="40"/>
              <w:left w:type="dxa" w:w="60"/>
              <w:bottom w:type="dxa" w:w="40"/>
              <w:right w:type="dxa" w:w="60"/>
            </w:tcMar>
          </w:tcPr>
          <w:p>
            <w:pPr>
              <w:jc w:val="center"/>
            </w:pPr>
            <w:r>
              <w:rPr>
                <w:b w:val="false"/>
                <w:bCs w:val="false"/>
                <w:sz w:val="18"/>
                <w:szCs w:val="18"/>
              </w:rPr>
              <w:t xml:space="preserve">0.99</w:t>
            </w:r>
          </w:p>
        </w:tc>
        <w:tc>
          <w:tcPr>
            <w:tcW w:type="dxa" w:w="720"/>
            <w:tcMar>
              <w:top w:type="dxa" w:w="40"/>
              <w:left w:type="dxa" w:w="60"/>
              <w:bottom w:type="dxa" w:w="40"/>
              <w:right w:type="dxa" w:w="60"/>
            </w:tcMar>
          </w:tcPr>
          <w:p>
            <w:pPr>
              <w:jc w:val="center"/>
            </w:pPr>
            <w:r>
              <w:rPr>
                <w:b w:val="false"/>
                <w:bCs w:val="false"/>
                <w:sz w:val="18"/>
                <w:szCs w:val="18"/>
              </w:rPr>
              <w:t xml:space="preserve">2.13</w:t>
            </w:r>
          </w:p>
        </w:tc>
        <w:tc>
          <w:tcPr>
            <w:tcW w:type="dxa" w:w="760"/>
            <w:tcMar>
              <w:top w:type="dxa" w:w="40"/>
              <w:left w:type="dxa" w:w="60"/>
              <w:bottom w:type="dxa" w:w="40"/>
              <w:right w:type="dxa" w:w="60"/>
            </w:tcMar>
          </w:tcPr>
          <w:p>
            <w:pPr>
              <w:jc w:val="center"/>
            </w:pPr>
            <w:r>
              <w:rPr>
                <w:b w:val="false"/>
                <w:bCs w:val="false"/>
                <w:sz w:val="18"/>
                <w:szCs w:val="18"/>
              </w:rPr>
              <w:t xml:space="preserve">-4</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2.12</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14.2</w:t>
            </w:r>
          </w:p>
        </w:tc>
        <w:tc>
          <w:tcPr>
            <w:tcW w:type="dxa" w:w="860"/>
            <w:tcMar>
              <w:top w:type="dxa" w:w="40"/>
              <w:left w:type="dxa" w:w="60"/>
              <w:bottom w:type="dxa" w:w="40"/>
              <w:right w:type="dxa" w:w="60"/>
            </w:tcMar>
          </w:tcPr>
          <w:p>
            <w:pPr>
              <w:jc w:val="center"/>
            </w:pPr>
            <w:r>
              <w:rPr>
                <w:b w:val="false"/>
                <w:bCs w:val="false"/>
                <w:sz w:val="18"/>
                <w:szCs w:val="18"/>
              </w:rPr>
              <w:t xml:space="preserve">22.7</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OR (Portland OR)</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2.12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0.91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2.17</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2.12</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15.8</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16.6</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TN (Nashville)</w:t>
            </w:r>
          </w:p>
        </w:tc>
        <w:tc>
          <w:tcPr>
            <w:tcW w:type="dxa" w:w="620"/>
            <w:tcMar>
              <w:top w:type="dxa" w:w="40"/>
              <w:left w:type="dxa" w:w="60"/>
              <w:bottom w:type="dxa" w:w="40"/>
              <w:right w:type="dxa" w:w="60"/>
            </w:tcMar>
          </w:tcPr>
          <w:p>
            <w:pPr>
              <w:jc w:val="center"/>
            </w:pPr>
            <w:r>
              <w:rPr>
                <w:b w:val="false"/>
                <w:bCs w:val="false"/>
                <w:sz w:val="18"/>
                <w:szCs w:val="18"/>
              </w:rPr>
              <w:t xml:space="preserve">2.06</w:t>
            </w:r>
          </w:p>
        </w:tc>
        <w:tc>
          <w:tcPr>
            <w:tcW w:type="dxa" w:w="720"/>
            <w:tcMar>
              <w:top w:type="dxa" w:w="40"/>
              <w:left w:type="dxa" w:w="60"/>
              <w:bottom w:type="dxa" w:w="40"/>
              <w:right w:type="dxa" w:w="60"/>
            </w:tcMar>
          </w:tcPr>
          <w:p>
            <w:pPr>
              <w:jc w:val="center"/>
            </w:pPr>
            <w:r>
              <w:rPr>
                <w:b w:val="false"/>
                <w:bCs w:val="false"/>
                <w:sz w:val="18"/>
                <w:szCs w:val="18"/>
              </w:rPr>
              <w:t xml:space="preserve">0.86</w:t>
            </w:r>
          </w:p>
        </w:tc>
        <w:tc>
          <w:tcPr>
            <w:tcW w:type="dxa" w:w="720"/>
            <w:tcMar>
              <w:top w:type="dxa" w:w="40"/>
              <w:left w:type="dxa" w:w="60"/>
              <w:bottom w:type="dxa" w:w="40"/>
              <w:right w:type="dxa" w:w="60"/>
            </w:tcMar>
          </w:tcPr>
          <w:p>
            <w:pPr>
              <w:jc w:val="center"/>
            </w:pPr>
            <w:r>
              <w:rPr>
                <w:b w:val="false"/>
                <w:bCs w:val="false"/>
                <w:sz w:val="18"/>
                <w:szCs w:val="18"/>
              </w:rPr>
              <w:t xml:space="preserve">2.13</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2.06</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14.9</w:t>
            </w:r>
          </w:p>
        </w:tc>
        <w:tc>
          <w:tcPr>
            <w:tcW w:type="dxa" w:w="860"/>
            <w:tcMar>
              <w:top w:type="dxa" w:w="40"/>
              <w:left w:type="dxa" w:w="60"/>
              <w:bottom w:type="dxa" w:w="40"/>
              <w:right w:type="dxa" w:w="60"/>
            </w:tcMar>
          </w:tcPr>
          <w:p>
            <w:pPr>
              <w:jc w:val="center"/>
            </w:pPr>
            <w:r>
              <w:rPr>
                <w:b w:val="false"/>
                <w:bCs w:val="false"/>
                <w:sz w:val="18"/>
                <w:szCs w:val="18"/>
              </w:rPr>
              <w:t xml:space="preserve">14.3</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VA (Richmond)</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2.04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0.84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2.13</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2.04</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17.4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17.3</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OK (Oklahoma City)</w:t>
            </w:r>
          </w:p>
        </w:tc>
        <w:tc>
          <w:tcPr>
            <w:tcW w:type="dxa" w:w="620"/>
            <w:tcMar>
              <w:top w:type="dxa" w:w="40"/>
              <w:left w:type="dxa" w:w="60"/>
              <w:bottom w:type="dxa" w:w="40"/>
              <w:right w:type="dxa" w:w="60"/>
            </w:tcMar>
          </w:tcPr>
          <w:p>
            <w:pPr>
              <w:jc w:val="center"/>
            </w:pPr>
            <w:r>
              <w:rPr>
                <w:b w:val="false"/>
                <w:bCs w:val="false"/>
                <w:sz w:val="18"/>
                <w:szCs w:val="18"/>
              </w:rPr>
              <w:t xml:space="preserve">2.03</w:t>
            </w:r>
          </w:p>
        </w:tc>
        <w:tc>
          <w:tcPr>
            <w:tcW w:type="dxa" w:w="720"/>
            <w:tcMar>
              <w:top w:type="dxa" w:w="40"/>
              <w:left w:type="dxa" w:w="60"/>
              <w:bottom w:type="dxa" w:w="40"/>
              <w:right w:type="dxa" w:w="60"/>
            </w:tcMar>
          </w:tcPr>
          <w:p>
            <w:pPr>
              <w:jc w:val="center"/>
            </w:pPr>
            <w:r>
              <w:rPr>
                <w:b w:val="false"/>
                <w:bCs w:val="false"/>
                <w:sz w:val="18"/>
                <w:szCs w:val="18"/>
              </w:rPr>
              <w:t xml:space="preserve">0.84</w:t>
            </w:r>
          </w:p>
        </w:tc>
        <w:tc>
          <w:tcPr>
            <w:tcW w:type="dxa" w:w="720"/>
            <w:tcMar>
              <w:top w:type="dxa" w:w="40"/>
              <w:left w:type="dxa" w:w="60"/>
              <w:bottom w:type="dxa" w:w="40"/>
              <w:right w:type="dxa" w:w="60"/>
            </w:tcMar>
          </w:tcPr>
          <w:p>
            <w:pPr>
              <w:jc w:val="center"/>
            </w:pPr>
            <w:r>
              <w:rPr>
                <w:b w:val="false"/>
                <w:bCs w:val="false"/>
                <w:sz w:val="18"/>
                <w:szCs w:val="18"/>
              </w:rPr>
              <w:t xml:space="preserve">2.12</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2.03</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13.3</w:t>
            </w:r>
          </w:p>
        </w:tc>
        <w:tc>
          <w:tcPr>
            <w:tcW w:type="dxa" w:w="860"/>
            <w:tcMar>
              <w:top w:type="dxa" w:w="40"/>
              <w:left w:type="dxa" w:w="60"/>
              <w:bottom w:type="dxa" w:w="40"/>
              <w:right w:type="dxa" w:w="60"/>
            </w:tcMar>
          </w:tcPr>
          <w:p>
            <w:pPr>
              <w:jc w:val="center"/>
            </w:pPr>
            <w:r>
              <w:rPr>
                <w:b w:val="false"/>
                <w:bCs w:val="false"/>
                <w:sz w:val="18"/>
                <w:szCs w:val="18"/>
              </w:rPr>
              <w:t xml:space="preserve">14.7</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KY (Louisville)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2.00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0.79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2.11</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15.0</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17.6</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NM (Albuquerque)</w:t>
            </w:r>
          </w:p>
        </w:tc>
        <w:tc>
          <w:tcPr>
            <w:tcW w:type="dxa" w:w="620"/>
            <w:tcMar>
              <w:top w:type="dxa" w:w="40"/>
              <w:left w:type="dxa" w:w="60"/>
              <w:bottom w:type="dxa" w:w="40"/>
              <w:right w:type="dxa" w:w="60"/>
            </w:tcMar>
          </w:tcPr>
          <w:p>
            <w:pPr>
              <w:jc w:val="center"/>
            </w:pPr>
            <w:r>
              <w:rPr>
                <w:b w:val="false"/>
                <w:bCs w:val="false"/>
                <w:sz w:val="18"/>
                <w:szCs w:val="18"/>
              </w:rPr>
              <w:t xml:space="preserve">2.00</w:t>
            </w:r>
          </w:p>
        </w:tc>
        <w:tc>
          <w:tcPr>
            <w:tcW w:type="dxa" w:w="720"/>
            <w:tcMar>
              <w:top w:type="dxa" w:w="40"/>
              <w:left w:type="dxa" w:w="60"/>
              <w:bottom w:type="dxa" w:w="40"/>
              <w:right w:type="dxa" w:w="60"/>
            </w:tcMar>
          </w:tcPr>
          <w:p>
            <w:pPr>
              <w:jc w:val="center"/>
            </w:pPr>
            <w:r>
              <w:rPr>
                <w:b w:val="false"/>
                <w:bCs w:val="false"/>
                <w:sz w:val="18"/>
                <w:szCs w:val="18"/>
              </w:rPr>
              <w:t xml:space="preserve">0.79</w:t>
            </w:r>
          </w:p>
        </w:tc>
        <w:tc>
          <w:tcPr>
            <w:tcW w:type="dxa" w:w="720"/>
            <w:tcMar>
              <w:top w:type="dxa" w:w="40"/>
              <w:left w:type="dxa" w:w="60"/>
              <w:bottom w:type="dxa" w:w="40"/>
              <w:right w:type="dxa" w:w="60"/>
            </w:tcMar>
          </w:tcPr>
          <w:p>
            <w:pPr>
              <w:jc w:val="center"/>
            </w:pPr>
            <w:r>
              <w:rPr>
                <w:b w:val="false"/>
                <w:bCs w:val="false"/>
                <w:sz w:val="18"/>
                <w:szCs w:val="18"/>
              </w:rPr>
              <w:t xml:space="preserve">2.11</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2.00</w:t>
            </w:r>
          </w:p>
        </w:tc>
        <w:tc>
          <w:tcPr>
            <w:tcW w:type="dxa" w:w="760"/>
            <w:tcMar>
              <w:top w:type="dxa" w:w="40"/>
              <w:left w:type="dxa" w:w="60"/>
              <w:bottom w:type="dxa" w:w="40"/>
              <w:right w:type="dxa" w:w="60"/>
            </w:tcMar>
          </w:tcPr>
          <w:p>
            <w:pPr>
              <w:jc w:val="center"/>
            </w:pPr>
            <w:r>
              <w:rPr>
                <w:b w:val="false"/>
                <w:bCs w:val="false"/>
                <w:sz w:val="18"/>
                <w:szCs w:val="18"/>
              </w:rPr>
              <w:t xml:space="preserve">-14</w:t>
            </w:r>
          </w:p>
        </w:tc>
        <w:tc>
          <w:tcPr>
            <w:tcW w:type="dxa" w:w="720"/>
            <w:tcMar>
              <w:top w:type="dxa" w:w="40"/>
              <w:left w:type="dxa" w:w="60"/>
              <w:bottom w:type="dxa" w:w="40"/>
              <w:right w:type="dxa" w:w="60"/>
            </w:tcMar>
          </w:tcPr>
          <w:p>
            <w:pPr>
              <w:jc w:val="center"/>
            </w:pPr>
            <w:r>
              <w:rPr>
                <w:b w:val="false"/>
                <w:bCs w:val="false"/>
                <w:sz w:val="18"/>
                <w:szCs w:val="18"/>
              </w:rPr>
              <w:t xml:space="preserve">15.2</w:t>
            </w:r>
          </w:p>
        </w:tc>
        <w:tc>
          <w:tcPr>
            <w:tcW w:type="dxa" w:w="860"/>
            <w:tcMar>
              <w:top w:type="dxa" w:w="40"/>
              <w:left w:type="dxa" w:w="60"/>
              <w:bottom w:type="dxa" w:w="40"/>
              <w:right w:type="dxa" w:w="60"/>
            </w:tcMar>
          </w:tcPr>
          <w:p>
            <w:pPr>
              <w:jc w:val="center"/>
            </w:pPr>
            <w:r>
              <w:rPr>
                <w:b w:val="false"/>
                <w:bCs w:val="false"/>
                <w:sz w:val="18"/>
                <w:szCs w:val="18"/>
              </w:rPr>
              <w:t xml:space="preserve">11.0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DC (Washington DC)</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1.99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0.79</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2.11</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15.5</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15.7</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DE (Wilmington)</w:t>
            </w:r>
          </w:p>
        </w:tc>
        <w:tc>
          <w:tcPr>
            <w:tcW w:type="dxa" w:w="620"/>
            <w:tcMar>
              <w:top w:type="dxa" w:w="40"/>
              <w:left w:type="dxa" w:w="60"/>
              <w:bottom w:type="dxa" w:w="40"/>
              <w:right w:type="dxa" w:w="60"/>
            </w:tcMar>
          </w:tcPr>
          <w:p>
            <w:pPr>
              <w:jc w:val="center"/>
            </w:pPr>
            <w:r>
              <w:rPr>
                <w:b w:val="false"/>
                <w:bCs w:val="false"/>
                <w:sz w:val="18"/>
                <w:szCs w:val="18"/>
              </w:rPr>
              <w:t xml:space="preserve">1.96</w:t>
            </w:r>
          </w:p>
        </w:tc>
        <w:tc>
          <w:tcPr>
            <w:tcW w:type="dxa" w:w="720"/>
            <w:tcMar>
              <w:top w:type="dxa" w:w="40"/>
              <w:left w:type="dxa" w:w="60"/>
              <w:bottom w:type="dxa" w:w="40"/>
              <w:right w:type="dxa" w:w="60"/>
            </w:tcMar>
          </w:tcPr>
          <w:p>
            <w:pPr>
              <w:jc w:val="center"/>
            </w:pPr>
            <w:r>
              <w:rPr>
                <w:b w:val="false"/>
                <w:bCs w:val="false"/>
                <w:sz w:val="18"/>
                <w:szCs w:val="18"/>
              </w:rPr>
              <w:t xml:space="preserve">0.74</w:t>
            </w:r>
          </w:p>
        </w:tc>
        <w:tc>
          <w:tcPr>
            <w:tcW w:type="dxa" w:w="720"/>
            <w:tcMar>
              <w:top w:type="dxa" w:w="40"/>
              <w:left w:type="dxa" w:w="60"/>
              <w:bottom w:type="dxa" w:w="40"/>
              <w:right w:type="dxa" w:w="60"/>
            </w:tcMar>
          </w:tcPr>
          <w:p>
            <w:pPr>
              <w:jc w:val="center"/>
            </w:pPr>
            <w:r>
              <w:rPr>
                <w:b w:val="false"/>
                <w:bCs w:val="false"/>
                <w:sz w:val="18"/>
                <w:szCs w:val="18"/>
              </w:rPr>
              <w:t xml:space="preserve">2.10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0.96</w:t>
            </w:r>
          </w:p>
        </w:tc>
        <w:tc>
          <w:tcPr>
            <w:tcW w:type="dxa" w:w="720"/>
            <w:tcMar>
              <w:top w:type="dxa" w:w="40"/>
              <w:left w:type="dxa" w:w="60"/>
              <w:bottom w:type="dxa" w:w="40"/>
              <w:right w:type="dxa" w:w="60"/>
            </w:tcMar>
          </w:tcPr>
          <w:p>
            <w:pPr>
              <w:jc w:val="center"/>
            </w:pPr>
            <w:r>
              <w:rPr>
                <w:b w:val="false"/>
                <w:bCs w:val="false"/>
                <w:sz w:val="18"/>
                <w:szCs w:val="18"/>
              </w:rPr>
              <w:t xml:space="preserve">1.99</w:t>
            </w:r>
          </w:p>
        </w:tc>
        <w:tc>
          <w:tcPr>
            <w:tcW w:type="dxa" w:w="760"/>
            <w:tcMar>
              <w:top w:type="dxa" w:w="40"/>
              <w:left w:type="dxa" w:w="60"/>
              <w:bottom w:type="dxa" w:w="40"/>
              <w:right w:type="dxa" w:w="60"/>
            </w:tcMar>
          </w:tcPr>
          <w:p>
            <w:pPr>
              <w:jc w:val="center"/>
            </w:pPr>
            <w:r>
              <w:rPr>
                <w:b w:val="false"/>
                <w:bCs w:val="false"/>
                <w:sz w:val="18"/>
                <w:szCs w:val="18"/>
              </w:rPr>
              <w:t xml:space="preserve">-5</w:t>
            </w:r>
          </w:p>
        </w:tc>
        <w:tc>
          <w:tcPr>
            <w:tcW w:type="dxa" w:w="720"/>
            <w:tcMar>
              <w:top w:type="dxa" w:w="40"/>
              <w:left w:type="dxa" w:w="60"/>
              <w:bottom w:type="dxa" w:w="40"/>
              <w:right w:type="dxa" w:w="60"/>
            </w:tcMar>
          </w:tcPr>
          <w:p>
            <w:pPr>
              <w:jc w:val="center"/>
            </w:pPr>
            <w:r>
              <w:rPr>
                <w:b w:val="false"/>
                <w:bCs w:val="false"/>
                <w:sz w:val="18"/>
                <w:szCs w:val="18"/>
              </w:rPr>
              <w:t xml:space="preserve">18.8</w:t>
            </w:r>
          </w:p>
        </w:tc>
        <w:tc>
          <w:tcPr>
            <w:tcW w:type="dxa" w:w="860"/>
            <w:tcMar>
              <w:top w:type="dxa" w:w="40"/>
              <w:left w:type="dxa" w:w="60"/>
              <w:bottom w:type="dxa" w:w="40"/>
              <w:right w:type="dxa" w:w="60"/>
            </w:tcMar>
          </w:tcPr>
          <w:p>
            <w:pPr>
              <w:jc w:val="center"/>
            </w:pPr>
            <w:r>
              <w:rPr>
                <w:b w:val="false"/>
                <w:bCs w:val="false"/>
                <w:sz w:val="18"/>
                <w:szCs w:val="18"/>
              </w:rPr>
              <w:t xml:space="preserve">15.8</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MD (Baltimore)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1.96</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0.74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0.74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22.1</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15.9</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PA (Philadelphia)</w:t>
            </w:r>
          </w:p>
        </w:tc>
        <w:tc>
          <w:tcPr>
            <w:tcW w:type="dxa" w:w="620"/>
            <w:tcMar>
              <w:top w:type="dxa" w:w="40"/>
              <w:left w:type="dxa" w:w="60"/>
              <w:bottom w:type="dxa" w:w="40"/>
              <w:right w:type="dxa" w:w="60"/>
            </w:tcMar>
          </w:tcPr>
          <w:p>
            <w:pPr>
              <w:jc w:val="center"/>
            </w:pPr>
            <w:r>
              <w:rPr>
                <w:b w:val="false"/>
                <w:bCs w:val="false"/>
                <w:sz w:val="18"/>
                <w:szCs w:val="18"/>
              </w:rPr>
              <w:t xml:space="preserve">1.96</w:t>
            </w:r>
          </w:p>
        </w:tc>
        <w:tc>
          <w:tcPr>
            <w:tcW w:type="dxa" w:w="720"/>
            <w:tcMar>
              <w:top w:type="dxa" w:w="40"/>
              <w:left w:type="dxa" w:w="60"/>
              <w:bottom w:type="dxa" w:w="40"/>
              <w:right w:type="dxa" w:w="60"/>
            </w:tcMar>
          </w:tcPr>
          <w:p>
            <w:pPr>
              <w:jc w:val="center"/>
            </w:pPr>
            <w:r>
              <w:rPr>
                <w:b w:val="false"/>
                <w:bCs w:val="false"/>
                <w:sz w:val="18"/>
                <w:szCs w:val="18"/>
              </w:rPr>
              <w:t xml:space="preserve">0.74</w:t>
            </w:r>
          </w:p>
        </w:tc>
        <w:tc>
          <w:tcPr>
            <w:tcW w:type="dxa" w:w="720"/>
            <w:tcMar>
              <w:top w:type="dxa" w:w="40"/>
              <w:left w:type="dxa" w:w="60"/>
              <w:bottom w:type="dxa" w:w="40"/>
              <w:right w:type="dxa" w:w="60"/>
            </w:tcMar>
          </w:tcPr>
          <w:p>
            <w:pPr>
              <w:jc w:val="center"/>
            </w:pPr>
            <w:r>
              <w:rPr>
                <w:b w:val="false"/>
                <w:bCs w:val="false"/>
                <w:sz w:val="18"/>
                <w:szCs w:val="18"/>
              </w:rPr>
              <w:t xml:space="preserve">2.10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0.74</w:t>
            </w:r>
          </w:p>
        </w:tc>
        <w:tc>
          <w:tcPr>
            <w:tcW w:type="dxa" w:w="720"/>
            <w:tcMar>
              <w:top w:type="dxa" w:w="40"/>
              <w:left w:type="dxa" w:w="60"/>
              <w:bottom w:type="dxa" w:w="40"/>
              <w:right w:type="dxa" w:w="60"/>
            </w:tcMar>
          </w:tcPr>
          <w:p>
            <w:pPr>
              <w:jc w:val="center"/>
            </w:pPr>
            <w:r>
              <w:rPr>
                <w:b w:val="false"/>
                <w:bCs w:val="false"/>
                <w:sz w:val="18"/>
                <w:szCs w:val="18"/>
              </w:rPr>
              <w:t xml:space="preserve">2.10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21.5</w:t>
            </w:r>
          </w:p>
        </w:tc>
        <w:tc>
          <w:tcPr>
            <w:tcW w:type="dxa" w:w="860"/>
            <w:tcMar>
              <w:top w:type="dxa" w:w="40"/>
              <w:left w:type="dxa" w:w="60"/>
              <w:bottom w:type="dxa" w:w="40"/>
              <w:right w:type="dxa" w:w="60"/>
            </w:tcMar>
          </w:tcPr>
          <w:p>
            <w:pPr>
              <w:jc w:val="center"/>
            </w:pPr>
            <w:r>
              <w:rPr>
                <w:b w:val="false"/>
                <w:bCs w:val="false"/>
                <w:sz w:val="18"/>
                <w:szCs w:val="18"/>
              </w:rPr>
              <w:t xml:space="preserve">15.4</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WV (Charleston WV)</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1.94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0.71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1.94</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16.1</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12.9</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NJ (Newark)</w:t>
            </w:r>
          </w:p>
        </w:tc>
        <w:tc>
          <w:tcPr>
            <w:tcW w:type="dxa" w:w="620"/>
            <w:tcMar>
              <w:top w:type="dxa" w:w="40"/>
              <w:left w:type="dxa" w:w="60"/>
              <w:bottom w:type="dxa" w:w="40"/>
              <w:right w:type="dxa" w:w="60"/>
            </w:tcMar>
          </w:tcPr>
          <w:p>
            <w:pPr>
              <w:jc w:val="center"/>
            </w:pPr>
            <w:r>
              <w:rPr>
                <w:b w:val="false"/>
                <w:bCs w:val="false"/>
                <w:sz w:val="18"/>
                <w:szCs w:val="18"/>
              </w:rPr>
              <w:t xml:space="preserve">1.91</w:t>
            </w:r>
          </w:p>
        </w:tc>
        <w:tc>
          <w:tcPr>
            <w:tcW w:type="dxa" w:w="720"/>
            <w:tcMar>
              <w:top w:type="dxa" w:w="40"/>
              <w:left w:type="dxa" w:w="60"/>
              <w:bottom w:type="dxa" w:w="40"/>
              <w:right w:type="dxa" w:w="60"/>
            </w:tcMar>
          </w:tcPr>
          <w:p>
            <w:pPr>
              <w:jc w:val="center"/>
            </w:pPr>
            <w:r>
              <w:rPr>
                <w:b w:val="false"/>
                <w:bCs w:val="false"/>
                <w:sz w:val="18"/>
                <w:szCs w:val="18"/>
              </w:rPr>
              <w:t xml:space="preserve">0.68</w:t>
            </w:r>
          </w:p>
        </w:tc>
        <w:tc>
          <w:tcPr>
            <w:tcW w:type="dxa" w:w="720"/>
            <w:tcMar>
              <w:top w:type="dxa" w:w="40"/>
              <w:left w:type="dxa" w:w="60"/>
              <w:bottom w:type="dxa" w:w="40"/>
              <w:right w:type="dxa" w:w="60"/>
            </w:tcMar>
          </w:tcPr>
          <w:p>
            <w:pPr>
              <w:jc w:val="center"/>
            </w:pPr>
            <w:r>
              <w:rPr>
                <w:b w:val="false"/>
                <w:bCs w:val="false"/>
                <w:sz w:val="18"/>
                <w:szCs w:val="18"/>
              </w:rPr>
              <w:t xml:space="preserve">2.09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0.68</w:t>
            </w:r>
          </w:p>
        </w:tc>
        <w:tc>
          <w:tcPr>
            <w:tcW w:type="dxa" w:w="720"/>
            <w:tcMar>
              <w:top w:type="dxa" w:w="40"/>
              <w:left w:type="dxa" w:w="60"/>
              <w:bottom w:type="dxa" w:w="40"/>
              <w:right w:type="dxa" w:w="60"/>
            </w:tcMar>
          </w:tcPr>
          <w:p>
            <w:pPr>
              <w:jc w:val="center"/>
            </w:pPr>
            <w:r>
              <w:rPr>
                <w:b w:val="false"/>
                <w:bCs w:val="false"/>
                <w:sz w:val="18"/>
                <w:szCs w:val="18"/>
              </w:rPr>
              <w:t xml:space="preserve">2.09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23.5</w:t>
            </w:r>
          </w:p>
        </w:tc>
        <w:tc>
          <w:tcPr>
            <w:tcW w:type="dxa" w:w="860"/>
            <w:tcMar>
              <w:top w:type="dxa" w:w="40"/>
              <w:left w:type="dxa" w:w="60"/>
              <w:bottom w:type="dxa" w:w="40"/>
              <w:right w:type="dxa" w:w="60"/>
            </w:tcMar>
          </w:tcPr>
          <w:p>
            <w:pPr>
              <w:jc w:val="center"/>
            </w:pPr>
            <w:r>
              <w:rPr>
                <w:b w:val="false"/>
                <w:bCs w:val="false"/>
                <w:sz w:val="18"/>
                <w:szCs w:val="18"/>
              </w:rPr>
              <w:t xml:space="preserve">13.1</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KS (Wichita)</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1.91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0.68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1.91</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15.8</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14.4</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MO (St. Louis)</w:t>
            </w:r>
          </w:p>
        </w:tc>
        <w:tc>
          <w:tcPr>
            <w:tcW w:type="dxa" w:w="620"/>
            <w:tcMar>
              <w:top w:type="dxa" w:w="40"/>
              <w:left w:type="dxa" w:w="60"/>
              <w:bottom w:type="dxa" w:w="40"/>
              <w:right w:type="dxa" w:w="60"/>
            </w:tcMar>
          </w:tcPr>
          <w:p>
            <w:pPr>
              <w:jc w:val="center"/>
            </w:pPr>
            <w:r>
              <w:rPr>
                <w:b w:val="false"/>
                <w:bCs w:val="false"/>
                <w:sz w:val="18"/>
                <w:szCs w:val="18"/>
              </w:rPr>
              <w:t xml:space="preserve">1.91</w:t>
            </w:r>
          </w:p>
        </w:tc>
        <w:tc>
          <w:tcPr>
            <w:tcW w:type="dxa" w:w="720"/>
            <w:tcMar>
              <w:top w:type="dxa" w:w="40"/>
              <w:left w:type="dxa" w:w="60"/>
              <w:bottom w:type="dxa" w:w="40"/>
              <w:right w:type="dxa" w:w="60"/>
            </w:tcMar>
          </w:tcPr>
          <w:p>
            <w:pPr>
              <w:jc w:val="center"/>
            </w:pPr>
            <w:r>
              <w:rPr>
                <w:b w:val="false"/>
                <w:bCs w:val="false"/>
                <w:sz w:val="18"/>
                <w:szCs w:val="18"/>
              </w:rPr>
              <w:t xml:space="preserve">0.68</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1.91</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14.0</w:t>
            </w:r>
          </w:p>
        </w:tc>
        <w:tc>
          <w:tcPr>
            <w:tcW w:type="dxa" w:w="860"/>
            <w:tcMar>
              <w:top w:type="dxa" w:w="40"/>
              <w:left w:type="dxa" w:w="60"/>
              <w:bottom w:type="dxa" w:w="40"/>
              <w:right w:type="dxa" w:w="60"/>
            </w:tcMar>
          </w:tcPr>
          <w:p>
            <w:pPr>
              <w:jc w:val="center"/>
            </w:pPr>
            <w:r>
              <w:rPr>
                <w:b w:val="false"/>
                <w:bCs w:val="false"/>
                <w:sz w:val="18"/>
                <w:szCs w:val="18"/>
              </w:rPr>
              <w:t xml:space="preserve">14.5</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NY (New York City)</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1.90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0.65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0.65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29.4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17.4</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CO (Denver)</w:t>
            </w:r>
          </w:p>
        </w:tc>
        <w:tc>
          <w:tcPr>
            <w:tcW w:type="dxa" w:w="620"/>
            <w:tcMar>
              <w:top w:type="dxa" w:w="40"/>
              <w:left w:type="dxa" w:w="60"/>
              <w:bottom w:type="dxa" w:w="40"/>
              <w:right w:type="dxa" w:w="60"/>
            </w:tcMar>
          </w:tcPr>
          <w:p>
            <w:pPr>
              <w:jc w:val="center"/>
            </w:pPr>
            <w:r>
              <w:rPr>
                <w:b w:val="false"/>
                <w:bCs w:val="false"/>
                <w:sz w:val="18"/>
                <w:szCs w:val="18"/>
              </w:rPr>
              <w:t xml:space="preserve">1.89</w:t>
            </w:r>
          </w:p>
        </w:tc>
        <w:tc>
          <w:tcPr>
            <w:tcW w:type="dxa" w:w="720"/>
            <w:tcMar>
              <w:top w:type="dxa" w:w="40"/>
              <w:left w:type="dxa" w:w="60"/>
              <w:bottom w:type="dxa" w:w="40"/>
              <w:right w:type="dxa" w:w="60"/>
            </w:tcMar>
          </w:tcPr>
          <w:p>
            <w:pPr>
              <w:jc w:val="center"/>
            </w:pPr>
            <w:r>
              <w:rPr>
                <w:b w:val="false"/>
                <w:bCs w:val="false"/>
                <w:sz w:val="18"/>
                <w:szCs w:val="18"/>
              </w:rPr>
              <w:t xml:space="preserve">0.63</w:t>
            </w:r>
          </w:p>
        </w:tc>
        <w:tc>
          <w:tcPr>
            <w:tcW w:type="dxa" w:w="720"/>
            <w:tcMar>
              <w:top w:type="dxa" w:w="40"/>
              <w:left w:type="dxa" w:w="60"/>
              <w:bottom w:type="dxa" w:w="40"/>
              <w:right w:type="dxa" w:w="60"/>
            </w:tcMar>
          </w:tcPr>
          <w:p>
            <w:pPr>
              <w:jc w:val="center"/>
            </w:pPr>
            <w:r>
              <w:rPr>
                <w:b w:val="false"/>
                <w:bCs w:val="false"/>
                <w:sz w:val="18"/>
                <w:szCs w:val="18"/>
              </w:rPr>
              <w:t xml:space="preserve">2.09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0.99</w:t>
            </w:r>
          </w:p>
        </w:tc>
        <w:tc>
          <w:tcPr>
            <w:tcW w:type="dxa" w:w="720"/>
            <w:tcMar>
              <w:top w:type="dxa" w:w="40"/>
              <w:left w:type="dxa" w:w="60"/>
              <w:bottom w:type="dxa" w:w="40"/>
              <w:right w:type="dxa" w:w="60"/>
            </w:tcMar>
          </w:tcPr>
          <w:p>
            <w:pPr>
              <w:jc w:val="center"/>
            </w:pPr>
            <w:r>
              <w:rPr>
                <w:b w:val="false"/>
                <w:bCs w:val="false"/>
                <w:sz w:val="18"/>
                <w:szCs w:val="18"/>
              </w:rPr>
              <w:t xml:space="preserve">1.89</w:t>
            </w:r>
          </w:p>
        </w:tc>
        <w:tc>
          <w:tcPr>
            <w:tcW w:type="dxa" w:w="760"/>
            <w:tcMar>
              <w:top w:type="dxa" w:w="40"/>
              <w:left w:type="dxa" w:w="60"/>
              <w:bottom w:type="dxa" w:w="40"/>
              <w:right w:type="dxa" w:w="60"/>
            </w:tcMar>
          </w:tcPr>
          <w:p>
            <w:pPr>
              <w:jc w:val="center"/>
            </w:pPr>
            <w:r>
              <w:rPr>
                <w:b w:val="false"/>
                <w:bCs w:val="false"/>
                <w:sz w:val="18"/>
                <w:szCs w:val="18"/>
              </w:rPr>
              <w:t xml:space="preserve">-10</w:t>
            </w:r>
          </w:p>
        </w:tc>
        <w:tc>
          <w:tcPr>
            <w:tcW w:type="dxa" w:w="720"/>
            <w:tcMar>
              <w:top w:type="dxa" w:w="40"/>
              <w:left w:type="dxa" w:w="60"/>
              <w:bottom w:type="dxa" w:w="40"/>
              <w:right w:type="dxa" w:w="60"/>
            </w:tcMar>
          </w:tcPr>
          <w:p>
            <w:pPr>
              <w:jc w:val="center"/>
            </w:pPr>
            <w:r>
              <w:rPr>
                <w:b w:val="false"/>
                <w:bCs w:val="false"/>
                <w:sz w:val="18"/>
                <w:szCs w:val="18"/>
              </w:rPr>
              <w:t xml:space="preserve">16.5</w:t>
            </w:r>
          </w:p>
        </w:tc>
        <w:tc>
          <w:tcPr>
            <w:tcW w:type="dxa" w:w="860"/>
            <w:tcMar>
              <w:top w:type="dxa" w:w="40"/>
              <w:left w:type="dxa" w:w="60"/>
              <w:bottom w:type="dxa" w:w="40"/>
              <w:right w:type="dxa" w:w="60"/>
            </w:tcMar>
          </w:tcPr>
          <w:p>
            <w:pPr>
              <w:jc w:val="center"/>
            </w:pPr>
            <w:r>
              <w:rPr>
                <w:b w:val="false"/>
                <w:bCs w:val="false"/>
                <w:sz w:val="18"/>
                <w:szCs w:val="18"/>
              </w:rPr>
              <w:t xml:space="preserve">10.7</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ID (Boise)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1.88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0.62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1.88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12.7</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7.2</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MA (Boston)</w:t>
            </w:r>
          </w:p>
        </w:tc>
        <w:tc>
          <w:tcPr>
            <w:tcW w:type="dxa" w:w="620"/>
            <w:tcMar>
              <w:top w:type="dxa" w:w="40"/>
              <w:left w:type="dxa" w:w="60"/>
              <w:bottom w:type="dxa" w:w="40"/>
              <w:right w:type="dxa" w:w="60"/>
            </w:tcMar>
          </w:tcPr>
          <w:p>
            <w:pPr>
              <w:jc w:val="center"/>
            </w:pPr>
            <w:r>
              <w:rPr>
                <w:b w:val="false"/>
                <w:bCs w:val="false"/>
                <w:sz w:val="18"/>
                <w:szCs w:val="18"/>
              </w:rPr>
              <w:t xml:space="preserve">1.86</w:t>
            </w:r>
          </w:p>
        </w:tc>
        <w:tc>
          <w:tcPr>
            <w:tcW w:type="dxa" w:w="720"/>
            <w:tcMar>
              <w:top w:type="dxa" w:w="40"/>
              <w:left w:type="dxa" w:w="60"/>
              <w:bottom w:type="dxa" w:w="40"/>
              <w:right w:type="dxa" w:w="60"/>
            </w:tcMar>
          </w:tcPr>
          <w:p>
            <w:pPr>
              <w:jc w:val="center"/>
            </w:pPr>
            <w:r>
              <w:rPr>
                <w:b w:val="false"/>
                <w:bCs w:val="false"/>
                <w:sz w:val="18"/>
                <w:szCs w:val="18"/>
              </w:rPr>
              <w:t xml:space="preserve">0.59</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0.59</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29.4</w:t>
            </w:r>
          </w:p>
        </w:tc>
        <w:tc>
          <w:tcPr>
            <w:tcW w:type="dxa" w:w="860"/>
            <w:tcMar>
              <w:top w:type="dxa" w:w="40"/>
              <w:left w:type="dxa" w:w="60"/>
              <w:bottom w:type="dxa" w:w="40"/>
              <w:right w:type="dxa" w:w="60"/>
            </w:tcMar>
          </w:tcPr>
          <w:p>
            <w:pPr>
              <w:jc w:val="center"/>
            </w:pPr>
            <w:r>
              <w:rPr>
                <w:b w:val="false"/>
                <w:bCs w:val="false"/>
                <w:sz w:val="18"/>
                <w:szCs w:val="18"/>
              </w:rPr>
              <w:t xml:space="preserve">25.1</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RI (Providence)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1.84</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0.57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0.57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28.3</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14.3</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UT (Salt Lake City)</w:t>
            </w:r>
          </w:p>
        </w:tc>
        <w:tc>
          <w:tcPr>
            <w:tcW w:type="dxa" w:w="620"/>
            <w:tcMar>
              <w:top w:type="dxa" w:w="40"/>
              <w:left w:type="dxa" w:w="60"/>
              <w:bottom w:type="dxa" w:w="40"/>
              <w:right w:type="dxa" w:w="60"/>
            </w:tcMar>
          </w:tcPr>
          <w:p>
            <w:pPr>
              <w:jc w:val="center"/>
            </w:pPr>
            <w:r>
              <w:rPr>
                <w:b w:val="false"/>
                <w:bCs w:val="false"/>
                <w:sz w:val="18"/>
                <w:szCs w:val="18"/>
              </w:rPr>
              <w:t xml:space="preserve">1.84</w:t>
            </w:r>
          </w:p>
        </w:tc>
        <w:tc>
          <w:tcPr>
            <w:tcW w:type="dxa" w:w="720"/>
            <w:tcMar>
              <w:top w:type="dxa" w:w="40"/>
              <w:left w:type="dxa" w:w="60"/>
              <w:bottom w:type="dxa" w:w="40"/>
              <w:right w:type="dxa" w:w="60"/>
            </w:tcMar>
          </w:tcPr>
          <w:p>
            <w:pPr>
              <w:jc w:val="center"/>
            </w:pPr>
            <w:r>
              <w:rPr>
                <w:b w:val="false"/>
                <w:bCs w:val="false"/>
                <w:sz w:val="18"/>
                <w:szCs w:val="18"/>
              </w:rPr>
              <w:t xml:space="preserve">0.56</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1.00</w:t>
            </w:r>
          </w:p>
        </w:tc>
        <w:tc>
          <w:tcPr>
            <w:tcW w:type="dxa" w:w="720"/>
            <w:tcMar>
              <w:top w:type="dxa" w:w="40"/>
              <w:left w:type="dxa" w:w="60"/>
              <w:bottom w:type="dxa" w:w="40"/>
              <w:right w:type="dxa" w:w="60"/>
            </w:tcMar>
          </w:tcPr>
          <w:p>
            <w:pPr>
              <w:jc w:val="center"/>
            </w:pPr>
            <w:r>
              <w:rPr>
                <w:b w:val="false"/>
                <w:bCs w:val="false"/>
                <w:sz w:val="18"/>
                <w:szCs w:val="18"/>
              </w:rPr>
              <w:t xml:space="preserve">1.84</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13.3</w:t>
            </w:r>
          </w:p>
        </w:tc>
        <w:tc>
          <w:tcPr>
            <w:tcW w:type="dxa" w:w="860"/>
            <w:tcMar>
              <w:top w:type="dxa" w:w="40"/>
              <w:left w:type="dxa" w:w="60"/>
              <w:bottom w:type="dxa" w:w="40"/>
              <w:right w:type="dxa" w:w="60"/>
            </w:tcMar>
          </w:tcPr>
          <w:p>
            <w:pPr>
              <w:jc w:val="center"/>
            </w:pPr>
            <w:r>
              <w:rPr>
                <w:b w:val="false"/>
                <w:bCs w:val="false"/>
                <w:sz w:val="18"/>
                <w:szCs w:val="18"/>
              </w:rPr>
              <w:t xml:space="preserve">10.4</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OH (Columbus)</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1.82</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0.53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0.77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1.94</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19.5</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12.7</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IN (Indianapolis)</w:t>
            </w:r>
          </w:p>
        </w:tc>
        <w:tc>
          <w:tcPr>
            <w:tcW w:type="dxa" w:w="620"/>
            <w:tcMar>
              <w:top w:type="dxa" w:w="40"/>
              <w:left w:type="dxa" w:w="60"/>
              <w:bottom w:type="dxa" w:w="40"/>
              <w:right w:type="dxa" w:w="60"/>
            </w:tcMar>
          </w:tcPr>
          <w:p>
            <w:pPr>
              <w:jc w:val="center"/>
            </w:pPr>
            <w:r>
              <w:rPr>
                <w:b w:val="false"/>
                <w:bCs w:val="false"/>
                <w:sz w:val="18"/>
                <w:szCs w:val="18"/>
              </w:rPr>
              <w:t xml:space="preserve">1.81</w:t>
            </w:r>
          </w:p>
        </w:tc>
        <w:tc>
          <w:tcPr>
            <w:tcW w:type="dxa" w:w="720"/>
            <w:tcMar>
              <w:top w:type="dxa" w:w="40"/>
              <w:left w:type="dxa" w:w="60"/>
              <w:bottom w:type="dxa" w:w="40"/>
              <w:right w:type="dxa" w:w="60"/>
            </w:tcMar>
          </w:tcPr>
          <w:p>
            <w:pPr>
              <w:jc w:val="center"/>
            </w:pPr>
            <w:r>
              <w:rPr>
                <w:b w:val="false"/>
                <w:bCs w:val="false"/>
                <w:sz w:val="18"/>
                <w:szCs w:val="18"/>
              </w:rPr>
              <w:t xml:space="preserve">0.53</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0.93</w:t>
            </w:r>
          </w:p>
        </w:tc>
        <w:tc>
          <w:tcPr>
            <w:tcW w:type="dxa" w:w="720"/>
            <w:tcMar>
              <w:top w:type="dxa" w:w="40"/>
              <w:left w:type="dxa" w:w="60"/>
              <w:bottom w:type="dxa" w:w="40"/>
              <w:right w:type="dxa" w:w="60"/>
            </w:tcMar>
          </w:tcPr>
          <w:p>
            <w:pPr>
              <w:jc w:val="center"/>
            </w:pPr>
            <w:r>
              <w:rPr>
                <w:b w:val="false"/>
                <w:bCs w:val="false"/>
                <w:sz w:val="18"/>
                <w:szCs w:val="18"/>
              </w:rPr>
              <w:t xml:space="preserve">1.86</w:t>
            </w:r>
          </w:p>
        </w:tc>
        <w:tc>
          <w:tcPr>
            <w:tcW w:type="dxa" w:w="760"/>
            <w:tcMar>
              <w:top w:type="dxa" w:w="40"/>
              <w:left w:type="dxa" w:w="60"/>
              <w:bottom w:type="dxa" w:w="40"/>
              <w:right w:type="dxa" w:w="60"/>
            </w:tcMar>
          </w:tcPr>
          <w:p>
            <w:pPr>
              <w:jc w:val="center"/>
            </w:pPr>
            <w:r>
              <w:rPr>
                <w:b w:val="false"/>
                <w:bCs w:val="false"/>
                <w:sz w:val="18"/>
                <w:szCs w:val="18"/>
              </w:rPr>
              <w:t xml:space="preserve">-7</w:t>
            </w:r>
          </w:p>
        </w:tc>
        <w:tc>
          <w:tcPr>
            <w:tcW w:type="dxa" w:w="720"/>
            <w:tcMar>
              <w:top w:type="dxa" w:w="40"/>
              <w:left w:type="dxa" w:w="60"/>
              <w:bottom w:type="dxa" w:w="40"/>
              <w:right w:type="dxa" w:w="60"/>
            </w:tcMar>
          </w:tcPr>
          <w:p>
            <w:pPr>
              <w:jc w:val="center"/>
            </w:pPr>
            <w:r>
              <w:rPr>
                <w:b w:val="false"/>
                <w:bCs w:val="false"/>
                <w:sz w:val="18"/>
                <w:szCs w:val="18"/>
              </w:rPr>
              <w:t xml:space="preserve">17.9</w:t>
            </w:r>
          </w:p>
        </w:tc>
        <w:tc>
          <w:tcPr>
            <w:tcW w:type="dxa" w:w="860"/>
            <w:tcMar>
              <w:top w:type="dxa" w:w="40"/>
              <w:left w:type="dxa" w:w="60"/>
              <w:bottom w:type="dxa" w:w="40"/>
              <w:right w:type="dxa" w:w="60"/>
            </w:tcMar>
          </w:tcPr>
          <w:p>
            <w:pPr>
              <w:jc w:val="center"/>
            </w:pPr>
            <w:r>
              <w:rPr>
                <w:b w:val="false"/>
                <w:bCs w:val="false"/>
                <w:sz w:val="18"/>
                <w:szCs w:val="18"/>
              </w:rPr>
              <w:t xml:space="preserve">11.5</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WY (Cheyenne)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1.80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0.50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1.80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14.7</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10.0</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CT (Hartford)</w:t>
            </w:r>
          </w:p>
        </w:tc>
        <w:tc>
          <w:tcPr>
            <w:tcW w:type="dxa" w:w="620"/>
            <w:tcMar>
              <w:top w:type="dxa" w:w="40"/>
              <w:left w:type="dxa" w:w="60"/>
              <w:bottom w:type="dxa" w:w="40"/>
              <w:right w:type="dxa" w:w="60"/>
            </w:tcMar>
          </w:tcPr>
          <w:p>
            <w:pPr>
              <w:jc w:val="center"/>
            </w:pPr>
            <w:r>
              <w:rPr>
                <w:b w:val="false"/>
                <w:bCs w:val="false"/>
                <w:sz w:val="18"/>
                <w:szCs w:val="18"/>
              </w:rPr>
              <w:t xml:space="preserve">1.78</w:t>
            </w:r>
          </w:p>
        </w:tc>
        <w:tc>
          <w:tcPr>
            <w:tcW w:type="dxa" w:w="720"/>
            <w:tcMar>
              <w:top w:type="dxa" w:w="40"/>
              <w:left w:type="dxa" w:w="60"/>
              <w:bottom w:type="dxa" w:w="40"/>
              <w:right w:type="dxa" w:w="60"/>
            </w:tcMar>
          </w:tcPr>
          <w:p>
            <w:pPr>
              <w:jc w:val="center"/>
            </w:pPr>
            <w:r>
              <w:rPr>
                <w:b w:val="false"/>
                <w:bCs w:val="false"/>
                <w:sz w:val="18"/>
                <w:szCs w:val="18"/>
              </w:rPr>
              <w:t xml:space="preserve">0.48</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0.48</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32.2</w:t>
            </w:r>
          </w:p>
        </w:tc>
        <w:tc>
          <w:tcPr>
            <w:tcW w:type="dxa" w:w="860"/>
            <w:tcMar>
              <w:top w:type="dxa" w:w="40"/>
              <w:left w:type="dxa" w:w="60"/>
              <w:bottom w:type="dxa" w:w="40"/>
              <w:right w:type="dxa" w:w="60"/>
            </w:tcMar>
          </w:tcPr>
          <w:p>
            <w:pPr>
              <w:jc w:val="center"/>
            </w:pPr>
            <w:r>
              <w:rPr>
                <w:b w:val="false"/>
                <w:bCs w:val="false"/>
                <w:sz w:val="18"/>
                <w:szCs w:val="18"/>
              </w:rPr>
              <w:t xml:space="preserve">18.0</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MT (Billings)</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1.77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0.47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2.09</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1.77</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13.9</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7.8</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IL (Chicago)</w:t>
            </w:r>
          </w:p>
        </w:tc>
        <w:tc>
          <w:tcPr>
            <w:tcW w:type="dxa" w:w="620"/>
            <w:tcMar>
              <w:top w:type="dxa" w:w="40"/>
              <w:left w:type="dxa" w:w="60"/>
              <w:bottom w:type="dxa" w:w="40"/>
              <w:right w:type="dxa" w:w="60"/>
            </w:tcMar>
          </w:tcPr>
          <w:p>
            <w:pPr>
              <w:jc w:val="center"/>
            </w:pPr>
            <w:r>
              <w:rPr>
                <w:b w:val="false"/>
                <w:bCs w:val="false"/>
                <w:sz w:val="18"/>
                <w:szCs w:val="18"/>
              </w:rPr>
              <w:t xml:space="preserve">1.75</w:t>
            </w:r>
          </w:p>
        </w:tc>
        <w:tc>
          <w:tcPr>
            <w:tcW w:type="dxa" w:w="720"/>
            <w:tcMar>
              <w:top w:type="dxa" w:w="40"/>
              <w:left w:type="dxa" w:w="60"/>
              <w:bottom w:type="dxa" w:w="40"/>
              <w:right w:type="dxa" w:w="60"/>
            </w:tcMar>
          </w:tcPr>
          <w:p>
            <w:pPr>
              <w:jc w:val="center"/>
            </w:pPr>
            <w:r>
              <w:rPr>
                <w:b w:val="false"/>
                <w:bCs w:val="false"/>
                <w:sz w:val="18"/>
                <w:szCs w:val="18"/>
              </w:rPr>
              <w:t xml:space="preserve">0.43</w:t>
            </w:r>
          </w:p>
        </w:tc>
        <w:tc>
          <w:tcPr>
            <w:tcW w:type="dxa" w:w="720"/>
            <w:tcMar>
              <w:top w:type="dxa" w:w="40"/>
              <w:left w:type="dxa" w:w="60"/>
              <w:bottom w:type="dxa" w:w="40"/>
              <w:right w:type="dxa" w:w="60"/>
            </w:tcMar>
          </w:tcPr>
          <w:p>
            <w:pPr>
              <w:jc w:val="center"/>
            </w:pPr>
            <w:r>
              <w:rPr>
                <w:b w:val="false"/>
                <w:bCs w:val="false"/>
                <w:sz w:val="18"/>
                <w:szCs w:val="18"/>
              </w:rPr>
              <w:t xml:space="preserve">2.08</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0.56</w:t>
            </w:r>
          </w:p>
        </w:tc>
        <w:tc>
          <w:tcPr>
            <w:tcW w:type="dxa" w:w="720"/>
            <w:tcMar>
              <w:top w:type="dxa" w:w="40"/>
              <w:left w:type="dxa" w:w="60"/>
              <w:bottom w:type="dxa" w:w="40"/>
              <w:right w:type="dxa" w:w="60"/>
            </w:tcMar>
          </w:tcPr>
          <w:p>
            <w:pPr>
              <w:jc w:val="center"/>
            </w:pPr>
            <w:r>
              <w:rPr>
                <w:b w:val="false"/>
                <w:bCs w:val="false"/>
                <w:sz w:val="18"/>
                <w:szCs w:val="18"/>
              </w:rPr>
              <w:t xml:space="preserve">1.99</w:t>
            </w:r>
          </w:p>
        </w:tc>
        <w:tc>
          <w:tcPr>
            <w:tcW w:type="dxa" w:w="760"/>
            <w:tcMar>
              <w:top w:type="dxa" w:w="40"/>
              <w:left w:type="dxa" w:w="60"/>
              <w:bottom w:type="dxa" w:w="40"/>
              <w:right w:type="dxa" w:w="60"/>
            </w:tcMar>
          </w:tcPr>
          <w:p>
            <w:pPr>
              <w:jc w:val="center"/>
            </w:pPr>
            <w:r>
              <w:rPr>
                <w:b w:val="false"/>
                <w:bCs w:val="false"/>
                <w:sz w:val="18"/>
                <w:szCs w:val="18"/>
              </w:rPr>
              <w:t xml:space="preserve">-2</w:t>
            </w:r>
          </w:p>
        </w:tc>
        <w:tc>
          <w:tcPr>
            <w:tcW w:type="dxa" w:w="720"/>
            <w:tcMar>
              <w:top w:type="dxa" w:w="40"/>
              <w:left w:type="dxa" w:w="60"/>
              <w:bottom w:type="dxa" w:w="40"/>
              <w:right w:type="dxa" w:w="60"/>
            </w:tcMar>
          </w:tcPr>
          <w:p>
            <w:pPr>
              <w:jc w:val="center"/>
            </w:pPr>
            <w:r>
              <w:rPr>
                <w:b w:val="false"/>
                <w:bCs w:val="false"/>
                <w:sz w:val="18"/>
                <w:szCs w:val="18"/>
              </w:rPr>
              <w:t xml:space="preserve">20.5</w:t>
            </w:r>
          </w:p>
        </w:tc>
        <w:tc>
          <w:tcPr>
            <w:tcW w:type="dxa" w:w="860"/>
            <w:tcMar>
              <w:top w:type="dxa" w:w="40"/>
              <w:left w:type="dxa" w:w="60"/>
              <w:bottom w:type="dxa" w:w="40"/>
              <w:right w:type="dxa" w:w="60"/>
            </w:tcMar>
          </w:tcPr>
          <w:p>
            <w:pPr>
              <w:jc w:val="center"/>
            </w:pPr>
            <w:r>
              <w:rPr>
                <w:b w:val="false"/>
                <w:bCs w:val="false"/>
                <w:sz w:val="18"/>
                <w:szCs w:val="18"/>
              </w:rPr>
              <w:t xml:space="preserve">11.2</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MI (Detroit)</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1.75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0.43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0.46</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2.06</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10.4</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NH (Manchester)</w:t>
            </w:r>
          </w:p>
        </w:tc>
        <w:tc>
          <w:tcPr>
            <w:tcW w:type="dxa" w:w="620"/>
            <w:tcMar>
              <w:top w:type="dxa" w:w="40"/>
              <w:left w:type="dxa" w:w="60"/>
              <w:bottom w:type="dxa" w:w="40"/>
              <w:right w:type="dxa" w:w="60"/>
            </w:tcMar>
          </w:tcPr>
          <w:p>
            <w:pPr>
              <w:jc w:val="center"/>
            </w:pPr>
            <w:r>
              <w:rPr>
                <w:b w:val="false"/>
                <w:bCs w:val="false"/>
                <w:sz w:val="18"/>
                <w:szCs w:val="18"/>
              </w:rPr>
              <w:t xml:space="preserve">1.71</w:t>
            </w:r>
          </w:p>
        </w:tc>
        <w:tc>
          <w:tcPr>
            <w:tcW w:type="dxa" w:w="720"/>
            <w:tcMar>
              <w:top w:type="dxa" w:w="40"/>
              <w:left w:type="dxa" w:w="60"/>
              <w:bottom w:type="dxa" w:w="40"/>
              <w:right w:type="dxa" w:w="60"/>
            </w:tcMar>
          </w:tcPr>
          <w:p>
            <w:pPr>
              <w:jc w:val="center"/>
            </w:pPr>
            <w:r>
              <w:rPr>
                <w:b w:val="false"/>
                <w:bCs w:val="false"/>
                <w:sz w:val="18"/>
                <w:szCs w:val="18"/>
              </w:rPr>
              <w:t xml:space="preserve">0.39</w:t>
            </w:r>
          </w:p>
        </w:tc>
        <w:tc>
          <w:tcPr>
            <w:tcW w:type="dxa" w:w="720"/>
            <w:tcMar>
              <w:top w:type="dxa" w:w="40"/>
              <w:left w:type="dxa" w:w="60"/>
              <w:bottom w:type="dxa" w:w="40"/>
              <w:right w:type="dxa" w:w="60"/>
            </w:tcMar>
          </w:tcPr>
          <w:p>
            <w:pPr>
              <w:jc w:val="center"/>
            </w:pPr>
            <w:r>
              <w:rPr>
                <w:b w:val="false"/>
                <w:bCs w:val="false"/>
                <w:sz w:val="18"/>
                <w:szCs w:val="18"/>
              </w:rPr>
              <w:t xml:space="preserve">2.09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0.39</w:t>
            </w:r>
          </w:p>
        </w:tc>
        <w:tc>
          <w:tcPr>
            <w:tcW w:type="dxa" w:w="720"/>
            <w:tcMar>
              <w:top w:type="dxa" w:w="40"/>
              <w:left w:type="dxa" w:w="60"/>
              <w:bottom w:type="dxa" w:w="40"/>
              <w:right w:type="dxa" w:w="60"/>
            </w:tcMar>
          </w:tcPr>
          <w:p>
            <w:pPr>
              <w:jc w:val="center"/>
            </w:pPr>
            <w:r>
              <w:rPr>
                <w:b w:val="false"/>
                <w:bCs w:val="false"/>
                <w:sz w:val="18"/>
                <w:szCs w:val="18"/>
              </w:rPr>
              <w:t xml:space="preserve">2.09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27.2</w:t>
            </w:r>
          </w:p>
        </w:tc>
        <w:tc>
          <w:tcPr>
            <w:tcW w:type="dxa" w:w="860"/>
            <w:tcMar>
              <w:top w:type="dxa" w:w="40"/>
              <w:left w:type="dxa" w:w="60"/>
              <w:bottom w:type="dxa" w:w="40"/>
              <w:right w:type="dxa" w:w="60"/>
            </w:tcMar>
          </w:tcPr>
          <w:p>
            <w:pPr>
              <w:jc w:val="center"/>
            </w:pPr>
            <w:r>
              <w:rPr>
                <w:b w:val="false"/>
                <w:bCs w:val="false"/>
                <w:sz w:val="18"/>
                <w:szCs w:val="18"/>
              </w:rPr>
              <w:t xml:space="preserve">19.6</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NE (Omaha)</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1.70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0.38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2.08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1.00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1.71</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13.3</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11.1</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WI (Milwaukee)</w:t>
            </w:r>
          </w:p>
        </w:tc>
        <w:tc>
          <w:tcPr>
            <w:tcW w:type="dxa" w:w="620"/>
            <w:tcMar>
              <w:top w:type="dxa" w:w="40"/>
              <w:left w:type="dxa" w:w="60"/>
              <w:bottom w:type="dxa" w:w="40"/>
              <w:right w:type="dxa" w:w="60"/>
            </w:tcMar>
          </w:tcPr>
          <w:p>
            <w:pPr>
              <w:jc w:val="center"/>
            </w:pPr>
            <w:r>
              <w:rPr>
                <w:b w:val="false"/>
                <w:bCs w:val="false"/>
                <w:sz w:val="18"/>
                <w:szCs w:val="18"/>
              </w:rPr>
              <w:t xml:space="preserve">1.69</w:t>
            </w:r>
          </w:p>
        </w:tc>
        <w:tc>
          <w:tcPr>
            <w:tcW w:type="dxa" w:w="720"/>
            <w:tcMar>
              <w:top w:type="dxa" w:w="40"/>
              <w:left w:type="dxa" w:w="60"/>
              <w:bottom w:type="dxa" w:w="40"/>
              <w:right w:type="dxa" w:w="60"/>
            </w:tcMar>
          </w:tcPr>
          <w:p>
            <w:pPr>
              <w:jc w:val="center"/>
            </w:pPr>
            <w:r>
              <w:rPr>
                <w:b w:val="false"/>
                <w:bCs w:val="false"/>
                <w:sz w:val="18"/>
                <w:szCs w:val="18"/>
              </w:rPr>
              <w:t xml:space="preserve">0.37</w:t>
            </w:r>
          </w:p>
        </w:tc>
        <w:tc>
          <w:tcPr>
            <w:tcW w:type="dxa" w:w="720"/>
            <w:tcMar>
              <w:top w:type="dxa" w:w="40"/>
              <w:left w:type="dxa" w:w="60"/>
              <w:bottom w:type="dxa" w:w="40"/>
              <w:right w:type="dxa" w:w="60"/>
            </w:tcMar>
          </w:tcPr>
          <w:p>
            <w:pPr>
              <w:jc w:val="center"/>
            </w:pPr>
            <w:r>
              <w:rPr>
                <w:b w:val="false"/>
                <w:bCs w:val="false"/>
                <w:sz w:val="18"/>
                <w:szCs w:val="18"/>
              </w:rPr>
              <w:t xml:space="preserve">2.09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0.61</w:t>
            </w:r>
          </w:p>
        </w:tc>
        <w:tc>
          <w:tcPr>
            <w:tcW w:type="dxa" w:w="720"/>
            <w:tcMar>
              <w:top w:type="dxa" w:w="40"/>
              <w:left w:type="dxa" w:w="60"/>
              <w:bottom w:type="dxa" w:w="40"/>
              <w:right w:type="dxa" w:w="60"/>
            </w:tcMar>
          </w:tcPr>
          <w:p>
            <w:pPr>
              <w:jc w:val="center"/>
            </w:pPr>
            <w:r>
              <w:rPr>
                <w:b w:val="false"/>
                <w:bCs w:val="false"/>
                <w:sz w:val="18"/>
                <w:szCs w:val="18"/>
              </w:rPr>
              <w:t xml:space="preserve">1.91</w:t>
            </w:r>
          </w:p>
        </w:tc>
        <w:tc>
          <w:tcPr>
            <w:tcW w:type="dxa" w:w="760"/>
            <w:tcMar>
              <w:top w:type="dxa" w:w="40"/>
              <w:left w:type="dxa" w:w="60"/>
              <w:bottom w:type="dxa" w:w="40"/>
              <w:right w:type="dxa" w:w="60"/>
            </w:tcMar>
          </w:tcPr>
          <w:p>
            <w:pPr>
              <w:jc w:val="center"/>
            </w:pPr>
            <w:r>
              <w:rPr>
                <w:b w:val="false"/>
                <w:bCs w:val="false"/>
                <w:sz w:val="18"/>
                <w:szCs w:val="18"/>
              </w:rPr>
              <w:t xml:space="preserve">-4</w:t>
            </w:r>
          </w:p>
        </w:tc>
        <w:tc>
          <w:tcPr>
            <w:tcW w:type="dxa" w:w="720"/>
            <w:tcMar>
              <w:top w:type="dxa" w:w="40"/>
              <w:left w:type="dxa" w:w="60"/>
              <w:bottom w:type="dxa" w:w="40"/>
              <w:right w:type="dxa" w:w="60"/>
            </w:tcMar>
          </w:tcPr>
          <w:p>
            <w:pPr>
              <w:jc w:val="center"/>
            </w:pPr>
            <w:r>
              <w:rPr>
                <w:b w:val="false"/>
                <w:bCs w:val="false"/>
                <w:sz w:val="18"/>
                <w:szCs w:val="18"/>
              </w:rPr>
              <w:t xml:space="preserve">19.2</w:t>
            </w:r>
          </w:p>
        </w:tc>
        <w:tc>
          <w:tcPr>
            <w:tcW w:type="dxa" w:w="860"/>
            <w:tcMar>
              <w:top w:type="dxa" w:w="40"/>
              <w:left w:type="dxa" w:w="60"/>
              <w:bottom w:type="dxa" w:w="40"/>
              <w:right w:type="dxa" w:w="60"/>
            </w:tcMar>
          </w:tcPr>
          <w:p>
            <w:pPr>
              <w:jc w:val="center"/>
            </w:pPr>
            <w:r>
              <w:rPr>
                <w:b w:val="false"/>
                <w:bCs w:val="false"/>
                <w:sz w:val="18"/>
                <w:szCs w:val="18"/>
              </w:rPr>
              <w:t xml:space="preserve">8.8</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ME (Portland ME)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1.68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0.36</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0.36</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28.4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14.8</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IA (Des Moines)</w:t>
            </w:r>
          </w:p>
        </w:tc>
        <w:tc>
          <w:tcPr>
            <w:tcW w:type="dxa" w:w="620"/>
            <w:tcMar>
              <w:top w:type="dxa" w:w="40"/>
              <w:left w:type="dxa" w:w="60"/>
              <w:bottom w:type="dxa" w:w="40"/>
              <w:right w:type="dxa" w:w="60"/>
            </w:tcMar>
          </w:tcPr>
          <w:p>
            <w:pPr>
              <w:jc w:val="center"/>
            </w:pPr>
            <w:r>
              <w:rPr>
                <w:b w:val="false"/>
                <w:bCs w:val="false"/>
                <w:sz w:val="18"/>
                <w:szCs w:val="18"/>
              </w:rPr>
              <w:t xml:space="preserve">1.67</w:t>
            </w:r>
          </w:p>
        </w:tc>
        <w:tc>
          <w:tcPr>
            <w:tcW w:type="dxa" w:w="720"/>
            <w:tcMar>
              <w:top w:type="dxa" w:w="40"/>
              <w:left w:type="dxa" w:w="60"/>
              <w:bottom w:type="dxa" w:w="40"/>
              <w:right w:type="dxa" w:w="60"/>
            </w:tcMar>
          </w:tcPr>
          <w:p>
            <w:pPr>
              <w:jc w:val="center"/>
            </w:pPr>
            <w:r>
              <w:rPr>
                <w:b w:val="false"/>
                <w:bCs w:val="false"/>
                <w:sz w:val="18"/>
                <w:szCs w:val="18"/>
              </w:rPr>
              <w:t xml:space="preserve">0.35</w:t>
            </w:r>
          </w:p>
        </w:tc>
        <w:tc>
          <w:tcPr>
            <w:tcW w:type="dxa" w:w="720"/>
            <w:tcMar>
              <w:top w:type="dxa" w:w="40"/>
              <w:left w:type="dxa" w:w="60"/>
              <w:bottom w:type="dxa" w:w="40"/>
              <w:right w:type="dxa" w:w="60"/>
            </w:tcMar>
          </w:tcPr>
          <w:p>
            <w:pPr>
              <w:jc w:val="center"/>
            </w:pPr>
            <w:r>
              <w:rPr>
                <w:b w:val="false"/>
                <w:bCs w:val="false"/>
                <w:sz w:val="18"/>
                <w:szCs w:val="18"/>
              </w:rPr>
              <w:t xml:space="preserve">2.09</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0.99</w:t>
            </w:r>
          </w:p>
        </w:tc>
        <w:tc>
          <w:tcPr>
            <w:tcW w:type="dxa" w:w="720"/>
            <w:tcMar>
              <w:top w:type="dxa" w:w="40"/>
              <w:left w:type="dxa" w:w="60"/>
              <w:bottom w:type="dxa" w:w="40"/>
              <w:right w:type="dxa" w:w="60"/>
            </w:tcMar>
          </w:tcPr>
          <w:p>
            <w:pPr>
              <w:jc w:val="center"/>
            </w:pPr>
            <w:r>
              <w:rPr>
                <w:b w:val="false"/>
                <w:bCs w:val="false"/>
                <w:sz w:val="18"/>
                <w:szCs w:val="18"/>
              </w:rPr>
              <w:t xml:space="preserve">1.68</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13.9</w:t>
            </w:r>
          </w:p>
        </w:tc>
        <w:tc>
          <w:tcPr>
            <w:tcW w:type="dxa" w:w="860"/>
            <w:tcMar>
              <w:top w:type="dxa" w:w="40"/>
              <w:left w:type="dxa" w:w="60"/>
              <w:bottom w:type="dxa" w:w="40"/>
              <w:right w:type="dxa" w:w="60"/>
            </w:tcMar>
          </w:tcPr>
          <w:p>
            <w:pPr>
              <w:jc w:val="center"/>
            </w:pPr>
            <w:r>
              <w:rPr>
                <w:b w:val="false"/>
                <w:bCs w:val="false"/>
                <w:sz w:val="18"/>
                <w:szCs w:val="18"/>
              </w:rPr>
              <w:t xml:space="preserve">11.1</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AK (Anchorage)</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1.65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0.35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0.35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27.4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12.0</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VT (Burlington)</w:t>
            </w:r>
          </w:p>
        </w:tc>
        <w:tc>
          <w:tcPr>
            <w:tcW w:type="dxa" w:w="620"/>
            <w:tcMar>
              <w:top w:type="dxa" w:w="40"/>
              <w:left w:type="dxa" w:w="60"/>
              <w:bottom w:type="dxa" w:w="40"/>
              <w:right w:type="dxa" w:w="60"/>
            </w:tcMar>
          </w:tcPr>
          <w:p>
            <w:pPr>
              <w:jc w:val="center"/>
            </w:pPr>
            <w:r>
              <w:rPr>
                <w:b w:val="false"/>
                <w:bCs w:val="false"/>
                <w:sz w:val="18"/>
                <w:szCs w:val="18"/>
              </w:rPr>
              <w:t xml:space="preserve">1.63</w:t>
            </w:r>
          </w:p>
        </w:tc>
        <w:tc>
          <w:tcPr>
            <w:tcW w:type="dxa" w:w="720"/>
            <w:tcMar>
              <w:top w:type="dxa" w:w="40"/>
              <w:left w:type="dxa" w:w="60"/>
              <w:bottom w:type="dxa" w:w="40"/>
              <w:right w:type="dxa" w:w="60"/>
            </w:tcMar>
          </w:tcPr>
          <w:p>
            <w:pPr>
              <w:jc w:val="center"/>
            </w:pPr>
            <w:r>
              <w:rPr>
                <w:b w:val="false"/>
                <w:bCs w:val="false"/>
                <w:sz w:val="18"/>
                <w:szCs w:val="18"/>
              </w:rPr>
              <w:t xml:space="preserve">0.31</w:t>
            </w:r>
          </w:p>
        </w:tc>
        <w:tc>
          <w:tcPr>
            <w:tcW w:type="dxa" w:w="720"/>
            <w:tcMar>
              <w:top w:type="dxa" w:w="40"/>
              <w:left w:type="dxa" w:w="60"/>
              <w:bottom w:type="dxa" w:w="40"/>
              <w:right w:type="dxa" w:w="60"/>
            </w:tcMar>
          </w:tcPr>
          <w:p>
            <w:pPr>
              <w:jc w:val="center"/>
            </w:pPr>
            <w:r>
              <w:rPr>
                <w:b w:val="false"/>
                <w:bCs w:val="false"/>
                <w:sz w:val="18"/>
                <w:szCs w:val="18"/>
              </w:rPr>
              <w:t xml:space="preserve">2.10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0.31</w:t>
            </w:r>
          </w:p>
        </w:tc>
        <w:tc>
          <w:tcPr>
            <w:tcW w:type="dxa" w:w="720"/>
            <w:tcMar>
              <w:top w:type="dxa" w:w="40"/>
              <w:left w:type="dxa" w:w="60"/>
              <w:bottom w:type="dxa" w:w="40"/>
              <w:right w:type="dxa" w:w="60"/>
            </w:tcMar>
          </w:tcPr>
          <w:p>
            <w:pPr>
              <w:jc w:val="center"/>
            </w:pPr>
            <w:r>
              <w:rPr>
                <w:b w:val="false"/>
                <w:bCs w:val="false"/>
                <w:sz w:val="18"/>
                <w:szCs w:val="18"/>
              </w:rPr>
              <w:t xml:space="preserve">2.10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24.6</w:t>
            </w:r>
          </w:p>
        </w:tc>
        <w:tc>
          <w:tcPr>
            <w:tcW w:type="dxa" w:w="860"/>
            <w:tcMar>
              <w:top w:type="dxa" w:w="40"/>
              <w:left w:type="dxa" w:w="60"/>
              <w:bottom w:type="dxa" w:w="40"/>
              <w:right w:type="dxa" w:w="60"/>
            </w:tcMar>
          </w:tcPr>
          <w:p>
            <w:pPr>
              <w:jc w:val="center"/>
            </w:pPr>
            <w:r>
              <w:rPr>
                <w:b w:val="false"/>
                <w:bCs w:val="false"/>
                <w:sz w:val="18"/>
                <w:szCs w:val="18"/>
              </w:rPr>
              <w:t xml:space="preserve">15.4</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MN (Minneapolis)</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1.58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0.28</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2.10</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0.83</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1.68</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16.4</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13.2</w:t>
            </w:r>
          </w:p>
        </w:tc>
      </w:tr>
      <w:tr>
        <w:tc>
          <w:tcPr>
            <w:tcW w:type="dxa" w:w="520"/>
            <w:tcMar>
              <w:top w:type="dxa" w:w="40"/>
              <w:left w:type="dxa" w:w="60"/>
              <w:bottom w:type="dxa" w:w="40"/>
              <w:right w:type="dxa" w:w="60"/>
            </w:tcMar>
          </w:tcPr>
          <w:p>
            <w:pPr>
              <w:jc w:val="left"/>
            </w:pPr>
            <w:r>
              <w:rPr>
                <w:b w:val="false"/>
                <w:bCs w:val="false"/>
                <w:sz w:val="18"/>
                <w:szCs w:val="18"/>
              </w:rPr>
              <w:t xml:space="preserve">US</w:t>
            </w:r>
          </w:p>
        </w:tc>
        <w:tc>
          <w:tcPr>
            <w:tcW w:type="dxa" w:w="1760"/>
            <w:tcMar>
              <w:top w:type="dxa" w:w="40"/>
              <w:left w:type="dxa" w:w="60"/>
              <w:bottom w:type="dxa" w:w="40"/>
              <w:right w:type="dxa" w:w="60"/>
            </w:tcMar>
          </w:tcPr>
          <w:p>
            <w:pPr>
              <w:jc w:val="left"/>
            </w:pPr>
            <w:r>
              <w:rPr>
                <w:b w:val="false"/>
                <w:bCs w:val="false"/>
                <w:sz w:val="18"/>
                <w:szCs w:val="18"/>
              </w:rPr>
              <w:t xml:space="preserve">SD (Sioux Falls)</w:t>
            </w:r>
          </w:p>
        </w:tc>
        <w:tc>
          <w:tcPr>
            <w:tcW w:type="dxa" w:w="620"/>
            <w:tcMar>
              <w:top w:type="dxa" w:w="40"/>
              <w:left w:type="dxa" w:w="60"/>
              <w:bottom w:type="dxa" w:w="40"/>
              <w:right w:type="dxa" w:w="60"/>
            </w:tcMar>
          </w:tcPr>
          <w:p>
            <w:pPr>
              <w:jc w:val="center"/>
            </w:pPr>
            <w:r>
              <w:rPr>
                <w:b w:val="false"/>
                <w:bCs w:val="false"/>
                <w:sz w:val="18"/>
                <w:szCs w:val="18"/>
              </w:rPr>
              <w:t xml:space="preserve">1.58</w:t>
            </w:r>
          </w:p>
        </w:tc>
        <w:tc>
          <w:tcPr>
            <w:tcW w:type="dxa" w:w="720"/>
            <w:tcMar>
              <w:top w:type="dxa" w:w="40"/>
              <w:left w:type="dxa" w:w="60"/>
              <w:bottom w:type="dxa" w:w="40"/>
              <w:right w:type="dxa" w:w="60"/>
            </w:tcMar>
          </w:tcPr>
          <w:p>
            <w:pPr>
              <w:jc w:val="center"/>
            </w:pPr>
            <w:r>
              <w:rPr>
                <w:b w:val="false"/>
                <w:bCs w:val="false"/>
                <w:sz w:val="18"/>
                <w:szCs w:val="18"/>
              </w:rPr>
              <w:t xml:space="preserve">0.28</w:t>
            </w:r>
          </w:p>
        </w:tc>
        <w:tc>
          <w:tcPr>
            <w:tcW w:type="dxa" w:w="720"/>
            <w:tcMar>
              <w:top w:type="dxa" w:w="40"/>
              <w:left w:type="dxa" w:w="60"/>
              <w:bottom w:type="dxa" w:w="40"/>
              <w:right w:type="dxa" w:w="60"/>
            </w:tcMar>
          </w:tcPr>
          <w:p>
            <w:pPr>
              <w:jc w:val="center"/>
            </w:pPr>
            <w:r>
              <w:rPr>
                <w:b w:val="false"/>
                <w:bCs w:val="false"/>
                <w:sz w:val="18"/>
                <w:szCs w:val="18"/>
              </w:rPr>
              <w:t xml:space="preserve">2.10</w:t>
            </w:r>
          </w:p>
        </w:tc>
        <w:tc>
          <w:tcPr>
            <w:tcW w:type="dxa" w:w="760"/>
            <w:tcMar>
              <w:top w:type="dxa" w:w="40"/>
              <w:left w:type="dxa" w:w="60"/>
              <w:bottom w:type="dxa" w:w="40"/>
              <w:right w:type="dxa" w:w="60"/>
            </w:tcMar>
          </w:tcPr>
          <w:p>
            <w:pPr>
              <w:jc w:val="center"/>
            </w:pPr>
            <w:r>
              <w:rPr>
                <w:b w:val="false"/>
                <w:bCs w:val="false"/>
                <w:sz w:val="18"/>
                <w:szCs w:val="18"/>
              </w:rPr>
              <w:t xml:space="preserve">0</w:t>
            </w:r>
          </w:p>
        </w:tc>
        <w:tc>
          <w:tcPr>
            <w:tcW w:type="dxa" w:w="720"/>
            <w:tcMar>
              <w:top w:type="dxa" w:w="40"/>
              <w:left w:type="dxa" w:w="60"/>
              <w:bottom w:type="dxa" w:w="40"/>
              <w:right w:type="dxa" w:w="60"/>
            </w:tcMar>
          </w:tcPr>
          <w:p>
            <w:pPr>
              <w:jc w:val="center"/>
            </w:pPr>
            <w:r>
              <w:rPr>
                <w:b w:val="false"/>
                <w:bCs w:val="false"/>
                <w:sz w:val="18"/>
                <w:szCs w:val="18"/>
              </w:rPr>
              <w:t xml:space="preserve">0.97</w:t>
            </w:r>
          </w:p>
        </w:tc>
        <w:tc>
          <w:tcPr>
            <w:tcW w:type="dxa" w:w="720"/>
            <w:tcMar>
              <w:top w:type="dxa" w:w="40"/>
              <w:left w:type="dxa" w:w="60"/>
              <w:bottom w:type="dxa" w:w="40"/>
              <w:right w:type="dxa" w:w="60"/>
            </w:tcMar>
          </w:tcPr>
          <w:p>
            <w:pPr>
              <w:jc w:val="center"/>
            </w:pPr>
            <w:r>
              <w:rPr>
                <w:b w:val="false"/>
                <w:bCs w:val="false"/>
                <w:sz w:val="18"/>
                <w:szCs w:val="18"/>
              </w:rPr>
              <w:t xml:space="preserve">1.61</w:t>
            </w:r>
          </w:p>
        </w:tc>
        <w:tc>
          <w:tcPr>
            <w:tcW w:type="dxa" w:w="760"/>
            <w:tcMar>
              <w:top w:type="dxa" w:w="40"/>
              <w:left w:type="dxa" w:w="60"/>
              <w:bottom w:type="dxa" w:w="40"/>
              <w:right w:type="dxa" w:w="60"/>
            </w:tcMar>
          </w:tcPr>
          <w:p>
            <w:pPr>
              <w:jc w:val="center"/>
            </w:pPr>
            <w:r>
              <w:rPr>
                <w:b w:val="false"/>
                <w:bCs w:val="false"/>
                <w:sz w:val="18"/>
                <w:szCs w:val="18"/>
              </w:rPr>
              <w:t xml:space="preserve">-15</w:t>
            </w:r>
          </w:p>
        </w:tc>
        <w:tc>
          <w:tcPr>
            <w:tcW w:type="dxa" w:w="720"/>
            <w:tcMar>
              <w:top w:type="dxa" w:w="40"/>
              <w:left w:type="dxa" w:w="60"/>
              <w:bottom w:type="dxa" w:w="40"/>
              <w:right w:type="dxa" w:w="60"/>
            </w:tcMar>
          </w:tcPr>
          <w:p>
            <w:pPr>
              <w:jc w:val="center"/>
            </w:pPr>
            <w:r>
              <w:rPr>
                <w:b w:val="false"/>
                <w:bCs w:val="false"/>
                <w:sz w:val="18"/>
                <w:szCs w:val="18"/>
              </w:rPr>
              <w:t xml:space="preserve">14.5</w:t>
            </w:r>
          </w:p>
        </w:tc>
        <w:tc>
          <w:tcPr>
            <w:tcW w:type="dxa" w:w="860"/>
            <w:tcMar>
              <w:top w:type="dxa" w:w="40"/>
              <w:left w:type="dxa" w:w="60"/>
              <w:bottom w:type="dxa" w:w="40"/>
              <w:right w:type="dxa" w:w="60"/>
            </w:tcMar>
          </w:tcPr>
          <w:p>
            <w:pPr>
              <w:jc w:val="center"/>
            </w:pPr>
            <w:r>
              <w:rPr>
                <w:b w:val="false"/>
                <w:bCs w:val="false"/>
                <w:sz w:val="18"/>
                <w:szCs w:val="18"/>
              </w:rPr>
              <w:t xml:space="preserve">10.4</w:t>
            </w:r>
          </w:p>
        </w:tc>
      </w:tr>
      <w:tr>
        <w:tc>
          <w:tcPr>
            <w:tcW w:type="dxa" w:w="520"/>
            <w:shd w:fill="F2F2F2" w:val="clear"/>
            <w:tcMar>
              <w:top w:type="dxa" w:w="40"/>
              <w:left w:type="dxa" w:w="60"/>
              <w:bottom w:type="dxa" w:w="40"/>
              <w:right w:type="dxa" w:w="60"/>
            </w:tcMar>
          </w:tcPr>
          <w:p>
            <w:pPr>
              <w:jc w:val="left"/>
            </w:pPr>
            <w:r>
              <w:rPr>
                <w:b w:val="false"/>
                <w:bCs w:val="false"/>
                <w:sz w:val="18"/>
                <w:szCs w:val="18"/>
              </w:rPr>
              <w:t xml:space="preserve">US</w:t>
            </w:r>
          </w:p>
        </w:tc>
        <w:tc>
          <w:tcPr>
            <w:tcW w:type="dxa" w:w="1760"/>
            <w:shd w:fill="F2F2F2" w:val="clear"/>
            <w:tcMar>
              <w:top w:type="dxa" w:w="40"/>
              <w:left w:type="dxa" w:w="60"/>
              <w:bottom w:type="dxa" w:w="40"/>
              <w:right w:type="dxa" w:w="60"/>
            </w:tcMar>
          </w:tcPr>
          <w:p>
            <w:pPr>
              <w:jc w:val="left"/>
            </w:pPr>
            <w:r>
              <w:rPr>
                <w:b w:val="false"/>
                <w:bCs w:val="false"/>
                <w:sz w:val="18"/>
                <w:szCs w:val="18"/>
              </w:rPr>
              <w:t xml:space="preserve">ND (Fargo)</w:t>
            </w:r>
          </w:p>
        </w:tc>
        <w:tc>
          <w:tcPr>
            <w:tcW w:type="dxa" w:w="620"/>
            <w:shd w:fill="F2F2F2" w:val="clear"/>
            <w:tcMar>
              <w:top w:type="dxa" w:w="40"/>
              <w:left w:type="dxa" w:w="60"/>
              <w:bottom w:type="dxa" w:w="40"/>
              <w:right w:type="dxa" w:w="60"/>
            </w:tcMar>
          </w:tcPr>
          <w:p>
            <w:pPr>
              <w:jc w:val="center"/>
            </w:pPr>
            <w:r>
              <w:rPr>
                <w:b w:val="false"/>
                <w:bCs w:val="false"/>
                <w:sz w:val="18"/>
                <w:szCs w:val="18"/>
              </w:rPr>
              <w:t xml:space="preserve">1.45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0.21</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2.12</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0</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0.87</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1.55</w:t>
            </w:r>
          </w:p>
        </w:tc>
        <w:tc>
          <w:tcPr>
            <w:tcW w:type="dxa" w:w="760"/>
            <w:shd w:fill="F2F2F2" w:val="clear"/>
            <w:tcMar>
              <w:top w:type="dxa" w:w="40"/>
              <w:left w:type="dxa" w:w="60"/>
              <w:bottom w:type="dxa" w:w="40"/>
              <w:right w:type="dxa" w:w="60"/>
            </w:tcMar>
          </w:tcPr>
          <w:p>
            <w:pPr>
              <w:jc w:val="center"/>
            </w:pPr>
            <w:r>
              <w:rPr>
                <w:b w:val="false"/>
                <w:bCs w:val="false"/>
                <w:sz w:val="18"/>
                <w:szCs w:val="18"/>
              </w:rPr>
              <w:t xml:space="preserve">-15</w:t>
            </w:r>
          </w:p>
        </w:tc>
        <w:tc>
          <w:tcPr>
            <w:tcW w:type="dxa" w:w="720"/>
            <w:shd w:fill="F2F2F2" w:val="clear"/>
            <w:tcMar>
              <w:top w:type="dxa" w:w="40"/>
              <w:left w:type="dxa" w:w="60"/>
              <w:bottom w:type="dxa" w:w="40"/>
              <w:right w:type="dxa" w:w="60"/>
            </w:tcMar>
          </w:tcPr>
          <w:p>
            <w:pPr>
              <w:jc w:val="center"/>
            </w:pPr>
            <w:r>
              <w:rPr>
                <w:b w:val="false"/>
                <w:bCs w:val="false"/>
                <w:sz w:val="18"/>
                <w:szCs w:val="18"/>
              </w:rPr>
              <w:t xml:space="preserve">12.3</w:t>
            </w:r>
          </w:p>
        </w:tc>
        <w:tc>
          <w:tcPr>
            <w:tcW w:type="dxa" w:w="860"/>
            <w:shd w:fill="F2F2F2" w:val="clear"/>
            <w:tcMar>
              <w:top w:type="dxa" w:w="40"/>
              <w:left w:type="dxa" w:w="60"/>
              <w:bottom w:type="dxa" w:w="40"/>
              <w:right w:type="dxa" w:w="60"/>
            </w:tcMar>
          </w:tcPr>
          <w:p>
            <w:pPr>
              <w:jc w:val="center"/>
            </w:pPr>
            <w:r>
              <w:rPr>
                <w:b w:val="false"/>
                <w:bCs w:val="false"/>
                <w:sz w:val="18"/>
                <w:szCs w:val="18"/>
              </w:rPr>
              <w:t xml:space="preserve">7.6</w:t>
            </w:r>
          </w:p>
        </w:tc>
      </w:tr>
    </w:tbl>
    <w:p>
      <w:pPr>
        <w:pStyle w:val="Heading1"/>
        <w:spacing w:after="120" w:before="240"/>
      </w:pPr>
      <w:r>
        <w:rPr>
          <w:b/>
          <w:bCs/>
          <w:color w:val="1F3864"/>
        </w:rPr>
        <w:t xml:space="preserve">11. Limitations</w:t>
      </w:r>
    </w:p>
    <w:p>
      <w:pPr>
        <w:spacing w:after="120" w:before="0"/>
      </w:pPr>
      <w:r>
        <w:rPr>
          <w:sz w:val="21"/>
          <w:szCs w:val="21"/>
        </w:rPr>
        <w:t xml:space="preserve">The model assumes a single representative-city climate per jurisdiction; within-jurisdiction climate variation (e.g. upstate New York versus New York City) is not resolved. The economic switchover assumes a rational cost-minimizing setpoint bounded by heat-pump-priority behavior; actual installer setpoints vary and are not observed. The field COP curve is a cross-study average and does not distinguish air-to-air from air-to-water or capture individual system quality. Delivered gas prices for Canada and the oil/propane commodity prices are approximate. The lockout (−15°C), the 0°C switchover cap, and the daily temperature variability (σ = 4°C) are modelling choices; the space-heating results for cold-climate, fossil-backup respondents are most sensitive to the first two, which are documented here so they can be varied in sensitivity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2026-07-22T20:35:33.818Z</dcterms:created>
  <dcterms:modified xsi:type="dcterms:W3CDTF">2026-07-22T20:35:33.831Z</dcterms:modified>
</cp:coreProperties>
</file>

<file path=docProps/custom.xml><?xml version="1.0" encoding="utf-8"?>
<Properties xmlns="http://schemas.openxmlformats.org/officeDocument/2006/custom-properties" xmlns:vt="http://schemas.openxmlformats.org/officeDocument/2006/docPropsVTypes"/>
</file>