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7B383" w14:textId="77777777" w:rsidR="00E255AE" w:rsidRPr="00E255AE" w:rsidRDefault="00E255AE" w:rsidP="00E25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E25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Heat-pump backup model — decisions &amp; parameters (2026-07-20)</w:t>
      </w:r>
    </w:p>
    <w:p w14:paraId="3D5E96CF" w14:textId="77777777" w:rsidR="00E255AE" w:rsidRPr="00E255AE" w:rsidRDefault="00E255AE" w:rsidP="00E25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Final model added to </w:t>
      </w:r>
      <w:r w:rsidRPr="00E255AE">
        <w:rPr>
          <w:rFonts w:ascii="Courier New" w:eastAsia="Times New Roman" w:hAnsi="Courier New" w:cs="Courier New"/>
          <w:sz w:val="20"/>
          <w:szCs w:val="20"/>
          <w:lang w:eastAsia="en-CA"/>
        </w:rPr>
        <w:t>CO2_calculator_all_jurisdictions.xlsx</w:t>
      </w:r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for heat pumps with a backup heat source.</w:t>
      </w:r>
    </w:p>
    <w:p w14:paraId="70CC6487" w14:textId="77777777" w:rsidR="00E255AE" w:rsidRPr="00E255AE" w:rsidRDefault="00E255AE" w:rsidP="00E25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E255AE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Model</w:t>
      </w:r>
    </w:p>
    <w:p w14:paraId="6C398D5F" w14:textId="77777777" w:rsidR="00E255AE" w:rsidRPr="00E255AE" w:rsidRDefault="00E255AE" w:rsidP="00E25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255A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COP(T) curve</w:t>
      </w:r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field data, Gibb et al. 2023 (Joule) LOWESS trend, digitized → </w:t>
      </w:r>
      <w:proofErr w:type="spellStart"/>
      <w:r w:rsidRPr="00E255AE">
        <w:rPr>
          <w:rFonts w:ascii="Courier New" w:eastAsia="Times New Roman" w:hAnsi="Courier New" w:cs="Courier New"/>
          <w:sz w:val="20"/>
          <w:szCs w:val="20"/>
          <w:lang w:eastAsia="en-CA"/>
        </w:rPr>
        <w:t>COP_field</w:t>
      </w:r>
      <w:proofErr w:type="spellEnd"/>
      <w:r w:rsidRPr="00E255AE">
        <w:rPr>
          <w:rFonts w:ascii="Courier New" w:eastAsia="Times New Roman" w:hAnsi="Courier New" w:cs="Courier New"/>
          <w:sz w:val="20"/>
          <w:szCs w:val="20"/>
          <w:lang w:eastAsia="en-CA"/>
        </w:rPr>
        <w:t>(T) = 2.827 + 0.0807·T + 0.00151·T²</w:t>
      </w:r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(RMSE 0.026). Chosen over datasheet curves (</w:t>
      </w:r>
      <w:proofErr w:type="spellStart"/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>Staffell</w:t>
      </w:r>
      <w:proofErr w:type="spellEnd"/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2012, </w:t>
      </w:r>
      <w:proofErr w:type="spellStart"/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>Ruhnau</w:t>
      </w:r>
      <w:proofErr w:type="spellEnd"/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2019); it is standard-stock field data, NOT cold-climate (</w:t>
      </w:r>
      <w:proofErr w:type="spellStart"/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>ccASHP</w:t>
      </w:r>
      <w:proofErr w:type="spellEnd"/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) — Gibb treats </w:t>
      </w:r>
      <w:proofErr w:type="spellStart"/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>ccASHP</w:t>
      </w:r>
      <w:proofErr w:type="spellEnd"/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separately and that data was excluded.</w:t>
      </w:r>
    </w:p>
    <w:p w14:paraId="76F158F0" w14:textId="77777777" w:rsidR="00E255AE" w:rsidRPr="00E255AE" w:rsidRDefault="00E255AE" w:rsidP="00E25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255A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Lockout</w:t>
      </w:r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−15 °C (standard-stock compressor </w:t>
      </w:r>
      <w:proofErr w:type="spellStart"/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>cutout</w:t>
      </w:r>
      <w:proofErr w:type="spellEnd"/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>; resistance/backup below).</w:t>
      </w:r>
    </w:p>
    <w:p w14:paraId="23EDF0E4" w14:textId="77777777" w:rsidR="00E255AE" w:rsidRPr="00E255AE" w:rsidRDefault="00E255AE" w:rsidP="00E25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255A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Climate</w:t>
      </w:r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seasonal sinusoid + N(σ=4°C) daily variability; heating load </w:t>
      </w:r>
      <w:r w:rsidRPr="00E255AE">
        <w:rPr>
          <w:rFonts w:ascii="Cambria Math" w:eastAsia="Times New Roman" w:hAnsi="Cambria Math" w:cs="Cambria Math"/>
          <w:sz w:val="24"/>
          <w:szCs w:val="24"/>
          <w:lang w:eastAsia="en-CA"/>
        </w:rPr>
        <w:t>∝</w:t>
      </w:r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max(0,18−T).</w:t>
      </w:r>
    </w:p>
    <w:p w14:paraId="7A3F1E7C" w14:textId="77777777" w:rsidR="00E255AE" w:rsidRPr="00E255AE" w:rsidRDefault="00E255AE" w:rsidP="00E25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255A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Level calibration</w:t>
      </w:r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single factor φ scales the curve so national load-weighted seasonal COP = 1.90 (CA) / 2.00 (US). </w:t>
      </w:r>
      <w:proofErr w:type="spellStart"/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>φ_CA</w:t>
      </w:r>
      <w:proofErr w:type="spellEnd"/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=0.731, </w:t>
      </w:r>
      <w:proofErr w:type="spellStart"/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>φ_US</w:t>
      </w:r>
      <w:proofErr w:type="spellEnd"/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>=0.626; ratio 0.855 → US fleet ~14% worse at equal climate (vintage). Climate handled explicitly per jurisdiction.</w:t>
      </w:r>
    </w:p>
    <w:p w14:paraId="62817C12" w14:textId="77777777" w:rsidR="00E255AE" w:rsidRPr="00E255AE" w:rsidRDefault="00E255AE" w:rsidP="00E25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255A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Electric/None/Don't-know backup</w:t>
      </w:r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jurisdiction-specific seasonal COP (integrate </w:t>
      </w:r>
      <w:proofErr w:type="spellStart"/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>φ·curve</w:t>
      </w:r>
      <w:proofErr w:type="spellEnd"/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over each jurisdiction's climate). The single seasonal COP is the exact (lossless) load-weighted harmonic mean of the curve — verified identical to bin-by-bin integration.</w:t>
      </w:r>
    </w:p>
    <w:p w14:paraId="1C81B6A7" w14:textId="77777777" w:rsidR="00E255AE" w:rsidRPr="00E255AE" w:rsidRDefault="00E255AE" w:rsidP="00E25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255A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Fossil (gas, oil/propane) backup — switchover</w:t>
      </w:r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economic (cost-minimizing) temperature, </w:t>
      </w:r>
      <w:r w:rsidRPr="00E255AE">
        <w:rPr>
          <w:rFonts w:ascii="Courier New" w:eastAsia="Times New Roman" w:hAnsi="Courier New" w:cs="Courier New"/>
          <w:sz w:val="20"/>
          <w:szCs w:val="20"/>
          <w:lang w:eastAsia="en-CA"/>
        </w:rPr>
        <w:t>COP* = (</w:t>
      </w:r>
      <w:proofErr w:type="spellStart"/>
      <w:r w:rsidRPr="00E255AE">
        <w:rPr>
          <w:rFonts w:ascii="Courier New" w:eastAsia="Times New Roman" w:hAnsi="Courier New" w:cs="Courier New"/>
          <w:sz w:val="20"/>
          <w:szCs w:val="20"/>
          <w:lang w:eastAsia="en-CA"/>
        </w:rPr>
        <w:t>elec</w:t>
      </w:r>
      <w:proofErr w:type="spellEnd"/>
      <w:r w:rsidRPr="00E255AE">
        <w:rPr>
          <w:rFonts w:ascii="Courier New" w:eastAsia="Times New Roman" w:hAnsi="Courier New" w:cs="Courier New"/>
          <w:sz w:val="20"/>
          <w:szCs w:val="20"/>
          <w:lang w:eastAsia="en-CA"/>
        </w:rPr>
        <w:t>$/kWh × η)</w:t>
      </w:r>
      <w:proofErr w:type="gramStart"/>
      <w:r w:rsidRPr="00E255AE">
        <w:rPr>
          <w:rFonts w:ascii="Courier New" w:eastAsia="Times New Roman" w:hAnsi="Courier New" w:cs="Courier New"/>
          <w:sz w:val="20"/>
          <w:szCs w:val="20"/>
          <w:lang w:eastAsia="en-CA"/>
        </w:rPr>
        <w:t>/(</w:t>
      </w:r>
      <w:proofErr w:type="gramEnd"/>
      <w:r w:rsidRPr="00E255AE">
        <w:rPr>
          <w:rFonts w:ascii="Courier New" w:eastAsia="Times New Roman" w:hAnsi="Courier New" w:cs="Courier New"/>
          <w:sz w:val="20"/>
          <w:szCs w:val="20"/>
          <w:lang w:eastAsia="en-CA"/>
        </w:rPr>
        <w:t>fuel$/GJ × 0.0036)</w:t>
      </w:r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solved on </w:t>
      </w:r>
      <w:proofErr w:type="spellStart"/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>φ·curve</w:t>
      </w:r>
      <w:proofErr w:type="spellEnd"/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. </w:t>
      </w:r>
      <w:r w:rsidRPr="00E255A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Capped at max 0 °C</w:t>
      </w:r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(HP-priority above freezing) and floored at −15 °C. User decision: pure economics put Ontario switchover at +15°C (HP idle all winter) because gas is cheap; the 0°C cap fixes this. Cheap-electricity provinces (QC/MB/BC) run HP to lockout via the economic value.</w:t>
      </w:r>
    </w:p>
    <w:p w14:paraId="3748DEAA" w14:textId="77777777" w:rsidR="00E255AE" w:rsidRPr="00E255AE" w:rsidRDefault="00E255AE" w:rsidP="00E25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255A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Emissions (fossil backup)</w:t>
      </w:r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</w:t>
      </w:r>
      <w:r w:rsidRPr="00E255AE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E = </w:t>
      </w:r>
      <w:proofErr w:type="spellStart"/>
      <w:r w:rsidRPr="00E255AE">
        <w:rPr>
          <w:rFonts w:ascii="Courier New" w:eastAsia="Times New Roman" w:hAnsi="Courier New" w:cs="Courier New"/>
          <w:sz w:val="20"/>
          <w:szCs w:val="20"/>
          <w:lang w:eastAsia="en-CA"/>
        </w:rPr>
        <w:t>f_hp</w:t>
      </w:r>
      <w:proofErr w:type="spellEnd"/>
      <w:r w:rsidRPr="00E255AE">
        <w:rPr>
          <w:rFonts w:ascii="Courier New" w:eastAsia="Times New Roman" w:hAnsi="Courier New" w:cs="Courier New"/>
          <w:sz w:val="20"/>
          <w:szCs w:val="20"/>
          <w:lang w:eastAsia="en-CA"/>
        </w:rPr>
        <w:t>·(D/</w:t>
      </w:r>
      <w:proofErr w:type="spellStart"/>
      <w:r w:rsidRPr="00E255AE">
        <w:rPr>
          <w:rFonts w:ascii="Courier New" w:eastAsia="Times New Roman" w:hAnsi="Courier New" w:cs="Courier New"/>
          <w:sz w:val="20"/>
          <w:szCs w:val="20"/>
          <w:lang w:eastAsia="en-CA"/>
        </w:rPr>
        <w:t>COP_</w:t>
      </w:r>
      <w:proofErr w:type="gramStart"/>
      <w:r w:rsidRPr="00E255AE">
        <w:rPr>
          <w:rFonts w:ascii="Courier New" w:eastAsia="Times New Roman" w:hAnsi="Courier New" w:cs="Courier New"/>
          <w:sz w:val="20"/>
          <w:szCs w:val="20"/>
          <w:lang w:eastAsia="en-CA"/>
        </w:rPr>
        <w:t>op</w:t>
      </w:r>
      <w:proofErr w:type="spellEnd"/>
      <w:r w:rsidRPr="00E255AE">
        <w:rPr>
          <w:rFonts w:ascii="Courier New" w:eastAsia="Times New Roman" w:hAnsi="Courier New" w:cs="Courier New"/>
          <w:sz w:val="20"/>
          <w:szCs w:val="20"/>
          <w:lang w:eastAsia="en-CA"/>
        </w:rPr>
        <w:t>)·</w:t>
      </w:r>
      <w:proofErr w:type="gramEnd"/>
      <w:r w:rsidRPr="00E255AE">
        <w:rPr>
          <w:rFonts w:ascii="Courier New" w:eastAsia="Times New Roman" w:hAnsi="Courier New" w:cs="Courier New"/>
          <w:sz w:val="20"/>
          <w:szCs w:val="20"/>
          <w:lang w:eastAsia="en-CA"/>
        </w:rPr>
        <w:t>g + (1−f_hp)·(D/</w:t>
      </w:r>
      <w:proofErr w:type="spellStart"/>
      <w:r w:rsidRPr="00E255AE">
        <w:rPr>
          <w:rFonts w:ascii="Courier New" w:eastAsia="Times New Roman" w:hAnsi="Courier New" w:cs="Courier New"/>
          <w:sz w:val="20"/>
          <w:szCs w:val="20"/>
          <w:lang w:eastAsia="en-CA"/>
        </w:rPr>
        <w:t>η_b</w:t>
      </w:r>
      <w:proofErr w:type="spellEnd"/>
      <w:r w:rsidRPr="00E255AE">
        <w:rPr>
          <w:rFonts w:ascii="Courier New" w:eastAsia="Times New Roman" w:hAnsi="Courier New" w:cs="Courier New"/>
          <w:sz w:val="20"/>
          <w:szCs w:val="20"/>
          <w:lang w:eastAsia="en-CA"/>
        </w:rPr>
        <w:t>)·</w:t>
      </w:r>
      <w:proofErr w:type="spellStart"/>
      <w:r w:rsidRPr="00E255AE">
        <w:rPr>
          <w:rFonts w:ascii="Courier New" w:eastAsia="Times New Roman" w:hAnsi="Courier New" w:cs="Courier New"/>
          <w:sz w:val="20"/>
          <w:szCs w:val="20"/>
          <w:lang w:eastAsia="en-CA"/>
        </w:rPr>
        <w:t>e_b</w:t>
      </w:r>
      <w:proofErr w:type="spellEnd"/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>. Lifecycle EFs: gas 63.28, oil/propane 79.8 kg CO2e/GJ; grid factor per jurisdiction.</w:t>
      </w:r>
    </w:p>
    <w:p w14:paraId="0192E9DE" w14:textId="77777777" w:rsidR="00E255AE" w:rsidRPr="00E255AE" w:rsidRDefault="00E255AE" w:rsidP="00E25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E255AE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Workbook changes</w:t>
      </w:r>
    </w:p>
    <w:p w14:paraId="7C228F69" w14:textId="77777777" w:rsidR="00E255AE" w:rsidRPr="00E255AE" w:rsidRDefault="00E255AE" w:rsidP="00E255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New input </w:t>
      </w:r>
      <w:r w:rsidRPr="00E255A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B15</w:t>
      </w:r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"Heat-pump backup heat source" (dropdown). All Calculator rows ≥15 shifted +1 (space heating now row 26, TOTAL row 30).</w:t>
      </w:r>
    </w:p>
    <w:p w14:paraId="54E49DF7" w14:textId="77777777" w:rsidR="00E255AE" w:rsidRPr="00E255AE" w:rsidRDefault="00E255AE" w:rsidP="00E255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E255A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P_HPcop</w:t>
      </w:r>
      <w:proofErr w:type="spellEnd"/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repurposed: B=jurisdiction seasonal COP, C/D=</w:t>
      </w:r>
      <w:proofErr w:type="spellStart"/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>fhp</w:t>
      </w:r>
      <w:proofErr w:type="spellEnd"/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>/COP gas, E/F=</w:t>
      </w:r>
      <w:proofErr w:type="spellStart"/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>fhp</w:t>
      </w:r>
      <w:proofErr w:type="spellEnd"/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>/COP oil-propane, G/H=switchover temps, I/J=</w:t>
      </w:r>
      <w:proofErr w:type="spellStart"/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>elec</w:t>
      </w:r>
      <w:proofErr w:type="spellEnd"/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&amp; gas prices. (It's the 14th of 16 tabs — easy to miss.)</w:t>
      </w:r>
    </w:p>
    <w:p w14:paraId="618CE49F" w14:textId="77777777" w:rsidR="00E255AE" w:rsidRPr="00E255AE" w:rsidRDefault="00E255AE" w:rsidP="00E255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Auditable </w:t>
      </w:r>
      <w:r w:rsidRPr="00E255A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HP-backup detail block</w:t>
      </w:r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at Calculator K24:L32.</w:t>
      </w:r>
    </w:p>
    <w:p w14:paraId="752B8412" w14:textId="77777777" w:rsidR="00E255AE" w:rsidRPr="00E255AE" w:rsidRDefault="00E255AE" w:rsidP="00E255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>Space-heating formula B26 gets a heat-pump branch → uses L32. Non-HP unchanged; Don't-know-mix now inherits jurisdiction HP COP (intended).</w:t>
      </w:r>
    </w:p>
    <w:p w14:paraId="21769E5A" w14:textId="77777777" w:rsidR="00E255AE" w:rsidRPr="00E255AE" w:rsidRDefault="00E255AE" w:rsidP="00E25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E255AE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Jurisdiction set — NOW 66 (PR + VI added 2026-07-20)</w:t>
      </w:r>
    </w:p>
    <w:p w14:paraId="5EA5A741" w14:textId="77777777" w:rsidR="00E255AE" w:rsidRPr="00E255AE" w:rsidRDefault="00E255AE" w:rsidP="00E25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 xml:space="preserve">Originally 64 (50 US states + DC + 13 CA). </w:t>
      </w:r>
      <w:r w:rsidRPr="00E255A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Puerto Rico and US Virgin Islands added as full jurisdictions</w:t>
      </w:r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across all 10 keyed sheets + </w:t>
      </w:r>
      <w:proofErr w:type="spellStart"/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>P_Vehicle</w:t>
      </w:r>
      <w:proofErr w:type="spellEnd"/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+ the B5 hint list. Both tropical → space heating ≈ 0, HP-backup path inert; AC + other-</w:t>
      </w:r>
      <w:proofErr w:type="spellStart"/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>elec</w:t>
      </w:r>
      <w:proofErr w:type="spellEnd"/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dominate. PR grid EF = eGRID2022 PRMS ≈726 gCO2e/kWh; VI (WAPA oil) estimated higher. Non-electricity params (heating/cooling/water/housing) set from a Hawaii analogue with tropical adjustments. Verified: PR/VI produce valid footprints, no #N/A; existing jurisdictions byte-identical.</w:t>
      </w:r>
    </w:p>
    <w:p w14:paraId="140E4A2C" w14:textId="77777777" w:rsidR="00E255AE" w:rsidRPr="00E255AE" w:rsidRDefault="00E255AE" w:rsidP="00E25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E255AE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Deliverables (in "Claude output" folder)</w:t>
      </w:r>
    </w:p>
    <w:p w14:paraId="0340407F" w14:textId="77777777" w:rsidR="00E255AE" w:rsidRPr="00E255AE" w:rsidRDefault="00E255AE" w:rsidP="00E25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255AE">
        <w:rPr>
          <w:rFonts w:ascii="Courier New" w:eastAsia="Times New Roman" w:hAnsi="Courier New" w:cs="Courier New"/>
          <w:sz w:val="20"/>
          <w:szCs w:val="20"/>
          <w:lang w:eastAsia="en-CA"/>
        </w:rPr>
        <w:t>CO2_calculator_all_jurisdictions.xlsx</w:t>
      </w:r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— the calculator.</w:t>
      </w:r>
    </w:p>
    <w:p w14:paraId="52F6F8B0" w14:textId="77777777" w:rsidR="00E255AE" w:rsidRPr="00E255AE" w:rsidRDefault="00E255AE" w:rsidP="00E25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255AE">
        <w:rPr>
          <w:rFonts w:ascii="Courier New" w:eastAsia="Times New Roman" w:hAnsi="Courier New" w:cs="Courier New"/>
          <w:sz w:val="20"/>
          <w:szCs w:val="20"/>
          <w:lang w:eastAsia="en-CA"/>
        </w:rPr>
        <w:t>Heat pump backup methodology.docx</w:t>
      </w:r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— methodology writeup.</w:t>
      </w:r>
    </w:p>
    <w:p w14:paraId="67AF6CC0" w14:textId="77777777" w:rsidR="00E255AE" w:rsidRPr="00E255AE" w:rsidRDefault="00E255AE" w:rsidP="00E25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255AE">
        <w:rPr>
          <w:rFonts w:ascii="Courier New" w:eastAsia="Times New Roman" w:hAnsi="Courier New" w:cs="Courier New"/>
          <w:sz w:val="20"/>
          <w:szCs w:val="20"/>
          <w:lang w:eastAsia="en-CA"/>
        </w:rPr>
        <w:t>Calculator implementation spec (for JavaScript).docx</w:t>
      </w:r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— tab-by-tab + formula-by-formula spec with a reference JS </w:t>
      </w:r>
      <w:proofErr w:type="gramStart"/>
      <w:r w:rsidRPr="00E255AE">
        <w:rPr>
          <w:rFonts w:ascii="Courier New" w:eastAsia="Times New Roman" w:hAnsi="Courier New" w:cs="Courier New"/>
          <w:sz w:val="20"/>
          <w:szCs w:val="20"/>
          <w:lang w:eastAsia="en-CA"/>
        </w:rPr>
        <w:t>footprint(</w:t>
      </w:r>
      <w:proofErr w:type="gramEnd"/>
      <w:r w:rsidRPr="00E255AE">
        <w:rPr>
          <w:rFonts w:ascii="Courier New" w:eastAsia="Times New Roman" w:hAnsi="Courier New" w:cs="Courier New"/>
          <w:sz w:val="20"/>
          <w:szCs w:val="20"/>
          <w:lang w:eastAsia="en-CA"/>
        </w:rPr>
        <w:t>)</w:t>
      </w:r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function, for porting the calculator to JavaScript in another session.</w:t>
      </w:r>
    </w:p>
    <w:p w14:paraId="4FEBF969" w14:textId="77777777" w:rsidR="00E255AE" w:rsidRPr="00E255AE" w:rsidRDefault="00E255AE" w:rsidP="00E25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E255AE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Prices (2024–26)</w:t>
      </w:r>
    </w:p>
    <w:p w14:paraId="2ACC0E0F" w14:textId="77777777" w:rsidR="00E255AE" w:rsidRPr="00E255AE" w:rsidRDefault="00E255AE" w:rsidP="00E25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>US: EIA/</w:t>
      </w:r>
      <w:proofErr w:type="spellStart"/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>ChooseEnergy</w:t>
      </w:r>
      <w:proofErr w:type="spellEnd"/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state electricity (¢/kWh) &amp; gas (/Mcf→/Mcf→ /Mcf→/GJ). Canada: </w:t>
      </w:r>
      <w:proofErr w:type="spellStart"/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>energyhub</w:t>
      </w:r>
      <w:proofErr w:type="spellEnd"/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provincial electricity; per-province delivered gas estimates ($9–16/GJ). Oil/propane ~$28/GJ US, ~$40/GJ CA. PR </w:t>
      </w:r>
      <w:proofErr w:type="spellStart"/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>elec</w:t>
      </w:r>
      <w:proofErr w:type="spellEnd"/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25¢, VI 45¢.</w:t>
      </w:r>
    </w:p>
    <w:p w14:paraId="714411EA" w14:textId="77777777" w:rsidR="00E255AE" w:rsidRPr="00E255AE" w:rsidRDefault="00E255AE" w:rsidP="00E25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E255AE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Verified</w:t>
      </w:r>
    </w:p>
    <w:p w14:paraId="5B702E40" w14:textId="77777777" w:rsidR="00E255AE" w:rsidRPr="00E255AE" w:rsidRDefault="00E255AE" w:rsidP="00E25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E255AE">
        <w:rPr>
          <w:rFonts w:ascii="Times New Roman" w:eastAsia="Times New Roman" w:hAnsi="Times New Roman" w:cs="Times New Roman"/>
          <w:sz w:val="24"/>
          <w:szCs w:val="24"/>
          <w:lang w:eastAsia="en-CA"/>
        </w:rPr>
        <w:t>LibreOffice recompute throughout: non-HP systems byte-identical to original; HP-electric uses jurisdiction SPF; None/Don't-know backup = electric; dual-fuel sensible; PR/VI valid.</w:t>
      </w:r>
    </w:p>
    <w:p w14:paraId="680C10D9" w14:textId="77777777" w:rsidR="006720EE" w:rsidRDefault="006720EE"/>
    <w:sectPr w:rsidR="006720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C7523"/>
    <w:multiLevelType w:val="multilevel"/>
    <w:tmpl w:val="2892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6288F"/>
    <w:multiLevelType w:val="multilevel"/>
    <w:tmpl w:val="634C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7159C"/>
    <w:multiLevelType w:val="multilevel"/>
    <w:tmpl w:val="6990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06A"/>
    <w:rsid w:val="006720EE"/>
    <w:rsid w:val="00E255AE"/>
    <w:rsid w:val="00E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4C936F-31E7-4365-BDB3-AD45345D3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55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E255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5AE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E255AE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customStyle="1" w:styleId="font-claude-response-body">
    <w:name w:val="font-claude-response-body"/>
    <w:basedOn w:val="Normal"/>
    <w:rsid w:val="00E255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E255A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255AE"/>
    <w:rPr>
      <w:b/>
      <w:bCs/>
    </w:rPr>
  </w:style>
  <w:style w:type="character" w:customStyle="1" w:styleId="katex-mathml">
    <w:name w:val="katex-mathml"/>
    <w:basedOn w:val="DefaultParagraphFont"/>
    <w:rsid w:val="00E255AE"/>
  </w:style>
  <w:style w:type="character" w:customStyle="1" w:styleId="mord">
    <w:name w:val="mord"/>
    <w:basedOn w:val="DefaultParagraphFont"/>
    <w:rsid w:val="00E255AE"/>
  </w:style>
  <w:style w:type="character" w:customStyle="1" w:styleId="mrel">
    <w:name w:val="mrel"/>
    <w:basedOn w:val="DefaultParagraphFont"/>
    <w:rsid w:val="00E255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540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Hoffmann, Vivian (IFPRI)</dc:creator>
  <cp:keywords/>
  <dc:description/>
  <cp:lastModifiedBy>Hoffmann, Vivian (IFPRI)</cp:lastModifiedBy>
  <cp:revision>2</cp:revision>
  <dcterms:created xsi:type="dcterms:W3CDTF">2026-07-22T21:21:00Z</dcterms:created>
  <dcterms:modified xsi:type="dcterms:W3CDTF">2026-07-22T21:21:00Z</dcterms:modified>
</cp:coreProperties>
</file>