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514"/>
        <w:gridCol w:w="5506"/>
      </w:tblGrid>
      <w:tr w:rsidR="006419E5" w:rsidRPr="006419E5" w:rsidTr="00157A22">
        <w:trPr>
          <w:trHeight w:val="720"/>
        </w:trPr>
        <w:tc>
          <w:tcPr>
            <w:tcW w:w="1948" w:type="pct"/>
            <w:shd w:val="clear" w:color="auto" w:fill="auto"/>
          </w:tcPr>
          <w:p w:rsidR="00A212EF" w:rsidRPr="006419E5" w:rsidRDefault="001A6990" w:rsidP="006419E5">
            <w:pPr>
              <w:pStyle w:val="Bodytext20"/>
              <w:shd w:val="clear" w:color="auto" w:fill="auto"/>
              <w:tabs>
                <w:tab w:val="left" w:pos="3701"/>
              </w:tabs>
              <w:spacing w:line="240" w:lineRule="auto"/>
              <w:jc w:val="center"/>
              <w:rPr>
                <w:rFonts w:ascii="Arial" w:hAnsi="Arial" w:cs="Arial"/>
                <w:sz w:val="20"/>
                <w:szCs w:val="20"/>
              </w:rPr>
            </w:pPr>
            <w:r w:rsidRPr="006419E5">
              <w:rPr>
                <w:rFonts w:ascii="Arial" w:hAnsi="Arial" w:cs="Arial"/>
                <w:sz w:val="20"/>
                <w:szCs w:val="20"/>
              </w:rPr>
              <w:t>QUỐC</w:t>
            </w:r>
            <w:r w:rsidR="00A212EF" w:rsidRPr="006419E5">
              <w:rPr>
                <w:rFonts w:ascii="Arial" w:hAnsi="Arial" w:cs="Arial"/>
                <w:sz w:val="20"/>
                <w:szCs w:val="20"/>
              </w:rPr>
              <w:t xml:space="preserve"> HỘI</w:t>
            </w:r>
          </w:p>
          <w:p w:rsidR="001A6990" w:rsidRPr="006419E5" w:rsidRDefault="001A6990" w:rsidP="006419E5">
            <w:pPr>
              <w:pStyle w:val="Bodytext20"/>
              <w:shd w:val="clear" w:color="auto" w:fill="auto"/>
              <w:tabs>
                <w:tab w:val="left" w:pos="3701"/>
              </w:tabs>
              <w:spacing w:line="240" w:lineRule="auto"/>
              <w:jc w:val="center"/>
              <w:rPr>
                <w:rFonts w:ascii="Arial" w:hAnsi="Arial" w:cs="Arial"/>
                <w:b w:val="0"/>
                <w:sz w:val="20"/>
                <w:szCs w:val="20"/>
                <w:lang w:val="en-US"/>
              </w:rPr>
            </w:pPr>
            <w:r w:rsidRPr="006419E5">
              <w:rPr>
                <w:rFonts w:ascii="Arial" w:hAnsi="Arial" w:cs="Arial"/>
                <w:b w:val="0"/>
                <w:sz w:val="20"/>
                <w:szCs w:val="20"/>
                <w:lang w:val="en-US"/>
              </w:rPr>
              <w:t>__________</w:t>
            </w:r>
            <w:bookmarkStart w:id="0" w:name="_GoBack"/>
            <w:bookmarkEnd w:id="0"/>
          </w:p>
          <w:p w:rsidR="00A212EF" w:rsidRPr="006419E5" w:rsidRDefault="00A212EF" w:rsidP="006419E5">
            <w:pPr>
              <w:pStyle w:val="Bodytext20"/>
              <w:shd w:val="clear" w:color="auto" w:fill="auto"/>
              <w:tabs>
                <w:tab w:val="left" w:pos="3701"/>
              </w:tabs>
              <w:spacing w:line="240" w:lineRule="auto"/>
              <w:jc w:val="center"/>
              <w:rPr>
                <w:rFonts w:ascii="Arial" w:hAnsi="Arial" w:cs="Arial"/>
                <w:b w:val="0"/>
                <w:sz w:val="20"/>
                <w:szCs w:val="20"/>
              </w:rPr>
            </w:pPr>
            <w:r w:rsidRPr="006419E5">
              <w:rPr>
                <w:rFonts w:ascii="Arial" w:hAnsi="Arial" w:cs="Arial"/>
                <w:sz w:val="20"/>
                <w:szCs w:val="20"/>
              </w:rPr>
              <w:t xml:space="preserve"> </w:t>
            </w:r>
            <w:r w:rsidRPr="006419E5">
              <w:rPr>
                <w:rFonts w:ascii="Arial" w:hAnsi="Arial" w:cs="Arial"/>
                <w:b w:val="0"/>
                <w:sz w:val="20"/>
                <w:szCs w:val="20"/>
              </w:rPr>
              <w:t>Luật số: 56/2020/QH14</w:t>
            </w:r>
          </w:p>
        </w:tc>
        <w:tc>
          <w:tcPr>
            <w:tcW w:w="3052" w:type="pct"/>
            <w:shd w:val="clear" w:color="auto" w:fill="auto"/>
          </w:tcPr>
          <w:p w:rsidR="00A212EF" w:rsidRPr="006419E5" w:rsidRDefault="00A212EF" w:rsidP="006419E5">
            <w:pPr>
              <w:pStyle w:val="Bodytext20"/>
              <w:shd w:val="clear" w:color="auto" w:fill="auto"/>
              <w:tabs>
                <w:tab w:val="left" w:pos="3701"/>
              </w:tabs>
              <w:spacing w:line="240" w:lineRule="auto"/>
              <w:jc w:val="center"/>
              <w:rPr>
                <w:rFonts w:ascii="Arial" w:hAnsi="Arial" w:cs="Arial"/>
                <w:sz w:val="20"/>
                <w:szCs w:val="20"/>
              </w:rPr>
            </w:pPr>
            <w:r w:rsidRPr="006419E5">
              <w:rPr>
                <w:rFonts w:ascii="Arial" w:hAnsi="Arial" w:cs="Arial"/>
                <w:sz w:val="20"/>
                <w:szCs w:val="20"/>
              </w:rPr>
              <w:t>CỘNG HÒA XÃ HỘI CHỦ NGHĨA VIỆT NAM</w:t>
            </w:r>
          </w:p>
          <w:p w:rsidR="00A212EF" w:rsidRPr="006419E5" w:rsidRDefault="001A6990" w:rsidP="006419E5">
            <w:pPr>
              <w:pStyle w:val="BodyText"/>
              <w:shd w:val="clear" w:color="auto" w:fill="auto"/>
              <w:spacing w:after="0" w:line="240" w:lineRule="auto"/>
              <w:ind w:firstLine="0"/>
              <w:jc w:val="center"/>
              <w:rPr>
                <w:rFonts w:ascii="Arial" w:hAnsi="Arial" w:cs="Arial"/>
                <w:b/>
                <w:bCs/>
                <w:sz w:val="20"/>
                <w:szCs w:val="20"/>
              </w:rPr>
            </w:pPr>
            <w:r w:rsidRPr="006419E5">
              <w:rPr>
                <w:rFonts w:ascii="Arial" w:hAnsi="Arial" w:cs="Arial"/>
                <w:b/>
                <w:bCs/>
                <w:sz w:val="20"/>
                <w:szCs w:val="20"/>
              </w:rPr>
              <w:t>Độc</w:t>
            </w:r>
            <w:r w:rsidR="00A212EF" w:rsidRPr="006419E5">
              <w:rPr>
                <w:rFonts w:ascii="Arial" w:hAnsi="Arial" w:cs="Arial"/>
                <w:b/>
                <w:bCs/>
                <w:sz w:val="20"/>
                <w:szCs w:val="20"/>
              </w:rPr>
              <w:t xml:space="preserve"> lập - Tự do - Hạnh phúc</w:t>
            </w:r>
          </w:p>
          <w:p w:rsidR="00A212EF" w:rsidRPr="006419E5" w:rsidRDefault="001A6990" w:rsidP="006419E5">
            <w:pPr>
              <w:pStyle w:val="BodyText"/>
              <w:shd w:val="clear" w:color="auto" w:fill="auto"/>
              <w:spacing w:after="0" w:line="240" w:lineRule="auto"/>
              <w:ind w:firstLine="0"/>
              <w:jc w:val="center"/>
              <w:rPr>
                <w:rFonts w:ascii="Arial" w:hAnsi="Arial" w:cs="Arial"/>
                <w:sz w:val="20"/>
                <w:szCs w:val="20"/>
                <w:lang w:val="en-US"/>
              </w:rPr>
            </w:pPr>
            <w:r w:rsidRPr="006419E5">
              <w:rPr>
                <w:rFonts w:ascii="Arial" w:hAnsi="Arial" w:cs="Arial"/>
                <w:bCs/>
                <w:sz w:val="20"/>
                <w:szCs w:val="20"/>
                <w:lang w:val="en-US"/>
              </w:rPr>
              <w:t>________________________</w:t>
            </w:r>
          </w:p>
        </w:tc>
      </w:tr>
    </w:tbl>
    <w:p w:rsidR="00A212EF" w:rsidRPr="00EB6DED" w:rsidRDefault="00A212EF" w:rsidP="00185CE7">
      <w:pPr>
        <w:pStyle w:val="Bodytext20"/>
        <w:shd w:val="clear" w:color="auto" w:fill="auto"/>
        <w:tabs>
          <w:tab w:val="left" w:pos="3701"/>
        </w:tabs>
        <w:spacing w:line="240" w:lineRule="auto"/>
        <w:jc w:val="center"/>
        <w:rPr>
          <w:rFonts w:ascii="Arial" w:hAnsi="Arial" w:cs="Arial"/>
          <w:sz w:val="20"/>
          <w:szCs w:val="20"/>
        </w:rPr>
      </w:pPr>
    </w:p>
    <w:p w:rsidR="00765FDA" w:rsidRPr="00EB6DED" w:rsidRDefault="006419E5" w:rsidP="00185CE7">
      <w:pPr>
        <w:pStyle w:val="Bodytext20"/>
        <w:shd w:val="clear" w:color="auto" w:fill="auto"/>
        <w:tabs>
          <w:tab w:val="left" w:pos="3701"/>
        </w:tabs>
        <w:spacing w:line="240" w:lineRule="auto"/>
        <w:jc w:val="center"/>
        <w:rPr>
          <w:rFonts w:ascii="Arial" w:hAnsi="Arial" w:cs="Arial"/>
          <w:sz w:val="20"/>
          <w:szCs w:val="20"/>
        </w:rPr>
      </w:pPr>
      <w:r w:rsidRPr="00EB6DED">
        <w:rPr>
          <w:rFonts w:ascii="Arial" w:hAnsi="Arial" w:cs="Arial"/>
          <w:sz w:val="20"/>
          <w:szCs w:val="20"/>
        </w:rPr>
        <w:tab/>
      </w:r>
    </w:p>
    <w:p w:rsidR="00765FDA" w:rsidRPr="00EB6DED" w:rsidRDefault="006419E5" w:rsidP="00185CE7">
      <w:pPr>
        <w:pStyle w:val="BodyText"/>
        <w:spacing w:after="0" w:line="240" w:lineRule="auto"/>
        <w:ind w:firstLine="0"/>
        <w:jc w:val="center"/>
        <w:rPr>
          <w:rFonts w:ascii="Arial" w:hAnsi="Arial" w:cs="Arial"/>
          <w:b/>
          <w:sz w:val="20"/>
          <w:szCs w:val="20"/>
        </w:rPr>
      </w:pPr>
      <w:r w:rsidRPr="00EB6DED">
        <w:rPr>
          <w:rFonts w:ascii="Arial" w:hAnsi="Arial" w:cs="Arial"/>
          <w:b/>
          <w:sz w:val="20"/>
          <w:szCs w:val="20"/>
        </w:rPr>
        <w:t>LUẬT</w:t>
      </w:r>
    </w:p>
    <w:p w:rsidR="00765FDA" w:rsidRPr="00EB6DED" w:rsidRDefault="001A6990" w:rsidP="00185CE7">
      <w:pPr>
        <w:pStyle w:val="BodyText"/>
        <w:shd w:val="clear" w:color="auto" w:fill="auto"/>
        <w:spacing w:after="0" w:line="240" w:lineRule="auto"/>
        <w:ind w:firstLine="0"/>
        <w:jc w:val="center"/>
        <w:rPr>
          <w:rFonts w:ascii="Arial" w:hAnsi="Arial" w:cs="Arial"/>
          <w:b/>
          <w:bCs/>
          <w:smallCaps/>
          <w:sz w:val="20"/>
          <w:szCs w:val="20"/>
          <w:lang w:val="en-US"/>
        </w:rPr>
      </w:pPr>
      <w:r w:rsidRPr="00EB6DED">
        <w:rPr>
          <w:rFonts w:ascii="Arial" w:hAnsi="Arial" w:cs="Arial"/>
          <w:b/>
          <w:bCs/>
          <w:sz w:val="20"/>
          <w:szCs w:val="20"/>
        </w:rPr>
        <w:t>SỬA ĐỔI, BỔ SUNG MỘT S</w:t>
      </w:r>
      <w:r w:rsidRPr="00EB6DED">
        <w:rPr>
          <w:rFonts w:ascii="Arial" w:hAnsi="Arial" w:cs="Arial"/>
          <w:b/>
          <w:bCs/>
          <w:sz w:val="20"/>
          <w:szCs w:val="20"/>
          <w:lang w:val="en-US"/>
        </w:rPr>
        <w:t>Ố</w:t>
      </w:r>
      <w:r w:rsidR="006419E5" w:rsidRPr="00EB6DED">
        <w:rPr>
          <w:rFonts w:ascii="Arial" w:hAnsi="Arial" w:cs="Arial"/>
          <w:b/>
          <w:bCs/>
          <w:sz w:val="20"/>
          <w:szCs w:val="20"/>
        </w:rPr>
        <w:t xml:space="preserve"> </w:t>
      </w:r>
      <w:r w:rsidRPr="00EB6DED">
        <w:rPr>
          <w:rFonts w:ascii="Arial" w:hAnsi="Arial" w:cs="Arial"/>
          <w:b/>
          <w:bCs/>
          <w:sz w:val="20"/>
          <w:szCs w:val="20"/>
        </w:rPr>
        <w:t>ĐIỀU CỦA LUẬT GIÁM ĐỊNH T</w:t>
      </w:r>
      <w:r w:rsidRPr="00EB6DED">
        <w:rPr>
          <w:rFonts w:ascii="Arial" w:hAnsi="Arial" w:cs="Arial"/>
          <w:b/>
          <w:bCs/>
          <w:sz w:val="20"/>
          <w:szCs w:val="20"/>
          <w:lang w:val="en-US"/>
        </w:rPr>
        <w:t>Ư PHÁP</w:t>
      </w:r>
    </w:p>
    <w:p w:rsidR="00A212EF" w:rsidRPr="00EB6DED" w:rsidRDefault="00A212EF" w:rsidP="00185CE7">
      <w:pPr>
        <w:pStyle w:val="BodyText"/>
        <w:shd w:val="clear" w:color="auto" w:fill="auto"/>
        <w:spacing w:after="0" w:line="240" w:lineRule="auto"/>
        <w:ind w:firstLine="0"/>
        <w:jc w:val="center"/>
        <w:rPr>
          <w:rFonts w:ascii="Arial" w:hAnsi="Arial" w:cs="Arial"/>
          <w:sz w:val="20"/>
          <w:szCs w:val="20"/>
        </w:rPr>
      </w:pP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i/>
          <w:iCs/>
          <w:sz w:val="20"/>
          <w:szCs w:val="20"/>
        </w:rPr>
        <w:t>Căn cứ Hiến pháp nước Cộng hòa xã hội chủ nghĩa Việt Nam;</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i/>
          <w:iCs/>
          <w:sz w:val="20"/>
          <w:szCs w:val="20"/>
        </w:rPr>
        <w:t xml:space="preserve">Quốc hội ban hành Luật sửa đổi, bổ sung một số điều của Luật Giám định tư pháp </w:t>
      </w:r>
      <w:r w:rsidR="001A6990" w:rsidRPr="00EB6DED">
        <w:rPr>
          <w:rFonts w:ascii="Arial" w:hAnsi="Arial" w:cs="Arial"/>
          <w:i/>
          <w:iCs/>
          <w:sz w:val="20"/>
          <w:szCs w:val="20"/>
          <w:lang w:val="en-US" w:eastAsia="en-US" w:bidi="en-US"/>
        </w:rPr>
        <w:t>số</w:t>
      </w:r>
      <w:r w:rsidRPr="00EB6DED">
        <w:rPr>
          <w:rFonts w:ascii="Arial" w:hAnsi="Arial" w:cs="Arial"/>
          <w:i/>
          <w:iCs/>
          <w:sz w:val="20"/>
          <w:szCs w:val="20"/>
          <w:lang w:val="en-US" w:eastAsia="en-US" w:bidi="en-US"/>
        </w:rPr>
        <w:t xml:space="preserve"> </w:t>
      </w:r>
      <w:r w:rsidR="00ED6F36" w:rsidRPr="00EB6DED">
        <w:rPr>
          <w:rFonts w:ascii="Arial" w:hAnsi="Arial" w:cs="Arial"/>
          <w:i/>
          <w:iCs/>
          <w:sz w:val="20"/>
          <w:szCs w:val="20"/>
        </w:rPr>
        <w:t>13/2012/QH13 đã được sửa đổi, bổ sung một số điều theo Luật số</w:t>
      </w:r>
      <w:r w:rsidRPr="00EB6DED">
        <w:rPr>
          <w:rFonts w:ascii="Arial" w:hAnsi="Arial" w:cs="Arial"/>
          <w:i/>
          <w:iCs/>
          <w:sz w:val="20"/>
          <w:szCs w:val="20"/>
        </w:rPr>
        <w:t xml:space="preserve"> </w:t>
      </w:r>
      <w:r w:rsidRPr="00EB6DED">
        <w:rPr>
          <w:rFonts w:ascii="Arial" w:hAnsi="Arial" w:cs="Arial"/>
          <w:i/>
          <w:iCs/>
          <w:sz w:val="20"/>
          <w:szCs w:val="20"/>
          <w:lang w:val="en-US" w:eastAsia="en-US" w:bidi="en-US"/>
        </w:rPr>
        <w:t>35/2018/QH14.</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1. Sửa đổi, bổ sung một số điều của Luật Giám định tư pháp</w:t>
      </w:r>
    </w:p>
    <w:p w:rsidR="00765FDA" w:rsidRPr="00EB6DED" w:rsidRDefault="00ED6F36" w:rsidP="00C00499">
      <w:pPr>
        <w:pStyle w:val="BodyText"/>
        <w:shd w:val="clear" w:color="auto" w:fill="auto"/>
        <w:tabs>
          <w:tab w:val="left" w:pos="10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Sửa</w:t>
      </w:r>
      <w:r w:rsidRPr="00EB6DED">
        <w:rPr>
          <w:rFonts w:ascii="Arial" w:hAnsi="Arial" w:cs="Arial"/>
          <w:sz w:val="20"/>
          <w:szCs w:val="20"/>
          <w:lang w:val="en-US"/>
        </w:rPr>
        <w:t xml:space="preserve"> </w:t>
      </w:r>
      <w:r w:rsidRPr="00EB6DED">
        <w:rPr>
          <w:rFonts w:ascii="Arial" w:hAnsi="Arial" w:cs="Arial"/>
          <w:sz w:val="20"/>
          <w:szCs w:val="20"/>
        </w:rPr>
        <w:t>đổi</w:t>
      </w:r>
      <w:r w:rsidR="006419E5" w:rsidRPr="00EB6DED">
        <w:rPr>
          <w:rFonts w:ascii="Arial" w:hAnsi="Arial" w:cs="Arial"/>
          <w:sz w:val="20"/>
          <w:szCs w:val="20"/>
        </w:rPr>
        <w:t xml:space="preserve">, bổ </w:t>
      </w:r>
      <w:r w:rsidR="006419E5" w:rsidRPr="00EB6DED">
        <w:rPr>
          <w:rFonts w:ascii="Arial" w:hAnsi="Arial" w:cs="Arial"/>
          <w:sz w:val="20"/>
          <w:szCs w:val="20"/>
          <w:lang w:val="en-US" w:eastAsia="en-US" w:bidi="en-US"/>
        </w:rPr>
        <w:t>sung</w:t>
      </w:r>
      <w:r w:rsidRPr="00EB6DED">
        <w:rPr>
          <w:rFonts w:ascii="Arial" w:hAnsi="Arial" w:cs="Arial"/>
          <w:sz w:val="20"/>
          <w:szCs w:val="20"/>
          <w:lang w:val="en-US" w:eastAsia="en-US" w:bidi="en-US"/>
        </w:rPr>
        <w:t xml:space="preserve"> các khoả</w:t>
      </w:r>
      <w:r w:rsidR="006419E5" w:rsidRPr="00EB6DED">
        <w:rPr>
          <w:rFonts w:ascii="Arial" w:hAnsi="Arial" w:cs="Arial"/>
          <w:sz w:val="20"/>
          <w:szCs w:val="20"/>
          <w:lang w:val="en-US" w:eastAsia="en-US" w:bidi="en-US"/>
        </w:rPr>
        <w:t xml:space="preserve">n </w:t>
      </w:r>
      <w:r w:rsidR="006419E5" w:rsidRPr="00EB6DED">
        <w:rPr>
          <w:rFonts w:ascii="Arial" w:hAnsi="Arial" w:cs="Arial"/>
          <w:sz w:val="20"/>
          <w:szCs w:val="20"/>
        </w:rPr>
        <w:t>1,</w:t>
      </w:r>
      <w:r w:rsidRPr="00EB6DED">
        <w:rPr>
          <w:rFonts w:ascii="Arial" w:hAnsi="Arial" w:cs="Arial"/>
          <w:sz w:val="20"/>
          <w:szCs w:val="20"/>
          <w:lang w:val="en-US"/>
        </w:rPr>
        <w:t xml:space="preserve"> </w:t>
      </w:r>
      <w:r w:rsidR="006419E5" w:rsidRPr="00EB6DED">
        <w:rPr>
          <w:rFonts w:ascii="Arial" w:hAnsi="Arial" w:cs="Arial"/>
          <w:sz w:val="20"/>
          <w:szCs w:val="20"/>
        </w:rPr>
        <w:t>2 và</w:t>
      </w:r>
      <w:r w:rsidRPr="00EB6DED">
        <w:rPr>
          <w:rFonts w:ascii="Arial" w:hAnsi="Arial" w:cs="Arial"/>
          <w:sz w:val="20"/>
          <w:szCs w:val="20"/>
          <w:lang w:val="en-US"/>
        </w:rPr>
        <w:t xml:space="preserve"> </w:t>
      </w:r>
      <w:r w:rsidR="006419E5" w:rsidRPr="00EB6DED">
        <w:rPr>
          <w:rFonts w:ascii="Arial" w:hAnsi="Arial" w:cs="Arial"/>
          <w:sz w:val="20"/>
          <w:szCs w:val="20"/>
        </w:rPr>
        <w:t>3</w:t>
      </w:r>
      <w:r w:rsidRPr="00EB6DED">
        <w:rPr>
          <w:rFonts w:ascii="Arial" w:hAnsi="Arial" w:cs="Arial"/>
          <w:sz w:val="20"/>
          <w:szCs w:val="20"/>
          <w:lang w:val="en-US"/>
        </w:rPr>
        <w:t xml:space="preserve"> </w:t>
      </w:r>
      <w:r w:rsidR="006419E5" w:rsidRPr="00EB6DED">
        <w:rPr>
          <w:rFonts w:ascii="Arial" w:hAnsi="Arial" w:cs="Arial"/>
          <w:sz w:val="20"/>
          <w:szCs w:val="20"/>
        </w:rPr>
        <w:t>Điều</w:t>
      </w:r>
      <w:r w:rsidRPr="00EB6DED">
        <w:rPr>
          <w:rFonts w:ascii="Arial" w:hAnsi="Arial" w:cs="Arial"/>
          <w:sz w:val="20"/>
          <w:szCs w:val="20"/>
          <w:lang w:val="en-US"/>
        </w:rPr>
        <w:t xml:space="preserve"> </w:t>
      </w:r>
      <w:r w:rsidR="006419E5" w:rsidRPr="00EB6DED">
        <w:rPr>
          <w:rFonts w:ascii="Arial" w:hAnsi="Arial" w:cs="Arial"/>
          <w:sz w:val="20"/>
          <w:szCs w:val="20"/>
        </w:rPr>
        <w:t>2</w:t>
      </w:r>
      <w:r w:rsidRPr="00EB6DED">
        <w:rPr>
          <w:rFonts w:ascii="Arial" w:hAnsi="Arial" w:cs="Arial"/>
          <w:sz w:val="20"/>
          <w:szCs w:val="20"/>
          <w:lang w:val="en-US"/>
        </w:rPr>
        <w:t xml:space="preserve"> </w:t>
      </w:r>
      <w:r w:rsidR="006419E5" w:rsidRPr="00EB6DED">
        <w:rPr>
          <w:rFonts w:ascii="Arial" w:hAnsi="Arial" w:cs="Arial"/>
          <w:sz w:val="20"/>
          <w:szCs w:val="20"/>
        </w:rPr>
        <w:t>như</w:t>
      </w:r>
      <w:r w:rsidRPr="00EB6DED">
        <w:rPr>
          <w:rFonts w:ascii="Arial" w:hAnsi="Arial" w:cs="Arial"/>
          <w:sz w:val="20"/>
          <w:szCs w:val="20"/>
          <w:lang w:val="en-US"/>
        </w:rPr>
        <w:t xml:space="preserve"> </w:t>
      </w:r>
      <w:r w:rsidR="006419E5" w:rsidRPr="00EB6DED">
        <w:rPr>
          <w:rFonts w:ascii="Arial" w:hAnsi="Arial" w:cs="Arial"/>
          <w:sz w:val="20"/>
          <w:szCs w:val="20"/>
        </w:rPr>
        <w:t>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“1. </w:t>
      </w:r>
      <w:r w:rsidRPr="00EB6DED">
        <w:rPr>
          <w:rFonts w:ascii="Arial" w:hAnsi="Arial" w:cs="Arial"/>
          <w:i/>
          <w:iCs/>
          <w:sz w:val="20"/>
          <w:szCs w:val="20"/>
        </w:rPr>
        <w:t>Giám định tư pháp</w:t>
      </w:r>
      <w:r w:rsidRPr="00EB6DED">
        <w:rPr>
          <w:rFonts w:ascii="Arial" w:hAnsi="Arial" w:cs="Arial"/>
          <w:sz w:val="20"/>
          <w:szCs w:val="20"/>
        </w:rPr>
        <w:t xml:space="preserve"> là việc người giám định tư pháp sử dụng kiến </w:t>
      </w:r>
      <w:r w:rsidR="00AE04CC" w:rsidRPr="00EB6DED">
        <w:rPr>
          <w:rFonts w:ascii="Arial" w:hAnsi="Arial" w:cs="Arial"/>
          <w:sz w:val="20"/>
          <w:szCs w:val="20"/>
        </w:rPr>
        <w:t xml:space="preserve">thức, phương tiện, phương pháp </w:t>
      </w:r>
      <w:r w:rsidRPr="00EB6DED">
        <w:rPr>
          <w:rFonts w:ascii="Arial" w:hAnsi="Arial" w:cs="Arial"/>
          <w:sz w:val="20"/>
          <w:szCs w:val="20"/>
        </w:rPr>
        <w:t xml:space="preserve">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w:t>
      </w:r>
      <w:r w:rsidR="00B73ED2" w:rsidRPr="00EB6DED">
        <w:rPr>
          <w:rFonts w:ascii="Arial" w:hAnsi="Arial" w:cs="Arial"/>
          <w:sz w:val="20"/>
          <w:szCs w:val="20"/>
        </w:rPr>
        <w:t>yêu cầu</w:t>
      </w:r>
      <w:r w:rsidRPr="00EB6DED">
        <w:rPr>
          <w:rFonts w:ascii="Arial" w:hAnsi="Arial" w:cs="Arial"/>
          <w:sz w:val="20"/>
          <w:szCs w:val="20"/>
        </w:rPr>
        <w:t xml:space="preserve"> của người yêu </w:t>
      </w:r>
      <w:r w:rsidR="00B73ED2" w:rsidRPr="00EB6DED">
        <w:rPr>
          <w:rFonts w:ascii="Arial" w:hAnsi="Arial" w:cs="Arial"/>
          <w:sz w:val="20"/>
          <w:szCs w:val="20"/>
        </w:rPr>
        <w:t>cầu</w:t>
      </w:r>
      <w:r w:rsidRPr="00EB6DED">
        <w:rPr>
          <w:rFonts w:ascii="Arial" w:hAnsi="Arial" w:cs="Arial"/>
          <w:sz w:val="20"/>
          <w:szCs w:val="20"/>
        </w:rPr>
        <w:t xml:space="preserve"> giám định theo quy định của Luật này.</w:t>
      </w:r>
    </w:p>
    <w:p w:rsidR="00765FDA" w:rsidRPr="00EB6DED" w:rsidRDefault="00B73ED2" w:rsidP="00C00499">
      <w:pPr>
        <w:pStyle w:val="BodyText"/>
        <w:shd w:val="clear" w:color="auto" w:fill="auto"/>
        <w:tabs>
          <w:tab w:val="left" w:pos="1116"/>
        </w:tabs>
        <w:spacing w:after="120" w:line="240" w:lineRule="auto"/>
        <w:ind w:firstLine="720"/>
        <w:jc w:val="both"/>
        <w:rPr>
          <w:rFonts w:ascii="Arial" w:hAnsi="Arial" w:cs="Arial"/>
          <w:sz w:val="20"/>
          <w:szCs w:val="20"/>
        </w:rPr>
      </w:pPr>
      <w:r w:rsidRPr="00EB6DED">
        <w:rPr>
          <w:rFonts w:ascii="Arial" w:hAnsi="Arial" w:cs="Arial"/>
          <w:i/>
          <w:iCs/>
          <w:sz w:val="20"/>
          <w:szCs w:val="20"/>
          <w:lang w:val="en-US"/>
        </w:rPr>
        <w:t xml:space="preserve">2. </w:t>
      </w:r>
      <w:r w:rsidR="00197445" w:rsidRPr="00EB6DED">
        <w:rPr>
          <w:rFonts w:ascii="Arial" w:hAnsi="Arial" w:cs="Arial"/>
          <w:i/>
          <w:iCs/>
          <w:sz w:val="20"/>
          <w:szCs w:val="20"/>
        </w:rPr>
        <w:t>Người trưng cầu giá</w:t>
      </w:r>
      <w:r w:rsidR="006419E5" w:rsidRPr="00EB6DED">
        <w:rPr>
          <w:rFonts w:ascii="Arial" w:hAnsi="Arial" w:cs="Arial"/>
          <w:i/>
          <w:iCs/>
          <w:sz w:val="20"/>
          <w:szCs w:val="20"/>
        </w:rPr>
        <w:t>m định</w:t>
      </w:r>
      <w:r w:rsidR="006419E5" w:rsidRPr="00EB6DED">
        <w:rPr>
          <w:rFonts w:ascii="Arial" w:hAnsi="Arial" w:cs="Arial"/>
          <w:sz w:val="20"/>
          <w:szCs w:val="20"/>
        </w:rPr>
        <w:t xml:space="preserve"> bao gồm cơ</w:t>
      </w:r>
      <w:r w:rsidR="00197445" w:rsidRPr="00EB6DED">
        <w:rPr>
          <w:rFonts w:ascii="Arial" w:hAnsi="Arial" w:cs="Arial"/>
          <w:sz w:val="20"/>
          <w:szCs w:val="20"/>
        </w:rPr>
        <w:t xml:space="preserve"> quan có thẩm quyền tiến hành tố</w:t>
      </w:r>
      <w:r w:rsidR="006419E5" w:rsidRPr="00EB6DED">
        <w:rPr>
          <w:rFonts w:ascii="Arial" w:hAnsi="Arial" w:cs="Arial"/>
          <w:sz w:val="20"/>
          <w:szCs w:val="20"/>
        </w:rPr>
        <w:t xml:space="preserve"> tụng, người có </w:t>
      </w:r>
      <w:r w:rsidR="00197445" w:rsidRPr="00EB6DED">
        <w:rPr>
          <w:rFonts w:ascii="Arial" w:hAnsi="Arial" w:cs="Arial"/>
          <w:sz w:val="20"/>
          <w:szCs w:val="20"/>
        </w:rPr>
        <w:t>thẩm quyền</w:t>
      </w:r>
      <w:r w:rsidR="006419E5" w:rsidRPr="00EB6DED">
        <w:rPr>
          <w:rFonts w:ascii="Arial" w:hAnsi="Arial" w:cs="Arial"/>
          <w:sz w:val="20"/>
          <w:szCs w:val="20"/>
        </w:rPr>
        <w:t xml:space="preserve"> </w:t>
      </w:r>
      <w:r w:rsidR="00197445" w:rsidRPr="00EB6DED">
        <w:rPr>
          <w:rFonts w:ascii="Arial" w:hAnsi="Arial" w:cs="Arial"/>
          <w:sz w:val="20"/>
          <w:szCs w:val="20"/>
        </w:rPr>
        <w:t>tiến hành</w:t>
      </w:r>
      <w:r w:rsidR="006419E5" w:rsidRPr="00EB6DED">
        <w:rPr>
          <w:rFonts w:ascii="Arial" w:hAnsi="Arial" w:cs="Arial"/>
          <w:sz w:val="20"/>
          <w:szCs w:val="20"/>
        </w:rPr>
        <w:t xml:space="preserve"> </w:t>
      </w:r>
      <w:r w:rsidR="00197445" w:rsidRPr="00EB6DED">
        <w:rPr>
          <w:rFonts w:ascii="Arial" w:hAnsi="Arial" w:cs="Arial"/>
          <w:sz w:val="20"/>
          <w:szCs w:val="20"/>
        </w:rPr>
        <w:t>tố tụng</w:t>
      </w:r>
      <w:r w:rsidR="006419E5" w:rsidRPr="00EB6DED">
        <w:rPr>
          <w:rFonts w:ascii="Arial" w:hAnsi="Arial" w:cs="Arial"/>
          <w:sz w:val="20"/>
          <w:szCs w:val="20"/>
        </w:rPr>
        <w:t>.</w:t>
      </w:r>
    </w:p>
    <w:p w:rsidR="00765FDA" w:rsidRPr="00EB6DED" w:rsidRDefault="00197445" w:rsidP="00C00499">
      <w:pPr>
        <w:pStyle w:val="BodyText"/>
        <w:shd w:val="clear" w:color="auto" w:fill="auto"/>
        <w:tabs>
          <w:tab w:val="left" w:pos="1110"/>
        </w:tabs>
        <w:spacing w:after="120" w:line="240" w:lineRule="auto"/>
        <w:ind w:firstLine="720"/>
        <w:jc w:val="both"/>
        <w:rPr>
          <w:rFonts w:ascii="Arial" w:hAnsi="Arial" w:cs="Arial"/>
          <w:sz w:val="20"/>
          <w:szCs w:val="20"/>
        </w:rPr>
      </w:pPr>
      <w:r w:rsidRPr="00EB6DED">
        <w:rPr>
          <w:rFonts w:ascii="Arial" w:hAnsi="Arial" w:cs="Arial"/>
          <w:i/>
          <w:iCs/>
          <w:sz w:val="20"/>
          <w:szCs w:val="20"/>
          <w:lang w:val="en-US"/>
        </w:rPr>
        <w:t xml:space="preserve">3. </w:t>
      </w:r>
      <w:r w:rsidR="006419E5" w:rsidRPr="00EB6DED">
        <w:rPr>
          <w:rFonts w:ascii="Arial" w:hAnsi="Arial" w:cs="Arial"/>
          <w:i/>
          <w:iCs/>
          <w:sz w:val="20"/>
          <w:szCs w:val="20"/>
        </w:rPr>
        <w:t>Người yêu cầu giám định</w:t>
      </w:r>
      <w:r w:rsidR="00E26059" w:rsidRPr="00EB6DED">
        <w:rPr>
          <w:rFonts w:ascii="Arial" w:hAnsi="Arial" w:cs="Arial"/>
          <w:sz w:val="20"/>
          <w:szCs w:val="20"/>
        </w:rPr>
        <w:t xml:space="preserve"> là người có q</w:t>
      </w:r>
      <w:r w:rsidR="006419E5" w:rsidRPr="00EB6DED">
        <w:rPr>
          <w:rFonts w:ascii="Arial" w:hAnsi="Arial" w:cs="Arial"/>
          <w:sz w:val="20"/>
          <w:szCs w:val="20"/>
        </w:rPr>
        <w:t xml:space="preserve">uyền tự mình yêu cầu giám định sau khi đã đề nghị cơ quan có thẩm quyền tiến hành tố tụng, người có </w:t>
      </w:r>
      <w:r w:rsidRPr="00EB6DED">
        <w:rPr>
          <w:rFonts w:ascii="Arial" w:hAnsi="Arial" w:cs="Arial"/>
          <w:sz w:val="20"/>
          <w:szCs w:val="20"/>
        </w:rPr>
        <w:t>thẩm quyền</w:t>
      </w:r>
      <w:r w:rsidR="006419E5" w:rsidRPr="00EB6DED">
        <w:rPr>
          <w:rFonts w:ascii="Arial" w:hAnsi="Arial" w:cs="Arial"/>
          <w:sz w:val="20"/>
          <w:szCs w:val="20"/>
        </w:rPr>
        <w:t xml:space="preserve"> </w:t>
      </w:r>
      <w:r w:rsidRPr="00EB6DED">
        <w:rPr>
          <w:rFonts w:ascii="Arial" w:hAnsi="Arial" w:cs="Arial"/>
          <w:sz w:val="20"/>
          <w:szCs w:val="20"/>
        </w:rPr>
        <w:t>tiến hành</w:t>
      </w:r>
      <w:r w:rsidR="006419E5" w:rsidRPr="00EB6DED">
        <w:rPr>
          <w:rFonts w:ascii="Arial" w:hAnsi="Arial" w:cs="Arial"/>
          <w:sz w:val="20"/>
          <w:szCs w:val="20"/>
        </w:rPr>
        <w:t xml:space="preserve"> </w:t>
      </w:r>
      <w:r w:rsidRPr="00EB6DED">
        <w:rPr>
          <w:rFonts w:ascii="Arial" w:hAnsi="Arial" w:cs="Arial"/>
          <w:sz w:val="20"/>
          <w:szCs w:val="20"/>
        </w:rPr>
        <w:t>tố tụng</w:t>
      </w:r>
      <w:r w:rsidR="006419E5" w:rsidRPr="00EB6DED">
        <w:rPr>
          <w:rFonts w:ascii="Arial" w:hAnsi="Arial" w:cs="Arial"/>
          <w:sz w:val="20"/>
          <w:szCs w:val="20"/>
        </w:rPr>
        <w:t xml:space="preserve"> t</w:t>
      </w:r>
      <w:r w:rsidR="00E26059" w:rsidRPr="00EB6DED">
        <w:rPr>
          <w:rFonts w:ascii="Arial" w:hAnsi="Arial" w:cs="Arial"/>
          <w:sz w:val="20"/>
          <w:szCs w:val="20"/>
        </w:rPr>
        <w:t>rưng cầ</w:t>
      </w:r>
      <w:r w:rsidR="006419E5" w:rsidRPr="00EB6DED">
        <w:rPr>
          <w:rFonts w:ascii="Arial" w:hAnsi="Arial" w:cs="Arial"/>
          <w:sz w:val="20"/>
          <w:szCs w:val="20"/>
        </w:rPr>
        <w:t>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w:t>
      </w:r>
      <w:r w:rsidR="00E26059" w:rsidRPr="00EB6DED">
        <w:rPr>
          <w:rFonts w:ascii="Arial" w:hAnsi="Arial" w:cs="Arial"/>
          <w:sz w:val="20"/>
          <w:szCs w:val="20"/>
        </w:rPr>
        <w:t>ờng hợp việc yêu cầu giám định li</w:t>
      </w:r>
      <w:r w:rsidR="006419E5" w:rsidRPr="00EB6DED">
        <w:rPr>
          <w:rFonts w:ascii="Arial" w:hAnsi="Arial" w:cs="Arial"/>
          <w:sz w:val="20"/>
          <w:szCs w:val="20"/>
        </w:rPr>
        <w:t>ên quan đến việc xác định trách nhiệm hình sự của bị can, bị cáo.”.</w:t>
      </w:r>
    </w:p>
    <w:p w:rsidR="00765FDA" w:rsidRPr="00EB6DED" w:rsidRDefault="00E26059"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D53DB6" w:rsidRPr="00EB6DED">
        <w:rPr>
          <w:rFonts w:ascii="Arial" w:hAnsi="Arial" w:cs="Arial"/>
          <w:sz w:val="20"/>
          <w:szCs w:val="20"/>
        </w:rPr>
        <w:t>Sửa đổi, bổ sung khoản 1</w:t>
      </w:r>
      <w:r w:rsidR="006419E5" w:rsidRPr="00EB6DED">
        <w:rPr>
          <w:rFonts w:ascii="Arial" w:hAnsi="Arial" w:cs="Arial"/>
          <w:sz w:val="20"/>
          <w:szCs w:val="20"/>
        </w:rPr>
        <w:t xml:space="preserve"> Điều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Tuân thủ pháp luật, tuân theo quy chuẩn chuyên môn và quy trình giám định.”.</w:t>
      </w:r>
    </w:p>
    <w:p w:rsidR="00765FDA" w:rsidRPr="00EB6DED" w:rsidRDefault="00D36879" w:rsidP="00C00499">
      <w:pPr>
        <w:pStyle w:val="BodyText"/>
        <w:shd w:val="clear" w:color="auto" w:fill="auto"/>
        <w:tabs>
          <w:tab w:val="left" w:pos="109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Sửa đổi, bổ sung khoản 3 Điều 6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“3. Cố ý kéo dài thời gian thực hiện giám định tư pháp hoặc lợi dụng việc trưng cầu, yêu cầu giám </w:t>
      </w:r>
      <w:r w:rsidR="001F500E" w:rsidRPr="00EB6DED">
        <w:rPr>
          <w:rFonts w:ascii="Arial" w:hAnsi="Arial" w:cs="Arial"/>
          <w:sz w:val="20"/>
          <w:szCs w:val="20"/>
        </w:rPr>
        <w:t>định tư pháp để gây khó khăn, cả</w:t>
      </w:r>
      <w:r w:rsidRPr="00EB6DED">
        <w:rPr>
          <w:rFonts w:ascii="Arial" w:hAnsi="Arial" w:cs="Arial"/>
          <w:sz w:val="20"/>
          <w:szCs w:val="20"/>
        </w:rPr>
        <w:t>n trở hoạt động tố tụng.”.</w:t>
      </w:r>
    </w:p>
    <w:p w:rsidR="00765FDA" w:rsidRPr="00EB6DED" w:rsidRDefault="001F500E"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Sửa đổi, bổ sung một số khoản của Điều 8 như sau:</w:t>
      </w:r>
    </w:p>
    <w:p w:rsidR="00765FDA" w:rsidRPr="00EB6DED" w:rsidRDefault="003026A7" w:rsidP="00C00499">
      <w:pPr>
        <w:pStyle w:val="BodyText"/>
        <w:shd w:val="clear" w:color="auto" w:fill="auto"/>
        <w:tabs>
          <w:tab w:val="left" w:pos="110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lang w:val="en-US" w:eastAsia="en-US" w:bidi="en-US"/>
        </w:rPr>
        <w:t xml:space="preserve">“1. </w:t>
      </w:r>
      <w:r w:rsidRPr="00EB6DED">
        <w:rPr>
          <w:rFonts w:ascii="Arial" w:hAnsi="Arial" w:cs="Arial"/>
          <w:sz w:val="20"/>
          <w:szCs w:val="20"/>
        </w:rPr>
        <w:t>Văn bản đề nghị bổ nhiệm giám định viên tư pháp của cơ quan, tổ chức có thẩm quyền đề nghị quy định tại khoản 2 Điều 9 của Luật này hoặc đơn đề nghị bổ nhiệm giám định viên tư pháp của cá nhân đã là giám định viên tư pháp nhưng bị miễn nhiệm do nghỉ hưu hoặc thôi việc để thành lập Văn phòng giám định tư pháp.”;</w:t>
      </w:r>
    </w:p>
    <w:p w:rsidR="00765FDA" w:rsidRPr="00EB6DED" w:rsidRDefault="00FC6967" w:rsidP="00C00499">
      <w:pPr>
        <w:pStyle w:val="BodyText"/>
        <w:shd w:val="clear" w:color="auto" w:fill="auto"/>
        <w:tabs>
          <w:tab w:val="left" w:pos="1200"/>
        </w:tabs>
        <w:spacing w:after="120" w:line="240" w:lineRule="auto"/>
        <w:ind w:firstLine="720"/>
        <w:jc w:val="both"/>
        <w:rPr>
          <w:rFonts w:ascii="Arial" w:hAnsi="Arial" w:cs="Arial"/>
          <w:sz w:val="20"/>
          <w:szCs w:val="20"/>
        </w:rPr>
      </w:pPr>
      <w:r w:rsidRPr="00EB6DED">
        <w:rPr>
          <w:rFonts w:ascii="Arial" w:hAnsi="Arial" w:cs="Arial"/>
          <w:sz w:val="20"/>
          <w:szCs w:val="20"/>
          <w:lang w:val="en-US"/>
        </w:rPr>
        <w:t>b)</w:t>
      </w:r>
      <w:r w:rsidR="00F9021B" w:rsidRPr="00EB6DED">
        <w:rPr>
          <w:rFonts w:ascii="Arial" w:hAnsi="Arial" w:cs="Arial"/>
          <w:sz w:val="20"/>
          <w:szCs w:val="20"/>
          <w:lang w:val="en-US"/>
        </w:rPr>
        <w:t xml:space="preserve"> </w:t>
      </w:r>
      <w:r w:rsidR="006419E5" w:rsidRPr="00EB6DED">
        <w:rPr>
          <w:rFonts w:ascii="Arial" w:hAnsi="Arial" w:cs="Arial"/>
          <w:sz w:val="20"/>
          <w:szCs w:val="20"/>
        </w:rPr>
        <w:t>Sửa đổi, bổ sung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“3. Sơ yếu lý lịch và Phiếu lý lịch tư pháp. Trường hợp người được đề nghị bổ nhiệm giám định viên tư pháp đang là công chức, viên chức, sĩ quan quân đội, sĩ quan công an nhân dân, quân nhân chuyên nghiệp, công nhân </w:t>
      </w:r>
      <w:r w:rsidR="00E90191" w:rsidRPr="00EB6DED">
        <w:rPr>
          <w:rFonts w:ascii="Arial" w:hAnsi="Arial" w:cs="Arial"/>
          <w:sz w:val="20"/>
          <w:szCs w:val="20"/>
        </w:rPr>
        <w:t>quốc</w:t>
      </w:r>
      <w:r w:rsidRPr="00EB6DED">
        <w:rPr>
          <w:rFonts w:ascii="Arial" w:hAnsi="Arial" w:cs="Arial"/>
          <w:sz w:val="20"/>
          <w:szCs w:val="20"/>
        </w:rPr>
        <w:t xml:space="preserve"> phòng thì không cần có Phiếu lý lịch tư pháp.”.</w:t>
      </w:r>
    </w:p>
    <w:p w:rsidR="00765FDA" w:rsidRPr="00EB6DED" w:rsidRDefault="00871DA2" w:rsidP="00C00499">
      <w:pPr>
        <w:pStyle w:val="BodyText"/>
        <w:shd w:val="clear" w:color="auto" w:fill="auto"/>
        <w:tabs>
          <w:tab w:val="left" w:pos="1156"/>
        </w:tabs>
        <w:spacing w:after="120" w:line="240" w:lineRule="auto"/>
        <w:ind w:firstLine="720"/>
        <w:jc w:val="both"/>
        <w:rPr>
          <w:rFonts w:ascii="Arial" w:hAnsi="Arial" w:cs="Arial"/>
          <w:sz w:val="20"/>
          <w:szCs w:val="20"/>
        </w:rPr>
      </w:pPr>
      <w:r w:rsidRPr="00EB6DED">
        <w:rPr>
          <w:rFonts w:ascii="Arial" w:hAnsi="Arial" w:cs="Arial"/>
          <w:sz w:val="20"/>
          <w:szCs w:val="20"/>
          <w:lang w:val="en-US"/>
        </w:rPr>
        <w:t>5</w:t>
      </w:r>
      <w:r w:rsidR="0018479D" w:rsidRPr="00EB6DED">
        <w:rPr>
          <w:rFonts w:ascii="Arial" w:hAnsi="Arial" w:cs="Arial"/>
          <w:sz w:val="20"/>
          <w:szCs w:val="20"/>
          <w:lang w:val="en-US"/>
        </w:rPr>
        <w:t xml:space="preserve">. </w:t>
      </w:r>
      <w:r w:rsidR="006419E5" w:rsidRPr="00EB6DED">
        <w:rPr>
          <w:rFonts w:ascii="Arial" w:hAnsi="Arial" w:cs="Arial"/>
          <w:sz w:val="20"/>
          <w:szCs w:val="20"/>
        </w:rPr>
        <w:t>Sửa đổi, bổ sung tên điều và một số khoản của Điều 9 như sau:</w:t>
      </w:r>
    </w:p>
    <w:p w:rsidR="00765FDA" w:rsidRPr="00EB6DED" w:rsidRDefault="00381148" w:rsidP="00C00499">
      <w:pPr>
        <w:pStyle w:val="BodyText"/>
        <w:shd w:val="clear" w:color="auto" w:fill="auto"/>
        <w:tabs>
          <w:tab w:val="left" w:pos="117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tên điều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 xml:space="preserve">“Điều 9. Thẩm quyền, trình tự, thủ tục bổ nhiệm giám định viên tư pháp và </w:t>
      </w:r>
      <w:r w:rsidR="00CB0B74" w:rsidRPr="00EB6DED">
        <w:rPr>
          <w:rFonts w:ascii="Arial" w:hAnsi="Arial" w:cs="Arial"/>
          <w:b/>
          <w:bCs/>
          <w:sz w:val="20"/>
          <w:szCs w:val="20"/>
        </w:rPr>
        <w:t>cấp</w:t>
      </w:r>
      <w:r w:rsidRPr="00EB6DED">
        <w:rPr>
          <w:rFonts w:ascii="Arial" w:hAnsi="Arial" w:cs="Arial"/>
          <w:b/>
          <w:bCs/>
          <w:sz w:val="20"/>
          <w:szCs w:val="20"/>
        </w:rPr>
        <w:t xml:space="preserve"> thẻ giám định viên tư pháp”;</w:t>
      </w:r>
    </w:p>
    <w:p w:rsidR="00765FDA" w:rsidRPr="00EB6DED" w:rsidRDefault="005542AF" w:rsidP="00C00499">
      <w:pPr>
        <w:pStyle w:val="BodyText"/>
        <w:shd w:val="clear" w:color="auto" w:fill="auto"/>
        <w:tabs>
          <w:tab w:val="left" w:pos="1194"/>
        </w:tabs>
        <w:spacing w:after="120" w:line="240" w:lineRule="auto"/>
        <w:ind w:firstLine="720"/>
        <w:jc w:val="both"/>
        <w:rPr>
          <w:rFonts w:ascii="Arial" w:hAnsi="Arial" w:cs="Arial"/>
          <w:sz w:val="20"/>
          <w:szCs w:val="20"/>
        </w:rPr>
      </w:pPr>
      <w:r>
        <w:rPr>
          <w:rFonts w:ascii="Arial" w:hAnsi="Arial" w:cs="Arial"/>
          <w:sz w:val="20"/>
          <w:szCs w:val="20"/>
          <w:lang w:val="en-US"/>
        </w:rPr>
        <w:t>b</w:t>
      </w:r>
      <w:r w:rsidR="00CB0B74" w:rsidRPr="00EB6DED">
        <w:rPr>
          <w:rFonts w:ascii="Arial" w:hAnsi="Arial" w:cs="Arial"/>
          <w:sz w:val="20"/>
          <w:szCs w:val="20"/>
          <w:lang w:val="en-US"/>
        </w:rPr>
        <w:t xml:space="preserve">) </w:t>
      </w:r>
      <w:r w:rsidR="006419E5" w:rsidRPr="00EB6DED">
        <w:rPr>
          <w:rFonts w:ascii="Arial" w:hAnsi="Arial" w:cs="Arial"/>
          <w:sz w:val="20"/>
          <w:szCs w:val="20"/>
        </w:rPr>
        <w:t>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Bộ Quốc phòng, Bộ Công an có trách nhiệm lựa chọn người có đủ tiêu chuẩn quy định tại khoản 1 Điều 7 của Luật này, đề nghị Bộ trưởng Bộ Y tế bổ nhiệm giám định viên pháp y thuộc bộ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Bộ Quốc phòng, Viện kiểm sát nhân dân tối cao có trách nhiệm lựa chọn người có đủ tiêu chuẩn quy định tại khoản 1 Điều 7 của Luật này, đề nghị Bộ trưởng Bộ Công an bổ nhiệm giám định viên kỹ thuật hình sự thuộc bộ, ngành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Thủ trưởng đơn vị thuộc bộ, cơ quan ngang bộ được giao quản lý hoạt động giám định tư pháp có trách nhiệm lựa chọn người có đủ tiêu chuẩn quy định tại khoản 1 Điều 7 của Luật này, đề nghị Bộ trưởng</w:t>
      </w:r>
      <w:r w:rsidR="0027113F" w:rsidRPr="00EB6DED">
        <w:rPr>
          <w:rFonts w:ascii="Arial" w:hAnsi="Arial" w:cs="Arial"/>
          <w:sz w:val="20"/>
          <w:szCs w:val="20"/>
        </w:rPr>
        <w:t>, Thủ trưởng cơ quan ngang bộ bổ</w:t>
      </w:r>
      <w:r w:rsidRPr="00EB6DED">
        <w:rPr>
          <w:rFonts w:ascii="Arial" w:hAnsi="Arial" w:cs="Arial"/>
          <w:sz w:val="20"/>
          <w:szCs w:val="20"/>
        </w:rPr>
        <w:t xml:space="preserve"> nhiệm giám định viên tư pháp ở lĩnh vực giám định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Người đứng đầu 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lĩnh vực giám định tư pháp có trách nhiệm chủ trì, phối hợp với Giám </w:t>
      </w:r>
      <w:r w:rsidR="00CE7B81" w:rsidRPr="00EB6DED">
        <w:rPr>
          <w:rFonts w:ascii="Arial" w:hAnsi="Arial" w:cs="Arial"/>
          <w:sz w:val="20"/>
          <w:szCs w:val="20"/>
        </w:rPr>
        <w:t>đốc</w:t>
      </w:r>
      <w:r w:rsidRPr="00EB6DED">
        <w:rPr>
          <w:rFonts w:ascii="Arial" w:hAnsi="Arial" w:cs="Arial"/>
          <w:sz w:val="20"/>
          <w:szCs w:val="20"/>
        </w:rPr>
        <w:t xml:space="preserve"> Sở Tư pháp lựa chọn người có đủ tiêu </w:t>
      </w:r>
      <w:r w:rsidR="00917FA7" w:rsidRPr="00EB6DED">
        <w:rPr>
          <w:rFonts w:ascii="Arial" w:hAnsi="Arial" w:cs="Arial"/>
          <w:sz w:val="20"/>
          <w:szCs w:val="20"/>
        </w:rPr>
        <w:t>chuẩn</w:t>
      </w:r>
      <w:r w:rsidRPr="00EB6DED">
        <w:rPr>
          <w:rFonts w:ascii="Arial" w:hAnsi="Arial" w:cs="Arial"/>
          <w:sz w:val="20"/>
          <w:szCs w:val="20"/>
        </w:rPr>
        <w:t xml:space="preserve"> quy địn</w:t>
      </w:r>
      <w:r w:rsidR="00917FA7" w:rsidRPr="00EB6DED">
        <w:rPr>
          <w:rFonts w:ascii="Arial" w:hAnsi="Arial" w:cs="Arial"/>
          <w:sz w:val="20"/>
          <w:szCs w:val="20"/>
        </w:rPr>
        <w:t>h tại khoản 1 Điều 7 của Luật nà</w:t>
      </w:r>
      <w:r w:rsidRPr="00EB6DED">
        <w:rPr>
          <w:rFonts w:ascii="Arial" w:hAnsi="Arial" w:cs="Arial"/>
          <w:sz w:val="20"/>
          <w:szCs w:val="20"/>
        </w:rPr>
        <w:t xml:space="preserve">y, tiếp nhận hồ sơ của </w:t>
      </w:r>
      <w:r w:rsidR="00827C11" w:rsidRPr="00EB6DED">
        <w:rPr>
          <w:rFonts w:ascii="Arial" w:hAnsi="Arial" w:cs="Arial"/>
          <w:sz w:val="20"/>
          <w:szCs w:val="20"/>
        </w:rPr>
        <w:t>người đề nghị bổ nhiệm giám định viê</w:t>
      </w:r>
      <w:r w:rsidRPr="00EB6DED">
        <w:rPr>
          <w:rFonts w:ascii="Arial" w:hAnsi="Arial" w:cs="Arial"/>
          <w:sz w:val="20"/>
          <w:szCs w:val="20"/>
        </w:rPr>
        <w:t xml:space="preserve">n tư pháp quy định tại Điều 8 của Luật này, đề nghị 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w:t>
      </w:r>
      <w:r w:rsidR="00827C11" w:rsidRPr="00EB6DED">
        <w:rPr>
          <w:rFonts w:ascii="Arial" w:hAnsi="Arial" w:cs="Arial"/>
          <w:sz w:val="20"/>
          <w:szCs w:val="20"/>
        </w:rPr>
        <w:t>bổ nhiệm</w:t>
      </w:r>
      <w:r w:rsidRPr="00EB6DED">
        <w:rPr>
          <w:rFonts w:ascii="Arial" w:hAnsi="Arial" w:cs="Arial"/>
          <w:sz w:val="20"/>
          <w:szCs w:val="20"/>
        </w:rPr>
        <w:t xml:space="preserve"> giám định viên tư pháp ở địa phương.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thời hạn 20 ngày, kể từ ngày nhận được hồ sơ </w:t>
      </w:r>
      <w:r w:rsidR="00827C11" w:rsidRPr="00EB6DED">
        <w:rPr>
          <w:rFonts w:ascii="Arial" w:hAnsi="Arial" w:cs="Arial"/>
          <w:sz w:val="20"/>
          <w:szCs w:val="20"/>
        </w:rPr>
        <w:t>hợp lệ</w:t>
      </w:r>
      <w:r w:rsidRPr="00EB6DED">
        <w:rPr>
          <w:rFonts w:ascii="Arial" w:hAnsi="Arial" w:cs="Arial"/>
          <w:sz w:val="20"/>
          <w:szCs w:val="20"/>
        </w:rPr>
        <w:t xml:space="preserve">, Bộ trưởng, Thủ trưởng cơ quan ngang bộ, 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quyết định bổ nhiệm giám định viên tư pháp. Trường hợp từ chối thì phải thông báo cho người đề nghị bằng văn bản và nêu rõ lý do.”;</w:t>
      </w:r>
    </w:p>
    <w:p w:rsidR="00765FDA" w:rsidRPr="00EB6DED" w:rsidRDefault="00827C11" w:rsidP="00C00499">
      <w:pPr>
        <w:pStyle w:val="BodyText"/>
        <w:shd w:val="clear" w:color="auto" w:fill="auto"/>
        <w:tabs>
          <w:tab w:val="left" w:pos="119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Bổ sung khoản 4 vào sau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“4. Người được bổ nhiệm giám định viên tư pháp được cấp thẻ giám định viên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Người có thẩm quyền bổ nhiệm giám định viên tư pháp quy định tại khoản 1 </w:t>
      </w:r>
      <w:r w:rsidR="00433289" w:rsidRPr="00EB6DED">
        <w:rPr>
          <w:rFonts w:ascii="Arial" w:hAnsi="Arial" w:cs="Arial"/>
          <w:sz w:val="20"/>
          <w:szCs w:val="20"/>
        </w:rPr>
        <w:t>Điều</w:t>
      </w:r>
      <w:r w:rsidRPr="00EB6DED">
        <w:rPr>
          <w:rFonts w:ascii="Arial" w:hAnsi="Arial" w:cs="Arial"/>
          <w:sz w:val="20"/>
          <w:szCs w:val="20"/>
        </w:rPr>
        <w:t xml:space="preserve"> này có </w:t>
      </w:r>
      <w:r w:rsidR="00197445" w:rsidRPr="00EB6DED">
        <w:rPr>
          <w:rFonts w:ascii="Arial" w:hAnsi="Arial" w:cs="Arial"/>
          <w:sz w:val="20"/>
          <w:szCs w:val="20"/>
        </w:rPr>
        <w:t>thẩm quyền</w:t>
      </w:r>
      <w:r w:rsidRPr="00EB6DED">
        <w:rPr>
          <w:rFonts w:ascii="Arial" w:hAnsi="Arial" w:cs="Arial"/>
          <w:sz w:val="20"/>
          <w:szCs w:val="20"/>
        </w:rPr>
        <w:t xml:space="preserve"> </w:t>
      </w:r>
      <w:r w:rsidR="00CB0B74" w:rsidRPr="00EB6DED">
        <w:rPr>
          <w:rFonts w:ascii="Arial" w:hAnsi="Arial" w:cs="Arial"/>
          <w:sz w:val="20"/>
          <w:szCs w:val="20"/>
        </w:rPr>
        <w:t>cấp</w:t>
      </w:r>
      <w:r w:rsidRPr="00EB6DED">
        <w:rPr>
          <w:rFonts w:ascii="Arial" w:hAnsi="Arial" w:cs="Arial"/>
          <w:sz w:val="20"/>
          <w:szCs w:val="20"/>
        </w:rPr>
        <w:t xml:space="preserve"> mới, </w:t>
      </w:r>
      <w:r w:rsidR="00CB0B74" w:rsidRPr="00EB6DED">
        <w:rPr>
          <w:rFonts w:ascii="Arial" w:hAnsi="Arial" w:cs="Arial"/>
          <w:sz w:val="20"/>
          <w:szCs w:val="20"/>
        </w:rPr>
        <w:t>cấp</w:t>
      </w:r>
      <w:r w:rsidRPr="00EB6DED">
        <w:rPr>
          <w:rFonts w:ascii="Arial" w:hAnsi="Arial" w:cs="Arial"/>
          <w:sz w:val="20"/>
          <w:szCs w:val="20"/>
        </w:rPr>
        <w:t xml:space="preserve"> lại thẻ giám định viên tư pháp.</w:t>
      </w:r>
    </w:p>
    <w:p w:rsidR="00765FDA" w:rsidRPr="00EB6DED" w:rsidRDefault="00433289"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Mẫu</w:t>
      </w:r>
      <w:r w:rsidR="006419E5" w:rsidRPr="00EB6DED">
        <w:rPr>
          <w:rFonts w:ascii="Arial" w:hAnsi="Arial" w:cs="Arial"/>
          <w:sz w:val="20"/>
          <w:szCs w:val="20"/>
        </w:rPr>
        <w:t xml:space="preserve"> thẻ, trình tự, thủ tục cấp mới, cấp lại thẻ giám định viên tư pháp được thực hiện theo quy định của Bộ trưởng Bộ Tư pháp.”.</w:t>
      </w:r>
    </w:p>
    <w:p w:rsidR="00765FDA" w:rsidRPr="00EB6DED" w:rsidRDefault="00433289" w:rsidP="00C00499">
      <w:pPr>
        <w:pStyle w:val="BodyText"/>
        <w:shd w:val="clear" w:color="auto" w:fill="auto"/>
        <w:tabs>
          <w:tab w:val="left" w:pos="11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6. </w:t>
      </w:r>
      <w:r w:rsidR="006419E5" w:rsidRPr="00EB6DED">
        <w:rPr>
          <w:rFonts w:ascii="Arial" w:hAnsi="Arial" w:cs="Arial"/>
          <w:sz w:val="20"/>
          <w:szCs w:val="20"/>
        </w:rPr>
        <w:t>Sửa đổi, bổ sung Điều 10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10. Thẩm quyền, trình tự, thủ tục miễn nhiệm giám định viên tư pháp và thu hồi thẻ giám định viên tư pháp</w:t>
      </w:r>
    </w:p>
    <w:p w:rsidR="00765FDA" w:rsidRPr="00EB6DED" w:rsidRDefault="00B95B5B" w:rsidP="00C00499">
      <w:pPr>
        <w:pStyle w:val="BodyText"/>
        <w:shd w:val="clear" w:color="auto" w:fill="auto"/>
        <w:tabs>
          <w:tab w:val="left" w:pos="108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Các trường hợp miễn nhiệm giám định viên tư pháp:</w:t>
      </w:r>
    </w:p>
    <w:p w:rsidR="00765FDA" w:rsidRPr="00EB6DED" w:rsidRDefault="00A563CE" w:rsidP="00C00499">
      <w:pPr>
        <w:pStyle w:val="BodyText"/>
        <w:shd w:val="clear" w:color="auto" w:fill="auto"/>
        <w:tabs>
          <w:tab w:val="left" w:pos="11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Không còn đủ tiêu chuẩn quy định tại khoản 1 Điều 7 của Luật này;</w:t>
      </w:r>
    </w:p>
    <w:p w:rsidR="00765FDA" w:rsidRPr="00EB6DED" w:rsidRDefault="005B08AD"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Thuộc một trong các trường hợp quy định tại khoản 2 Điều 7 của Luật này;</w:t>
      </w:r>
    </w:p>
    <w:p w:rsidR="00765FDA" w:rsidRPr="00EB6DED" w:rsidRDefault="008B04F5" w:rsidP="00C00499">
      <w:pPr>
        <w:pStyle w:val="BodyText"/>
        <w:shd w:val="clear" w:color="auto" w:fill="auto"/>
        <w:tabs>
          <w:tab w:val="left" w:pos="11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Bị xử lý kỷ luật từ hình thức cảnh cáo trở lên hoặc bị xử phạt vi phạm hành chính do cố ý vi phạm quy định của pháp luật về giám định tư pháp;</w:t>
      </w:r>
    </w:p>
    <w:p w:rsidR="00765FDA" w:rsidRPr="00EB6DED" w:rsidRDefault="00C91ACE" w:rsidP="00C00499">
      <w:pPr>
        <w:pStyle w:val="BodyText"/>
        <w:shd w:val="clear" w:color="auto" w:fill="auto"/>
        <w:tabs>
          <w:tab w:val="left" w:pos="119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Thực hiện một trong các hành vi quy định tại Điều 6 của Luật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rsidR="00765FDA" w:rsidRPr="00EB6DED" w:rsidRDefault="00DC252D" w:rsidP="00C00499">
      <w:pPr>
        <w:pStyle w:val="BodyText"/>
        <w:shd w:val="clear" w:color="auto" w:fill="auto"/>
        <w:tabs>
          <w:tab w:val="left" w:pos="115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Chuyển đổi vị trí công tác hoặc chuyển công tác sang cơ quan, tổ chức khác mà không còn điều kiện phù hợp để tiếp tục thực hiện giám định tư pháp;</w:t>
      </w:r>
    </w:p>
    <w:p w:rsidR="00765FDA" w:rsidRPr="00EB6DED" w:rsidRDefault="00702179" w:rsidP="00C00499">
      <w:pPr>
        <w:pStyle w:val="BodyText"/>
        <w:shd w:val="clear" w:color="auto" w:fill="auto"/>
        <w:tabs>
          <w:tab w:val="left" w:pos="114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Theo đề nghị của giám định viên tư pháp. Trường hợp giám định viên tư pháp là công chức, viên chức, sĩ quan quân đội, sĩ quan công an nhân dân, quân nhân chuyên nghiệp, công nhân quốc phòng thì phải được sự chấp thuận của cơ quan, tổ chức quản lý trực tiếp;</w:t>
      </w:r>
    </w:p>
    <w:p w:rsidR="00765FDA" w:rsidRPr="00EB6DED" w:rsidRDefault="009F5F40"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 xml:space="preserve">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w:t>
      </w:r>
      <w:r w:rsidR="00F86D21" w:rsidRPr="00EB6DED">
        <w:rPr>
          <w:rFonts w:ascii="Arial" w:hAnsi="Arial" w:cs="Arial"/>
          <w:sz w:val="20"/>
          <w:szCs w:val="20"/>
        </w:rPr>
        <w:t>đăng</w:t>
      </w:r>
      <w:r w:rsidR="006419E5" w:rsidRPr="00EB6DED">
        <w:rPr>
          <w:rFonts w:ascii="Arial" w:hAnsi="Arial" w:cs="Arial"/>
          <w:sz w:val="20"/>
          <w:szCs w:val="20"/>
        </w:rPr>
        <w:t xml:space="preserve"> ký hoạt động.</w:t>
      </w:r>
    </w:p>
    <w:p w:rsidR="00765FDA" w:rsidRPr="00EB6DED" w:rsidRDefault="00F86D21" w:rsidP="00C00499">
      <w:pPr>
        <w:pStyle w:val="BodyText"/>
        <w:shd w:val="clear" w:color="auto" w:fill="auto"/>
        <w:tabs>
          <w:tab w:val="left" w:pos="115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Hồ sơ đề nghị miễn nhiệm giám định viên tư pháp bao gồm:</w:t>
      </w:r>
    </w:p>
    <w:p w:rsidR="00765FDA" w:rsidRPr="00EB6DED" w:rsidRDefault="00727A5C"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Văn bản đề nghị miễn nhiệm giám định viên tư pháp của cơ quan, tổ chức quản lý giám định viên tư pháp hoặc đơn xin miễn nhiệm của giám định viên tư pháp;</w:t>
      </w:r>
    </w:p>
    <w:p w:rsidR="00765FDA" w:rsidRPr="00EB6DED" w:rsidRDefault="00727A5C"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Văn bản, giấy tờ chứng minh giám định viên tư pháp thuộc một trong các trường hợp quy định tại khoản 1 Điều này.</w:t>
      </w:r>
    </w:p>
    <w:p w:rsidR="00765FDA" w:rsidRPr="00EB6DED" w:rsidRDefault="00BD1235" w:rsidP="00C00499">
      <w:pPr>
        <w:pStyle w:val="BodyText"/>
        <w:shd w:val="clear" w:color="auto" w:fill="auto"/>
        <w:tabs>
          <w:tab w:val="left" w:pos="111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Bộ trưởng Bộ Công an, Bộ trưởng Bộ Quốc phòng xem xét, đề nghị Bộ trưởng Bộ Y tế miễn nhiệm giám định viên pháp y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Bộ trưởng Bộ Quốc phòng, Viện trưởng Viện kiểm sát nhân dân tối cao xem xét, đề nghị Bộ trưởng Bộ Công an miễn nhiệm giám định viên kỹ thuật hình sự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Bộ trưởng, Thủ trưởng cơ quan ngang bộ miễn nhiệm giám định viên tư pháp hoạt động tại các cơ quan ở trung ương ở lĩnh vực giám định thuộc </w:t>
      </w:r>
      <w:r w:rsidR="00197445" w:rsidRPr="00EB6DED">
        <w:rPr>
          <w:rFonts w:ascii="Arial" w:hAnsi="Arial" w:cs="Arial"/>
          <w:sz w:val="20"/>
          <w:szCs w:val="20"/>
        </w:rPr>
        <w:t>thẩm</w:t>
      </w:r>
      <w:r w:rsidRPr="00EB6DED">
        <w:rPr>
          <w:rFonts w:ascii="Arial" w:hAnsi="Arial" w:cs="Arial"/>
          <w:sz w:val="20"/>
          <w:szCs w:val="20"/>
        </w:rPr>
        <w:t xml:space="preserve"> quyền quản lý theo đề nghị của Thủ trưởng đơn vị thuộc bộ, cơ quan ngang bộ được giao quản lý hoạt động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miễn nhiệm giám định viên tư pháp ở địa phương theo đề nghị của người đứng đầu cơ quan chuyên môn thuộc </w:t>
      </w:r>
      <w:r w:rsidR="0027113F" w:rsidRPr="00EB6DED">
        <w:rPr>
          <w:rFonts w:ascii="Arial" w:hAnsi="Arial" w:cs="Arial"/>
          <w:sz w:val="20"/>
          <w:szCs w:val="20"/>
        </w:rPr>
        <w:t>Ủy ban</w:t>
      </w:r>
      <w:r w:rsidR="00D26762" w:rsidRPr="00EB6DED">
        <w:rPr>
          <w:rFonts w:ascii="Arial" w:hAnsi="Arial" w:cs="Arial"/>
          <w:sz w:val="20"/>
          <w:szCs w:val="20"/>
        </w:rPr>
        <w:t xml:space="preserve"> nhân dân cấ</w:t>
      </w:r>
      <w:r w:rsidRPr="00EB6DED">
        <w:rPr>
          <w:rFonts w:ascii="Arial" w:hAnsi="Arial" w:cs="Arial"/>
          <w:sz w:val="20"/>
          <w:szCs w:val="20"/>
        </w:rPr>
        <w:t>p tỉnh quản lý lĩnh v</w:t>
      </w:r>
      <w:r w:rsidR="005737AC" w:rsidRPr="00EB6DED">
        <w:rPr>
          <w:rFonts w:ascii="Arial" w:hAnsi="Arial" w:cs="Arial"/>
          <w:sz w:val="20"/>
          <w:szCs w:val="20"/>
        </w:rPr>
        <w:t>ực giám định tư pháp sau khi thố</w:t>
      </w:r>
      <w:r w:rsidRPr="00EB6DED">
        <w:rPr>
          <w:rFonts w:ascii="Arial" w:hAnsi="Arial" w:cs="Arial"/>
          <w:sz w:val="20"/>
          <w:szCs w:val="20"/>
        </w:rPr>
        <w:t xml:space="preserve">ng </w:t>
      </w:r>
      <w:r w:rsidR="005737AC" w:rsidRPr="00EB6DED">
        <w:rPr>
          <w:rFonts w:ascii="Arial" w:hAnsi="Arial" w:cs="Arial"/>
          <w:sz w:val="20"/>
          <w:szCs w:val="20"/>
        </w:rPr>
        <w:t>nhất</w:t>
      </w:r>
      <w:r w:rsidRPr="00EB6DED">
        <w:rPr>
          <w:rFonts w:ascii="Arial" w:hAnsi="Arial" w:cs="Arial"/>
          <w:sz w:val="20"/>
          <w:szCs w:val="20"/>
        </w:rPr>
        <w:t xml:space="preserve"> </w:t>
      </w:r>
      <w:r w:rsidR="005737AC" w:rsidRPr="00EB6DED">
        <w:rPr>
          <w:rFonts w:ascii="Arial" w:hAnsi="Arial" w:cs="Arial"/>
          <w:sz w:val="20"/>
          <w:szCs w:val="20"/>
        </w:rPr>
        <w:t>ý kiến</w:t>
      </w:r>
      <w:r w:rsidRPr="00EB6DED">
        <w:rPr>
          <w:rFonts w:ascii="Arial" w:hAnsi="Arial" w:cs="Arial"/>
          <w:sz w:val="20"/>
          <w:szCs w:val="20"/>
        </w:rPr>
        <w:t xml:space="preserve"> với Giám đốc Sở Tư pháp.</w:t>
      </w:r>
    </w:p>
    <w:p w:rsidR="00765FDA" w:rsidRPr="00EB6DED" w:rsidRDefault="005737AC" w:rsidP="00C00499">
      <w:pPr>
        <w:pStyle w:val="BodyText"/>
        <w:shd w:val="clear" w:color="auto" w:fill="auto"/>
        <w:tabs>
          <w:tab w:val="left" w:pos="112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 xml:space="preserve">Trong thời hạn 10 ngày, kể từ ngày nhận được hồ sơ hợp lệ, Bộ trưởng, Thủ trưởng cơ quan ngang bộ, Chủ tịch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xem xét, quyết định miễn nhiệm giám định viên tư pháp, thu hồi thẻ giám định viên tư pháp và điều chỉnh danh sách giám định viên tư pháp trên cổng thông tin điệ</w:t>
      </w:r>
      <w:r w:rsidR="002856C6" w:rsidRPr="00EB6DED">
        <w:rPr>
          <w:rFonts w:ascii="Arial" w:hAnsi="Arial" w:cs="Arial"/>
          <w:sz w:val="20"/>
          <w:szCs w:val="20"/>
        </w:rPr>
        <w:t xml:space="preserve">n tử của bộ, cơ quan ngang bộ, </w:t>
      </w:r>
      <w:r w:rsidR="002856C6" w:rsidRPr="00EB6DED">
        <w:rPr>
          <w:rFonts w:ascii="Arial" w:hAnsi="Arial" w:cs="Arial"/>
          <w:sz w:val="20"/>
          <w:szCs w:val="20"/>
          <w:lang w:val="en-US"/>
        </w:rPr>
        <w:t>Ủ</w:t>
      </w:r>
      <w:r w:rsidR="006419E5" w:rsidRPr="00EB6DED">
        <w:rPr>
          <w:rFonts w:ascii="Arial" w:hAnsi="Arial" w:cs="Arial"/>
          <w:sz w:val="20"/>
          <w:szCs w:val="20"/>
        </w:rPr>
        <w:t xml:space="preserve">y ban nhân dân </w:t>
      </w:r>
      <w:r w:rsidR="00B11D93" w:rsidRPr="00EB6DED">
        <w:rPr>
          <w:rFonts w:ascii="Arial" w:hAnsi="Arial" w:cs="Arial"/>
          <w:sz w:val="20"/>
          <w:szCs w:val="20"/>
          <w:lang w:val="en-US" w:eastAsia="en-US" w:bidi="en-US"/>
        </w:rPr>
        <w:t>cấ</w:t>
      </w:r>
      <w:r w:rsidR="006419E5" w:rsidRPr="00EB6DED">
        <w:rPr>
          <w:rFonts w:ascii="Arial" w:hAnsi="Arial" w:cs="Arial"/>
          <w:sz w:val="20"/>
          <w:szCs w:val="20"/>
          <w:lang w:val="en-US" w:eastAsia="en-US" w:bidi="en-US"/>
        </w:rPr>
        <w:t xml:space="preserve">p </w:t>
      </w:r>
      <w:r w:rsidR="006419E5" w:rsidRPr="00EB6DED">
        <w:rPr>
          <w:rFonts w:ascii="Arial" w:hAnsi="Arial" w:cs="Arial"/>
          <w:sz w:val="20"/>
          <w:szCs w:val="20"/>
        </w:rPr>
        <w:t>tỉnh, đồng thời gửi Bộ Tư pháp để điều chỉnh danh sách chung về giám định viên tư pháp.”.</w:t>
      </w:r>
    </w:p>
    <w:p w:rsidR="00765FDA" w:rsidRPr="00EB6DED" w:rsidRDefault="00B11D93" w:rsidP="00C00499">
      <w:pPr>
        <w:pStyle w:val="BodyText"/>
        <w:shd w:val="clear" w:color="auto" w:fill="auto"/>
        <w:tabs>
          <w:tab w:val="left" w:pos="111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7. </w:t>
      </w:r>
      <w:r w:rsidR="006419E5" w:rsidRPr="00EB6DED">
        <w:rPr>
          <w:rFonts w:ascii="Arial" w:hAnsi="Arial" w:cs="Arial"/>
          <w:sz w:val="20"/>
          <w:szCs w:val="20"/>
        </w:rPr>
        <w:t>Sửa đổi, bổ sung khoản 2 Điều 11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“2. 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w:t>
      </w:r>
      <w:r w:rsidR="00D04FB6" w:rsidRPr="00EB6DED">
        <w:rPr>
          <w:rFonts w:ascii="Arial" w:hAnsi="Arial" w:cs="Arial"/>
          <w:sz w:val="20"/>
          <w:szCs w:val="20"/>
        </w:rPr>
        <w:t>Trường hợp</w:t>
      </w:r>
      <w:r w:rsidRPr="00EB6DED">
        <w:rPr>
          <w:rFonts w:ascii="Arial" w:hAnsi="Arial" w:cs="Arial"/>
          <w:sz w:val="20"/>
          <w:szCs w:val="20"/>
        </w:rPr>
        <w:t xml:space="preserve">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rsidR="00765FDA" w:rsidRPr="00EB6DED" w:rsidRDefault="00D04FB6" w:rsidP="00C00499">
      <w:pPr>
        <w:pStyle w:val="BodyText"/>
        <w:shd w:val="clear" w:color="auto" w:fill="auto"/>
        <w:tabs>
          <w:tab w:val="left" w:pos="111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8. </w:t>
      </w:r>
      <w:r w:rsidR="006419E5" w:rsidRPr="00EB6DED">
        <w:rPr>
          <w:rFonts w:ascii="Arial" w:hAnsi="Arial" w:cs="Arial"/>
          <w:sz w:val="20"/>
          <w:szCs w:val="20"/>
        </w:rPr>
        <w:t>Sửa đổi, bổ sung một số khoản của Điều 12 như sau:</w:t>
      </w:r>
    </w:p>
    <w:p w:rsidR="00765FDA" w:rsidRPr="00EB6DED" w:rsidRDefault="00BC5B0B" w:rsidP="00C00499">
      <w:pPr>
        <w:pStyle w:val="BodyText"/>
        <w:shd w:val="clear" w:color="auto" w:fill="auto"/>
        <w:tabs>
          <w:tab w:val="left" w:pos="1137"/>
        </w:tabs>
        <w:spacing w:after="120" w:line="240" w:lineRule="auto"/>
        <w:ind w:firstLine="720"/>
        <w:jc w:val="both"/>
        <w:rPr>
          <w:rFonts w:ascii="Arial" w:hAnsi="Arial" w:cs="Arial"/>
          <w:sz w:val="20"/>
          <w:szCs w:val="20"/>
        </w:rPr>
      </w:pPr>
      <w:r w:rsidRPr="00EB6DED">
        <w:rPr>
          <w:rFonts w:ascii="Arial" w:hAnsi="Arial" w:cs="Arial"/>
          <w:sz w:val="20"/>
          <w:szCs w:val="20"/>
          <w:lang w:val="en-US"/>
        </w:rPr>
        <w:t>a)</w:t>
      </w:r>
      <w:r w:rsidR="00622F9B" w:rsidRPr="00EB6DED">
        <w:rPr>
          <w:rFonts w:ascii="Arial" w:hAnsi="Arial" w:cs="Arial"/>
          <w:sz w:val="20"/>
          <w:szCs w:val="20"/>
          <w:lang w:val="en-US"/>
        </w:rPr>
        <w:t xml:space="preserve"> </w:t>
      </w:r>
      <w:r w:rsidR="006419E5" w:rsidRPr="00EB6DED">
        <w:rPr>
          <w:rFonts w:ascii="Arial" w:hAnsi="Arial" w:cs="Arial"/>
          <w:sz w:val="20"/>
          <w:szCs w:val="20"/>
        </w:rPr>
        <w:t>Sửa đổi, bổ sung khoản 4 và khoản 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“4. Tổ chức giám định tư pháp công lập về kỹ thuật hình sự bao gồm:</w:t>
      </w:r>
    </w:p>
    <w:p w:rsidR="00765FDA" w:rsidRPr="00EB6DED" w:rsidRDefault="0072584A" w:rsidP="00C00499">
      <w:pPr>
        <w:pStyle w:val="BodyText"/>
        <w:shd w:val="clear" w:color="auto" w:fill="auto"/>
        <w:tabs>
          <w:tab w:val="left" w:pos="113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Viện khoa học hình sự thuộc Bộ Công an;</w:t>
      </w:r>
    </w:p>
    <w:p w:rsidR="00765FDA" w:rsidRPr="00EB6DED" w:rsidRDefault="0072584A"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Phòng kỹ thuật hình sự thuộc Công an cấp tỉnh;</w:t>
      </w:r>
    </w:p>
    <w:p w:rsidR="00765FDA" w:rsidRPr="00EB6DED" w:rsidRDefault="0058287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Phòng giám định kỹ thuật hình sự thuộc Bộ Quốc phòng;</w:t>
      </w:r>
    </w:p>
    <w:p w:rsidR="00765FDA" w:rsidRPr="00EB6DED" w:rsidRDefault="0058287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Phòng giám định kỹ thuật hình sự thuộc Viện kiểm sát nhân dân tối cao.</w:t>
      </w:r>
    </w:p>
    <w:p w:rsidR="00765FDA" w:rsidRPr="00EB6DED" w:rsidRDefault="004226EE" w:rsidP="00C00499">
      <w:pPr>
        <w:pStyle w:val="BodyText"/>
        <w:shd w:val="clear" w:color="auto" w:fill="auto"/>
        <w:tabs>
          <w:tab w:val="left" w:pos="112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 xml:space="preserve">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w:t>
      </w:r>
      <w:r w:rsidR="00CB0B74" w:rsidRPr="00EB6DED">
        <w:rPr>
          <w:rFonts w:ascii="Arial" w:hAnsi="Arial" w:cs="Arial"/>
          <w:sz w:val="20"/>
          <w:szCs w:val="20"/>
        </w:rPr>
        <w:t>cấp</w:t>
      </w:r>
      <w:r w:rsidR="00E116F9" w:rsidRPr="00EB6DED">
        <w:rPr>
          <w:rFonts w:ascii="Arial" w:hAnsi="Arial" w:cs="Arial"/>
          <w:sz w:val="20"/>
          <w:szCs w:val="20"/>
        </w:rPr>
        <w:t xml:space="preserve"> tỉ</w:t>
      </w:r>
      <w:r w:rsidR="006419E5" w:rsidRPr="00EB6DED">
        <w:rPr>
          <w:rFonts w:ascii="Arial" w:hAnsi="Arial" w:cs="Arial"/>
          <w:sz w:val="20"/>
          <w:szCs w:val="20"/>
        </w:rPr>
        <w:t>nh có giám định viên pháp y thực hiện giám định pháp y tử thi.”;</w:t>
      </w:r>
    </w:p>
    <w:p w:rsidR="00765FDA" w:rsidRPr="00EB6DED" w:rsidRDefault="00E116F9" w:rsidP="00C00499">
      <w:pPr>
        <w:pStyle w:val="BodyText"/>
        <w:shd w:val="clear" w:color="auto" w:fill="auto"/>
        <w:tabs>
          <w:tab w:val="left" w:pos="114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khoản 7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“7. Chính phủ quy định chi tiết chức năng, nhiệm vụ, cơ cấu tổ chức, chế độ làm việc của tổ chức giám định tư pháp công lập quy định tại khoản 2, khoản 3, các điểm a, b và c khoản 4 Điều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Viện trưởng Viện kiểm sát nhân dân tối cao quy định chức năng, nhiệm vụ, cơ cấu </w:t>
      </w:r>
      <w:r w:rsidR="00A84E92" w:rsidRPr="00EB6DED">
        <w:rPr>
          <w:rFonts w:ascii="Arial" w:hAnsi="Arial" w:cs="Arial"/>
          <w:sz w:val="20"/>
          <w:szCs w:val="20"/>
        </w:rPr>
        <w:t>tổ chức</w:t>
      </w:r>
      <w:r w:rsidRPr="00EB6DED">
        <w:rPr>
          <w:rFonts w:ascii="Arial" w:hAnsi="Arial" w:cs="Arial"/>
          <w:sz w:val="20"/>
          <w:szCs w:val="20"/>
        </w:rPr>
        <w:t xml:space="preserve"> của Phòng giám định kỹ thuật hình sự thuộc Viện </w:t>
      </w:r>
      <w:r w:rsidR="00A84E92" w:rsidRPr="00EB6DED">
        <w:rPr>
          <w:rFonts w:ascii="Arial" w:hAnsi="Arial" w:cs="Arial"/>
          <w:sz w:val="20"/>
          <w:szCs w:val="20"/>
        </w:rPr>
        <w:t>kiểm sát</w:t>
      </w:r>
      <w:r w:rsidRPr="00EB6DED">
        <w:rPr>
          <w:rFonts w:ascii="Arial" w:hAnsi="Arial" w:cs="Arial"/>
          <w:sz w:val="20"/>
          <w:szCs w:val="20"/>
        </w:rPr>
        <w:t xml:space="preserve"> nhân dân tối cao, trình </w:t>
      </w:r>
      <w:r w:rsidR="0027113F" w:rsidRPr="00EB6DED">
        <w:rPr>
          <w:rFonts w:ascii="Arial" w:hAnsi="Arial" w:cs="Arial"/>
          <w:sz w:val="20"/>
          <w:szCs w:val="20"/>
        </w:rPr>
        <w:t>Ủy ban</w:t>
      </w:r>
      <w:r w:rsidRPr="00EB6DED">
        <w:rPr>
          <w:rFonts w:ascii="Arial" w:hAnsi="Arial" w:cs="Arial"/>
          <w:sz w:val="20"/>
          <w:szCs w:val="20"/>
        </w:rPr>
        <w:t xml:space="preserve"> Thường vụ Quốc hội phê chuẩn.”.</w:t>
      </w:r>
    </w:p>
    <w:p w:rsidR="00765FDA" w:rsidRPr="00EB6DED" w:rsidRDefault="00A84E92" w:rsidP="00C00499">
      <w:pPr>
        <w:pStyle w:val="BodyText"/>
        <w:shd w:val="clear" w:color="auto" w:fill="auto"/>
        <w:tabs>
          <w:tab w:val="left" w:pos="110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9. </w:t>
      </w:r>
      <w:r w:rsidR="006419E5" w:rsidRPr="00EB6DED">
        <w:rPr>
          <w:rFonts w:ascii="Arial" w:hAnsi="Arial" w:cs="Arial"/>
          <w:sz w:val="20"/>
          <w:szCs w:val="20"/>
        </w:rPr>
        <w:t>Sửa đổi, bổ sung điểm a khoản 1 Điều 15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“a) Có từ đủ 03 năm trở lên</w:t>
      </w:r>
      <w:r w:rsidR="00B64FAC" w:rsidRPr="00EB6DED">
        <w:rPr>
          <w:rFonts w:ascii="Arial" w:hAnsi="Arial" w:cs="Arial"/>
          <w:sz w:val="20"/>
          <w:szCs w:val="20"/>
        </w:rPr>
        <w:t xml:space="preserve"> là giám định viên tư pháp và có</w:t>
      </w:r>
      <w:r w:rsidRPr="00EB6DED">
        <w:rPr>
          <w:rFonts w:ascii="Arial" w:hAnsi="Arial" w:cs="Arial"/>
          <w:sz w:val="20"/>
          <w:szCs w:val="20"/>
        </w:rPr>
        <w:t xml:space="preserve"> hoạt động giám định trong lĩnh vực đề nghị thành lập Văn phòng;”.</w:t>
      </w:r>
    </w:p>
    <w:p w:rsidR="00765FDA" w:rsidRPr="00EB6DED" w:rsidRDefault="00B64FAC" w:rsidP="00C00499">
      <w:pPr>
        <w:pStyle w:val="BodyText"/>
        <w:shd w:val="clear" w:color="auto" w:fill="auto"/>
        <w:tabs>
          <w:tab w:val="left" w:pos="122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10. </w:t>
      </w:r>
      <w:r w:rsidR="006419E5" w:rsidRPr="00EB6DED">
        <w:rPr>
          <w:rFonts w:ascii="Arial" w:hAnsi="Arial" w:cs="Arial"/>
          <w:sz w:val="20"/>
          <w:szCs w:val="20"/>
        </w:rPr>
        <w:t>Sửa đổi, bổ sung Điều 20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20. Công nhận và đăng tải danh sách người giám định tư pháp theo vụ việc, tổ chức giám định tư pháp theo vụ việc</w:t>
      </w:r>
    </w:p>
    <w:p w:rsidR="00765FDA" w:rsidRPr="00EB6DED" w:rsidRDefault="005B4880" w:rsidP="00C00499">
      <w:pPr>
        <w:pStyle w:val="BodyText"/>
        <w:shd w:val="clear" w:color="auto" w:fill="auto"/>
        <w:tabs>
          <w:tab w:val="left" w:pos="108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 xml:space="preserve">Bộ </w:t>
      </w:r>
      <w:r w:rsidRPr="00EB6DED">
        <w:rPr>
          <w:rFonts w:ascii="Arial" w:hAnsi="Arial" w:cs="Arial"/>
          <w:sz w:val="20"/>
          <w:szCs w:val="20"/>
        </w:rPr>
        <w:t>Xây dựng</w:t>
      </w:r>
      <w:r w:rsidR="006419E5" w:rsidRPr="00EB6DED">
        <w:rPr>
          <w:rFonts w:ascii="Arial" w:hAnsi="Arial" w:cs="Arial"/>
          <w:sz w:val="20"/>
          <w:szCs w:val="20"/>
        </w:rPr>
        <w:t>, Bộ</w:t>
      </w:r>
      <w:r w:rsidRPr="00EB6DED">
        <w:rPr>
          <w:rFonts w:ascii="Arial" w:hAnsi="Arial" w:cs="Arial"/>
          <w:sz w:val="20"/>
          <w:szCs w:val="20"/>
        </w:rPr>
        <w:t xml:space="preserve"> Tài chính, Bộ Văn hóa, Thể thao và D</w:t>
      </w:r>
      <w:r w:rsidR="006419E5" w:rsidRPr="00EB6DED">
        <w:rPr>
          <w:rFonts w:ascii="Arial" w:hAnsi="Arial" w:cs="Arial"/>
          <w:sz w:val="20"/>
          <w:szCs w:val="20"/>
        </w:rPr>
        <w:t xml:space="preserve">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lựa chọn cá nhân, tổ chức có đủ tiêu </w:t>
      </w:r>
      <w:r w:rsidR="006419E5" w:rsidRPr="00EB6DED">
        <w:rPr>
          <w:rFonts w:ascii="Arial" w:hAnsi="Arial" w:cs="Arial"/>
          <w:sz w:val="20"/>
          <w:szCs w:val="20"/>
        </w:rPr>
        <w:lastRenderedPageBreak/>
        <w:t xml:space="preserve">chuẩn, điều kiện quy định tại Điều 18 và Điều 19 của Luật này để ra quyết định công nhận người giám định tư pháp theo vụ việc, tổ chức giám định tư pháp theo vụ việc ở lĩnh vực thuộc </w:t>
      </w:r>
      <w:r w:rsidR="00197445" w:rsidRPr="00EB6DED">
        <w:rPr>
          <w:rFonts w:ascii="Arial" w:hAnsi="Arial" w:cs="Arial"/>
          <w:sz w:val="20"/>
          <w:szCs w:val="20"/>
        </w:rPr>
        <w:t>thẩm quyền</w:t>
      </w:r>
      <w:r w:rsidRPr="00EB6DED">
        <w:rPr>
          <w:rFonts w:ascii="Arial" w:hAnsi="Arial" w:cs="Arial"/>
          <w:sz w:val="20"/>
          <w:szCs w:val="20"/>
        </w:rPr>
        <w:t xml:space="preserve"> quản lý để</w:t>
      </w:r>
      <w:r w:rsidR="006419E5" w:rsidRPr="00EB6DED">
        <w:rPr>
          <w:rFonts w:ascii="Arial" w:hAnsi="Arial" w:cs="Arial"/>
          <w:sz w:val="20"/>
          <w:szCs w:val="20"/>
        </w:rPr>
        <w:t xml:space="preserve"> đáp ứng yêu cầu giám định của hoạt động tố tụng.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w:t>
      </w:r>
      <w:r w:rsidR="00445AD7" w:rsidRPr="00EB6DED">
        <w:rPr>
          <w:rFonts w:ascii="Arial" w:hAnsi="Arial" w:cs="Arial"/>
          <w:sz w:val="20"/>
          <w:szCs w:val="20"/>
        </w:rPr>
        <w:t xml:space="preserve"> Chính phủ, </w:t>
      </w:r>
      <w:r w:rsidR="00445AD7" w:rsidRPr="00EB6DED">
        <w:rPr>
          <w:rFonts w:ascii="Arial" w:hAnsi="Arial" w:cs="Arial"/>
          <w:sz w:val="20"/>
          <w:szCs w:val="20"/>
          <w:lang w:val="en-US"/>
        </w:rPr>
        <w:t>Ủ</w:t>
      </w:r>
      <w:r w:rsidRPr="00EB6DED">
        <w:rPr>
          <w:rFonts w:ascii="Arial" w:hAnsi="Arial" w:cs="Arial"/>
          <w:sz w:val="20"/>
          <w:szCs w:val="20"/>
        </w:rPr>
        <w:t>y ban nhân dân cấp tỉnh, đồng thời gửi Bộ Tư pháp để lập danh sách chung.</w:t>
      </w:r>
    </w:p>
    <w:p w:rsidR="00765FDA" w:rsidRPr="007A6097" w:rsidRDefault="007C57E3" w:rsidP="00C00499">
      <w:pPr>
        <w:pStyle w:val="BodyText"/>
        <w:shd w:val="clear" w:color="auto" w:fill="auto"/>
        <w:tabs>
          <w:tab w:val="left" w:pos="1083"/>
        </w:tabs>
        <w:spacing w:after="120" w:line="240" w:lineRule="auto"/>
        <w:ind w:firstLine="720"/>
        <w:jc w:val="both"/>
        <w:rPr>
          <w:rFonts w:ascii="Arial" w:hAnsi="Arial" w:cs="Arial"/>
          <w:sz w:val="20"/>
          <w:szCs w:val="20"/>
          <w:lang w:val="en-SG"/>
        </w:rPr>
      </w:pPr>
      <w:r w:rsidRPr="00EB6DED">
        <w:rPr>
          <w:rFonts w:ascii="Arial" w:hAnsi="Arial" w:cs="Arial"/>
          <w:sz w:val="20"/>
          <w:szCs w:val="20"/>
          <w:lang w:val="en-US"/>
        </w:rPr>
        <w:t xml:space="preserve">2. </w:t>
      </w:r>
      <w:r w:rsidR="006419E5" w:rsidRPr="00EB6DED">
        <w:rPr>
          <w:rFonts w:ascii="Arial" w:hAnsi="Arial" w:cs="Arial"/>
          <w:sz w:val="20"/>
          <w:szCs w:val="20"/>
        </w:rPr>
        <w:t>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w:t>
      </w:r>
      <w:r w:rsidR="007A6097">
        <w:rPr>
          <w:rFonts w:ascii="Arial" w:hAnsi="Arial" w:cs="Arial"/>
          <w:sz w:val="20"/>
          <w:szCs w:val="20"/>
        </w:rPr>
        <w:t>t định việc trưng cầu giám định</w:t>
      </w:r>
      <w:r w:rsidR="007A6097">
        <w:rPr>
          <w:rFonts w:ascii="Arial" w:hAnsi="Arial" w:cs="Arial"/>
          <w:sz w:val="20"/>
          <w:szCs w:val="20"/>
          <w:lang w:val="en-SG"/>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trường hợp đặc biệt, người trưng cầu giám định có thể trưng cầu cá nhân, </w:t>
      </w:r>
      <w:r w:rsidR="00A84E92" w:rsidRPr="00EB6DED">
        <w:rPr>
          <w:rFonts w:ascii="Arial" w:hAnsi="Arial" w:cs="Arial"/>
          <w:sz w:val="20"/>
          <w:szCs w:val="20"/>
        </w:rPr>
        <w:t>tổ chức</w:t>
      </w:r>
      <w:r w:rsidRPr="00EB6DED">
        <w:rPr>
          <w:rFonts w:ascii="Arial" w:hAnsi="Arial" w:cs="Arial"/>
          <w:sz w:val="20"/>
          <w:szCs w:val="20"/>
        </w:rPr>
        <w:t xml:space="preserve"> chuyên môn có đủ tiêu </w:t>
      </w:r>
      <w:r w:rsidR="00917FA7" w:rsidRPr="00EB6DED">
        <w:rPr>
          <w:rFonts w:ascii="Arial" w:hAnsi="Arial" w:cs="Arial"/>
          <w:sz w:val="20"/>
          <w:szCs w:val="20"/>
        </w:rPr>
        <w:t>chuẩn</w:t>
      </w:r>
      <w:r w:rsidRPr="00EB6DED">
        <w:rPr>
          <w:rFonts w:ascii="Arial" w:hAnsi="Arial" w:cs="Arial"/>
          <w:sz w:val="20"/>
          <w:szCs w:val="20"/>
        </w:rPr>
        <w:t xml:space="preserve">, </w:t>
      </w:r>
      <w:r w:rsidR="00433289" w:rsidRPr="00EB6DED">
        <w:rPr>
          <w:rFonts w:ascii="Arial" w:hAnsi="Arial" w:cs="Arial"/>
          <w:sz w:val="20"/>
          <w:szCs w:val="20"/>
        </w:rPr>
        <w:t>điều</w:t>
      </w:r>
      <w:r w:rsidRPr="00EB6DED">
        <w:rPr>
          <w:rFonts w:ascii="Arial" w:hAnsi="Arial" w:cs="Arial"/>
          <w:sz w:val="20"/>
          <w:szCs w:val="20"/>
        </w:rPr>
        <w:t xml:space="preserve"> kiện quy định tại </w:t>
      </w:r>
      <w:r w:rsidR="00433289" w:rsidRPr="00EB6DED">
        <w:rPr>
          <w:rFonts w:ascii="Arial" w:hAnsi="Arial" w:cs="Arial"/>
          <w:sz w:val="20"/>
          <w:szCs w:val="20"/>
        </w:rPr>
        <w:t>Điều</w:t>
      </w:r>
      <w:r w:rsidRPr="00EB6DED">
        <w:rPr>
          <w:rFonts w:ascii="Arial" w:hAnsi="Arial" w:cs="Arial"/>
          <w:sz w:val="20"/>
          <w:szCs w:val="20"/>
        </w:rPr>
        <w:t xml:space="preserve"> 18 và Điều 19 của Luật này không thuộc danh sách người giám định tư pháp theo vụ việc, tổ chức giám định tư pháp theo vụ việc đã công bố để thực hiện giám định nhưng phải nêu rõ lý do trong quyết định trưng cầu.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Theo yêu cầu của cơ quan có thẩm quyền tiến hành tố tụng, người có thẩm quyền tiến hành tố tụng, bộ, cơ quan ngang bộ, cơ quan thuộc Chính phủ, Kiểm toán nhà nước, 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cơ quan trung ương đóng trên địa bàn cấp tỉnh có trách nhiệm g</w:t>
      </w:r>
      <w:r w:rsidR="001E6A05" w:rsidRPr="00EB6DED">
        <w:rPr>
          <w:rFonts w:ascii="Arial" w:hAnsi="Arial" w:cs="Arial"/>
          <w:sz w:val="20"/>
          <w:szCs w:val="20"/>
        </w:rPr>
        <w:t>iới thiệu cá nhân, tổ chức có đủ</w:t>
      </w:r>
      <w:r w:rsidRPr="00EB6DED">
        <w:rPr>
          <w:rFonts w:ascii="Arial" w:hAnsi="Arial" w:cs="Arial"/>
          <w:sz w:val="20"/>
          <w:szCs w:val="20"/>
        </w:rPr>
        <w:t xml:space="preserve"> tiêu chuẩn, điều kiện quy định tại Điều 18 và Điều 19 của Luật này ngoài danh sách đã công bố để thực hiện giám định.”.</w:t>
      </w:r>
    </w:p>
    <w:p w:rsidR="00765FDA" w:rsidRPr="00EB6DED" w:rsidRDefault="00037568"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11. </w:t>
      </w:r>
      <w:r w:rsidR="006419E5" w:rsidRPr="00EB6DED">
        <w:rPr>
          <w:rFonts w:ascii="Arial" w:hAnsi="Arial" w:cs="Arial"/>
          <w:sz w:val="20"/>
          <w:szCs w:val="20"/>
        </w:rPr>
        <w:t>Sửa đổi, bổ sung khoản 2 Điều 21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Người trưng cầu giám định có nghĩa vụ:</w:t>
      </w:r>
    </w:p>
    <w:p w:rsidR="00765FDA" w:rsidRPr="00EB6DED" w:rsidRDefault="009C37EA" w:rsidP="00C00499">
      <w:pPr>
        <w:pStyle w:val="BodyText"/>
        <w:shd w:val="clear" w:color="auto" w:fill="auto"/>
        <w:tabs>
          <w:tab w:val="left" w:pos="11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7A6097">
        <w:rPr>
          <w:rFonts w:ascii="Arial" w:hAnsi="Arial" w:cs="Arial"/>
          <w:sz w:val="20"/>
          <w:szCs w:val="20"/>
        </w:rPr>
        <w:t>Xác định rõ nội dung, l</w:t>
      </w:r>
      <w:r w:rsidR="007A6097">
        <w:rPr>
          <w:rFonts w:ascii="Arial" w:hAnsi="Arial" w:cs="Arial"/>
          <w:sz w:val="20"/>
          <w:szCs w:val="20"/>
          <w:lang w:val="en-SG"/>
        </w:rPr>
        <w:t>ĩ</w:t>
      </w:r>
      <w:r w:rsidR="006419E5" w:rsidRPr="00EB6DED">
        <w:rPr>
          <w:rFonts w:ascii="Arial" w:hAnsi="Arial" w:cs="Arial"/>
          <w:sz w:val="20"/>
          <w:szCs w:val="20"/>
        </w:rPr>
        <w:t xml:space="preserve">nh vực hoặc chuyên ngành cần giám định trong vụ án, vụ việc đang giải quyết; lựa chọn cá nhân, tổ chức có năng lực, đủ điều kiện thực hiện giám định </w:t>
      </w:r>
      <w:r w:rsidR="00FF7692" w:rsidRPr="00EB6DED">
        <w:rPr>
          <w:rFonts w:ascii="Arial" w:hAnsi="Arial" w:cs="Arial"/>
          <w:sz w:val="20"/>
          <w:szCs w:val="20"/>
        </w:rPr>
        <w:t>phù hợp</w:t>
      </w:r>
      <w:r w:rsidR="006419E5" w:rsidRPr="00EB6DED">
        <w:rPr>
          <w:rFonts w:ascii="Arial" w:hAnsi="Arial" w:cs="Arial"/>
          <w:sz w:val="20"/>
          <w:szCs w:val="20"/>
        </w:rPr>
        <w:t xml:space="preserve"> với tính chất, nội dung cần giám định để ra quyết định trưng cầu giám định;</w:t>
      </w:r>
    </w:p>
    <w:p w:rsidR="00765FDA" w:rsidRPr="00EB6DED" w:rsidRDefault="00FF7692" w:rsidP="00C00499">
      <w:pPr>
        <w:pStyle w:val="BodyText"/>
        <w:shd w:val="clear" w:color="auto" w:fill="auto"/>
        <w:tabs>
          <w:tab w:val="left" w:pos="123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Ra quyết định </w:t>
      </w:r>
      <w:r w:rsidR="00133824" w:rsidRPr="00EB6DED">
        <w:rPr>
          <w:rFonts w:ascii="Arial" w:hAnsi="Arial" w:cs="Arial"/>
          <w:sz w:val="20"/>
          <w:szCs w:val="20"/>
        </w:rPr>
        <w:t>trưng cầu giám định bằng văn bả</w:t>
      </w:r>
      <w:r w:rsidR="006419E5" w:rsidRPr="00EB6DED">
        <w:rPr>
          <w:rFonts w:ascii="Arial" w:hAnsi="Arial" w:cs="Arial"/>
          <w:sz w:val="20"/>
          <w:szCs w:val="20"/>
        </w:rPr>
        <w:t>n;</w:t>
      </w:r>
    </w:p>
    <w:p w:rsidR="00765FDA" w:rsidRPr="00EB6DED" w:rsidRDefault="00133824" w:rsidP="00C00499">
      <w:pPr>
        <w:pStyle w:val="BodyText"/>
        <w:shd w:val="clear" w:color="auto" w:fill="auto"/>
        <w:tabs>
          <w:tab w:val="left" w:pos="11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Cung cấp kịp thời, đầy đủ và chịu trách nhiệm trước pháp</w:t>
      </w:r>
      <w:r w:rsidR="00964921" w:rsidRPr="00EB6DED">
        <w:rPr>
          <w:rFonts w:ascii="Arial" w:hAnsi="Arial" w:cs="Arial"/>
          <w:sz w:val="20"/>
          <w:szCs w:val="20"/>
        </w:rPr>
        <w:t xml:space="preserve"> luật về thông tin, tài liệu, mẫu vật có liên quan đến đối tượng, nội dung cầ</w:t>
      </w:r>
      <w:r w:rsidR="006419E5" w:rsidRPr="00EB6DED">
        <w:rPr>
          <w:rFonts w:ascii="Arial" w:hAnsi="Arial" w:cs="Arial"/>
          <w:sz w:val="20"/>
          <w:szCs w:val="20"/>
        </w:rPr>
        <w:t>n giám định theo yêu cầu của cá nhân, tổ chức thực hiện giám định tư pháp;</w:t>
      </w:r>
    </w:p>
    <w:p w:rsidR="00765FDA" w:rsidRPr="00EB6DED" w:rsidRDefault="00964921" w:rsidP="00C00499">
      <w:pPr>
        <w:pStyle w:val="BodyText"/>
        <w:shd w:val="clear" w:color="auto" w:fill="auto"/>
        <w:tabs>
          <w:tab w:val="left" w:pos="123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Tạm ứng, thanh toán kịp thời, đầy đủ chi phí giám định tư pháp;</w:t>
      </w:r>
    </w:p>
    <w:p w:rsidR="00765FDA" w:rsidRPr="00EB6DED" w:rsidRDefault="004C6442"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Thực hiện hoặc đề nghị cơ</w:t>
      </w:r>
      <w:r w:rsidR="006419E5" w:rsidRPr="00EB6DED">
        <w:rPr>
          <w:rFonts w:ascii="Arial" w:hAnsi="Arial" w:cs="Arial"/>
          <w:sz w:val="20"/>
          <w:szCs w:val="20"/>
        </w:rPr>
        <w:t xml:space="preserve"> quan </w:t>
      </w:r>
      <w:r w:rsidRPr="00EB6DED">
        <w:rPr>
          <w:rFonts w:ascii="Arial" w:hAnsi="Arial" w:cs="Arial"/>
          <w:sz w:val="20"/>
          <w:szCs w:val="20"/>
          <w:lang w:val="en-US"/>
        </w:rPr>
        <w:t xml:space="preserve">có </w:t>
      </w:r>
      <w:r w:rsidR="007A6097">
        <w:rPr>
          <w:rFonts w:ascii="Arial" w:hAnsi="Arial" w:cs="Arial"/>
          <w:sz w:val="20"/>
          <w:szCs w:val="20"/>
        </w:rPr>
        <w:t xml:space="preserve">thẩm quyền áp dụng các </w:t>
      </w:r>
      <w:r w:rsidR="007A6097">
        <w:rPr>
          <w:rFonts w:ascii="Arial" w:hAnsi="Arial" w:cs="Arial"/>
          <w:sz w:val="20"/>
          <w:szCs w:val="20"/>
          <w:lang w:val="en-SG"/>
        </w:rPr>
        <w:t>b</w:t>
      </w:r>
      <w:r w:rsidR="006419E5" w:rsidRPr="00EB6DED">
        <w:rPr>
          <w:rFonts w:ascii="Arial" w:hAnsi="Arial" w:cs="Arial"/>
          <w:sz w:val="20"/>
          <w:szCs w:val="20"/>
        </w:rPr>
        <w:t xml:space="preserve">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w:t>
      </w:r>
      <w:r w:rsidRPr="00EB6DED">
        <w:rPr>
          <w:rFonts w:ascii="Arial" w:hAnsi="Arial" w:cs="Arial"/>
          <w:sz w:val="20"/>
          <w:szCs w:val="20"/>
        </w:rPr>
        <w:t>người</w:t>
      </w:r>
      <w:r w:rsidR="006419E5" w:rsidRPr="00EB6DED">
        <w:rPr>
          <w:rFonts w:ascii="Arial" w:hAnsi="Arial" w:cs="Arial"/>
          <w:sz w:val="20"/>
          <w:szCs w:val="20"/>
        </w:rPr>
        <w:t xml:space="preserve"> giám định tư pháp.”.</w:t>
      </w:r>
    </w:p>
    <w:p w:rsidR="00765FDA" w:rsidRPr="00EB6DED" w:rsidRDefault="004C6442"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12. </w:t>
      </w:r>
      <w:r w:rsidR="006419E5" w:rsidRPr="00EB6DED">
        <w:rPr>
          <w:rFonts w:ascii="Arial" w:hAnsi="Arial" w:cs="Arial"/>
          <w:sz w:val="20"/>
          <w:szCs w:val="20"/>
        </w:rPr>
        <w:t xml:space="preserve">Sửa đổi, bổ sung một số </w:t>
      </w:r>
      <w:r w:rsidR="008D447A" w:rsidRPr="00EB6DED">
        <w:rPr>
          <w:rFonts w:ascii="Arial" w:hAnsi="Arial" w:cs="Arial"/>
          <w:sz w:val="20"/>
          <w:szCs w:val="20"/>
        </w:rPr>
        <w:t>điểm</w:t>
      </w:r>
      <w:r w:rsidR="006419E5" w:rsidRPr="00EB6DED">
        <w:rPr>
          <w:rFonts w:ascii="Arial" w:hAnsi="Arial" w:cs="Arial"/>
          <w:sz w:val="20"/>
          <w:szCs w:val="20"/>
        </w:rPr>
        <w:t>, khoản của Điều 22 như sau:</w:t>
      </w:r>
    </w:p>
    <w:p w:rsidR="00765FDA" w:rsidRPr="00EB6DED" w:rsidRDefault="008D447A" w:rsidP="00C00499">
      <w:pPr>
        <w:pStyle w:val="BodyText"/>
        <w:shd w:val="clear" w:color="auto" w:fill="auto"/>
        <w:tabs>
          <w:tab w:val="left" w:pos="120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Ngư</w:t>
      </w:r>
      <w:r w:rsidR="005D0CA1" w:rsidRPr="00EB6DED">
        <w:rPr>
          <w:rFonts w:ascii="Arial" w:hAnsi="Arial" w:cs="Arial"/>
          <w:sz w:val="20"/>
          <w:szCs w:val="20"/>
        </w:rPr>
        <w:t>ời yêu cầu giám định có quyền gử</w:t>
      </w:r>
      <w:r w:rsidRPr="00EB6DED">
        <w:rPr>
          <w:rFonts w:ascii="Arial" w:hAnsi="Arial" w:cs="Arial"/>
          <w:sz w:val="20"/>
          <w:szCs w:val="20"/>
        </w:rPr>
        <w:t xml:space="preserve">i văn bản yêu cầu cơ quan có thẩm quyền tiến hành tố tụng, người có thẩm quyền tiến hành tố tụng trưng cầu giám định. Trường hợp cơ quan có thẩm quyền tiến hành tố tụng, người có </w:t>
      </w:r>
      <w:r w:rsidR="00197445" w:rsidRPr="00EB6DED">
        <w:rPr>
          <w:rFonts w:ascii="Arial" w:hAnsi="Arial" w:cs="Arial"/>
          <w:sz w:val="20"/>
          <w:szCs w:val="20"/>
        </w:rPr>
        <w:t>thẩm quyền</w:t>
      </w:r>
      <w:r w:rsidRPr="00EB6DED">
        <w:rPr>
          <w:rFonts w:ascii="Arial" w:hAnsi="Arial" w:cs="Arial"/>
          <w:sz w:val="20"/>
          <w:szCs w:val="20"/>
        </w:rPr>
        <w:t xml:space="preserve"> </w:t>
      </w:r>
      <w:r w:rsidR="00197445" w:rsidRPr="00EB6DED">
        <w:rPr>
          <w:rFonts w:ascii="Arial" w:hAnsi="Arial" w:cs="Arial"/>
          <w:sz w:val="20"/>
          <w:szCs w:val="20"/>
        </w:rPr>
        <w:t>tiến hành</w:t>
      </w:r>
      <w:r w:rsidRPr="00EB6DED">
        <w:rPr>
          <w:rFonts w:ascii="Arial" w:hAnsi="Arial" w:cs="Arial"/>
          <w:sz w:val="20"/>
          <w:szCs w:val="20"/>
        </w:rPr>
        <w:t xml:space="preserve"> </w:t>
      </w:r>
      <w:r w:rsidR="00197445" w:rsidRPr="00EB6DED">
        <w:rPr>
          <w:rFonts w:ascii="Arial" w:hAnsi="Arial" w:cs="Arial"/>
          <w:sz w:val="20"/>
          <w:szCs w:val="20"/>
        </w:rPr>
        <w:t>tố tụng</w:t>
      </w:r>
      <w:r w:rsidR="005D0CA1" w:rsidRPr="00EB6DED">
        <w:rPr>
          <w:rFonts w:ascii="Arial" w:hAnsi="Arial" w:cs="Arial"/>
          <w:sz w:val="20"/>
          <w:szCs w:val="20"/>
        </w:rPr>
        <w:t xml:space="preserve"> không chấ</w:t>
      </w:r>
      <w:r w:rsidRPr="00EB6DED">
        <w:rPr>
          <w:rFonts w:ascii="Arial" w:hAnsi="Arial" w:cs="Arial"/>
          <w:sz w:val="20"/>
          <w:szCs w:val="20"/>
        </w:rPr>
        <w:t xml:space="preserve">p nhận </w:t>
      </w:r>
      <w:r w:rsidR="00B73ED2" w:rsidRPr="00EB6DED">
        <w:rPr>
          <w:rFonts w:ascii="Arial" w:hAnsi="Arial" w:cs="Arial"/>
          <w:sz w:val="20"/>
          <w:szCs w:val="20"/>
        </w:rPr>
        <w:t>yêu cầu</w:t>
      </w:r>
      <w:r w:rsidR="005D0CA1" w:rsidRPr="00EB6DED">
        <w:rPr>
          <w:rFonts w:ascii="Arial" w:hAnsi="Arial" w:cs="Arial"/>
          <w:sz w:val="20"/>
          <w:szCs w:val="20"/>
        </w:rPr>
        <w:t xml:space="preserve"> thì trong thời hạn 07 ngày, kể</w:t>
      </w:r>
      <w:r w:rsidRPr="00EB6DED">
        <w:rPr>
          <w:rFonts w:ascii="Arial" w:hAnsi="Arial" w:cs="Arial"/>
          <w:sz w:val="20"/>
          <w:szCs w:val="20"/>
        </w:rPr>
        <w:t xml:space="preserve"> từ ngày nhận được yêu cầu trưng cầu giám định, phải thông báo cho người yêu cầu giám định bằng văn bản. </w:t>
      </w:r>
      <w:r w:rsidR="005D0CA1" w:rsidRPr="00EB6DED">
        <w:rPr>
          <w:rFonts w:ascii="Arial" w:hAnsi="Arial" w:cs="Arial"/>
          <w:sz w:val="20"/>
          <w:szCs w:val="20"/>
          <w:lang w:val="en-US" w:eastAsia="en-US" w:bidi="en-US"/>
        </w:rPr>
        <w:t>Hế</w:t>
      </w:r>
      <w:r w:rsidRPr="00EB6DED">
        <w:rPr>
          <w:rFonts w:ascii="Arial" w:hAnsi="Arial" w:cs="Arial"/>
          <w:sz w:val="20"/>
          <w:szCs w:val="20"/>
          <w:lang w:val="en-US" w:eastAsia="en-US" w:bidi="en-US"/>
        </w:rPr>
        <w:t xml:space="preserve">t </w:t>
      </w:r>
      <w:r w:rsidRPr="00EB6DED">
        <w:rPr>
          <w:rFonts w:ascii="Arial" w:hAnsi="Arial" w:cs="Arial"/>
          <w:sz w:val="20"/>
          <w:szCs w:val="20"/>
        </w:rPr>
        <w:t>thời hạn nói trên hoặc kể từ ngày nhận được thông báo từ chối trưng cầu giám định, người yêu cầu giám định có quyền tự mình yêu cầu giám định.”;</w:t>
      </w:r>
    </w:p>
    <w:p w:rsidR="00765FDA" w:rsidRPr="00EB6DED" w:rsidRDefault="004E370B" w:rsidP="00C00499">
      <w:pPr>
        <w:pStyle w:val="BodyText"/>
        <w:shd w:val="clear" w:color="auto" w:fill="auto"/>
        <w:tabs>
          <w:tab w:val="left" w:pos="122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điểm d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 Yêu cầu cơ quan có thẩm quyền tiến hành tố tụng, người có thẩm quyền tiến hành tố tụng trưng cầu giám định lại; yêu cầu giám định bổ sung theo quy định tại khoản 1 Điều 29 của Luật này.”.</w:t>
      </w:r>
    </w:p>
    <w:p w:rsidR="00765FDA" w:rsidRPr="00EB6DED" w:rsidRDefault="001D12EE"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13. </w:t>
      </w:r>
      <w:r w:rsidR="006419E5" w:rsidRPr="00EB6DED">
        <w:rPr>
          <w:rFonts w:ascii="Arial" w:hAnsi="Arial" w:cs="Arial"/>
          <w:sz w:val="20"/>
          <w:szCs w:val="20"/>
        </w:rPr>
        <w:t>Bổ sung các điểm d, đ và e vào sau điểm c khoản 1 Điều 23 như sau:</w:t>
      </w:r>
    </w:p>
    <w:p w:rsidR="00765FDA" w:rsidRPr="00EB6DED" w:rsidRDefault="005766AE"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 Đề</w:t>
      </w:r>
      <w:r w:rsidR="006419E5" w:rsidRPr="00EB6DED">
        <w:rPr>
          <w:rFonts w:ascii="Arial" w:hAnsi="Arial" w:cs="Arial"/>
          <w:sz w:val="20"/>
          <w:szCs w:val="20"/>
        </w:rPr>
        <w:t xml:space="preserve"> nghị người trưng cầu giám định hoặc cơ quan có t</w:t>
      </w:r>
      <w:r w:rsidRPr="00EB6DED">
        <w:rPr>
          <w:rFonts w:ascii="Arial" w:hAnsi="Arial" w:cs="Arial"/>
          <w:sz w:val="20"/>
          <w:szCs w:val="20"/>
        </w:rPr>
        <w:t>hẩm quyền thực hiện biện pháp bả</w:t>
      </w:r>
      <w:r w:rsidR="006419E5" w:rsidRPr="00EB6DED">
        <w:rPr>
          <w:rFonts w:ascii="Arial" w:hAnsi="Arial" w:cs="Arial"/>
          <w:sz w:val="20"/>
          <w:szCs w:val="20"/>
        </w:rPr>
        <w:t>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đ) Từ chối thực hiện giám định tư pháp trong trường hợp quy định tại khoản 2 Điều 11 của Luật này;</w:t>
      </w:r>
    </w:p>
    <w:p w:rsidR="00765FDA" w:rsidRPr="00EB6DED" w:rsidRDefault="00BB3C77" w:rsidP="00C00499">
      <w:pPr>
        <w:pStyle w:val="BodyText"/>
        <w:shd w:val="clear" w:color="auto" w:fill="auto"/>
        <w:tabs>
          <w:tab w:val="left" w:pos="116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 xml:space="preserve">Được bố trí vị trí </w:t>
      </w:r>
      <w:r w:rsidR="00FF7692" w:rsidRPr="00EB6DED">
        <w:rPr>
          <w:rFonts w:ascii="Arial" w:hAnsi="Arial" w:cs="Arial"/>
          <w:sz w:val="20"/>
          <w:szCs w:val="20"/>
        </w:rPr>
        <w:t>phù hợp</w:t>
      </w:r>
      <w:r w:rsidR="006419E5" w:rsidRPr="00EB6DED">
        <w:rPr>
          <w:rFonts w:ascii="Arial" w:hAnsi="Arial" w:cs="Arial"/>
          <w:sz w:val="20"/>
          <w:szCs w:val="20"/>
        </w:rPr>
        <w:t xml:space="preserve"> khi tham gia tố tụng tại phiên tòa.”.</w:t>
      </w:r>
    </w:p>
    <w:p w:rsidR="00765FDA" w:rsidRPr="00EB6DED" w:rsidRDefault="00C73EB9" w:rsidP="00C00499">
      <w:pPr>
        <w:pStyle w:val="BodyText"/>
        <w:shd w:val="clear" w:color="auto" w:fill="auto"/>
        <w:tabs>
          <w:tab w:val="left" w:pos="1261"/>
        </w:tabs>
        <w:spacing w:after="120" w:line="240" w:lineRule="auto"/>
        <w:ind w:firstLine="720"/>
        <w:jc w:val="both"/>
        <w:rPr>
          <w:rFonts w:ascii="Arial" w:hAnsi="Arial" w:cs="Arial"/>
          <w:sz w:val="20"/>
          <w:szCs w:val="20"/>
        </w:rPr>
      </w:pPr>
      <w:r w:rsidRPr="00EB6DED">
        <w:rPr>
          <w:rFonts w:ascii="Arial" w:hAnsi="Arial" w:cs="Arial"/>
          <w:sz w:val="20"/>
          <w:szCs w:val="20"/>
          <w:lang w:val="en-US"/>
        </w:rPr>
        <w:t>14.</w:t>
      </w:r>
      <w:r w:rsidR="00DD706A" w:rsidRPr="00EB6DED">
        <w:rPr>
          <w:rFonts w:ascii="Arial" w:hAnsi="Arial" w:cs="Arial"/>
          <w:sz w:val="20"/>
          <w:szCs w:val="20"/>
          <w:lang w:val="en-US"/>
        </w:rPr>
        <w:t xml:space="preserve"> </w:t>
      </w:r>
      <w:r w:rsidR="00D70A5F" w:rsidRPr="00EB6DED">
        <w:rPr>
          <w:rFonts w:ascii="Arial" w:hAnsi="Arial" w:cs="Arial"/>
          <w:sz w:val="20"/>
          <w:szCs w:val="20"/>
        </w:rPr>
        <w:t>Sửa đổi, bổ su</w:t>
      </w:r>
      <w:r w:rsidR="006419E5" w:rsidRPr="00EB6DED">
        <w:rPr>
          <w:rFonts w:ascii="Arial" w:hAnsi="Arial" w:cs="Arial"/>
          <w:sz w:val="20"/>
          <w:szCs w:val="20"/>
        </w:rPr>
        <w:t>ng Điều 24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24. Quyền, nghĩa vụ của tổ chức được trưng cầu, yêu cầu giám định tư pháp</w:t>
      </w:r>
    </w:p>
    <w:p w:rsidR="00765FDA" w:rsidRPr="00EB6DED" w:rsidRDefault="00820BFE" w:rsidP="00C00499">
      <w:pPr>
        <w:pStyle w:val="BodyText"/>
        <w:shd w:val="clear" w:color="auto" w:fill="auto"/>
        <w:tabs>
          <w:tab w:val="left" w:pos="116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Tổ chức được trưng cầu, yêu cầu giám định tư pháp có quyền:</w:t>
      </w:r>
    </w:p>
    <w:p w:rsidR="00765FDA" w:rsidRPr="00EB6DED" w:rsidRDefault="00F72151"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Yêu cầu người trưng cầu, người yêu cầu giám định cung cấp kịp thời, đầy đủ thông tin, tài liệu, mẫu vật cần thiết cho việc giám định;</w:t>
      </w:r>
    </w:p>
    <w:p w:rsidR="00765FDA" w:rsidRPr="00EB6DED" w:rsidRDefault="004B450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w:t>
      </w:r>
      <w:r w:rsidR="001C7140" w:rsidRPr="00EB6DED">
        <w:rPr>
          <w:rFonts w:ascii="Arial" w:hAnsi="Arial" w:cs="Arial"/>
          <w:sz w:val="20"/>
          <w:szCs w:val="20"/>
        </w:rPr>
        <w:t xml:space="preserve">ấp không đầy đủ hoặc không có </w:t>
      </w:r>
      <w:r w:rsidR="006419E5" w:rsidRPr="00EB6DED">
        <w:rPr>
          <w:rFonts w:ascii="Arial" w:hAnsi="Arial" w:cs="Arial"/>
          <w:sz w:val="20"/>
          <w:szCs w:val="20"/>
        </w:rPr>
        <w:t xml:space="preserve">giá </w:t>
      </w:r>
      <w:r w:rsidR="001C7140" w:rsidRPr="00EB6DED">
        <w:rPr>
          <w:rFonts w:ascii="Arial" w:hAnsi="Arial" w:cs="Arial"/>
          <w:sz w:val="20"/>
          <w:szCs w:val="20"/>
          <w:lang w:val="en-US" w:eastAsia="en-US" w:bidi="en-US"/>
        </w:rPr>
        <w:t>trị</w:t>
      </w:r>
      <w:r w:rsidR="006419E5" w:rsidRPr="00EB6DED">
        <w:rPr>
          <w:rFonts w:ascii="Arial" w:hAnsi="Arial" w:cs="Arial"/>
          <w:sz w:val="20"/>
          <w:szCs w:val="20"/>
          <w:lang w:val="en-US" w:eastAsia="en-US" w:bidi="en-US"/>
        </w:rPr>
        <w:t xml:space="preserve"> </w:t>
      </w:r>
      <w:r w:rsidR="00A27058" w:rsidRPr="00EB6DED">
        <w:rPr>
          <w:rFonts w:ascii="Arial" w:hAnsi="Arial" w:cs="Arial"/>
          <w:sz w:val="20"/>
          <w:szCs w:val="20"/>
          <w:lang w:val="en-US"/>
        </w:rPr>
        <w:t>để kết luận</w:t>
      </w:r>
      <w:r w:rsidR="006419E5" w:rsidRPr="00EB6DED">
        <w:rPr>
          <w:rFonts w:ascii="Arial" w:hAnsi="Arial" w:cs="Arial"/>
          <w:sz w:val="20"/>
          <w:szCs w:val="20"/>
        </w:rPr>
        <w:t xml:space="preserve"> giám </w:t>
      </w:r>
      <w:r w:rsidR="00A27058" w:rsidRPr="00EB6DED">
        <w:rPr>
          <w:rFonts w:ascii="Arial" w:hAnsi="Arial" w:cs="Arial"/>
          <w:sz w:val="20"/>
          <w:szCs w:val="20"/>
          <w:lang w:val="en-US"/>
        </w:rPr>
        <w:t>định</w:t>
      </w:r>
      <w:r w:rsidR="00A425EF" w:rsidRPr="00EB6DED">
        <w:rPr>
          <w:rFonts w:ascii="Arial" w:hAnsi="Arial" w:cs="Arial"/>
          <w:sz w:val="20"/>
          <w:szCs w:val="20"/>
        </w:rPr>
        <w:t xml:space="preserve"> tư pháp sau khi đã đề</w:t>
      </w:r>
      <w:r w:rsidR="003E6AFA" w:rsidRPr="00EB6DED">
        <w:rPr>
          <w:rFonts w:ascii="Arial" w:hAnsi="Arial" w:cs="Arial"/>
          <w:sz w:val="20"/>
          <w:szCs w:val="20"/>
        </w:rPr>
        <w:t xml:space="preserve"> nghị người trư</w:t>
      </w:r>
      <w:r w:rsidR="006419E5" w:rsidRPr="00EB6DED">
        <w:rPr>
          <w:rFonts w:ascii="Arial" w:hAnsi="Arial" w:cs="Arial"/>
          <w:sz w:val="20"/>
          <w:szCs w:val="20"/>
        </w:rPr>
        <w:t>ng cầu, người yêu cầu giám định bổ sung, làm rõ nhưng không được đáp ứng; thời gian không đủ để thực hiện giám định; tính độc lập, khách quan của việc thực hiện giám định không được bảo đảm;</w:t>
      </w:r>
    </w:p>
    <w:p w:rsidR="00765FDA" w:rsidRPr="00EB6DED" w:rsidRDefault="003E6AFA" w:rsidP="00C00499">
      <w:pPr>
        <w:pStyle w:val="BodyText"/>
        <w:shd w:val="clear" w:color="auto" w:fill="auto"/>
        <w:tabs>
          <w:tab w:val="left" w:pos="114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Được nhận tạm ứng chi phí giám định tư pháp khi nhận trưng cầu, yêu cầu giám định tư pháp; được thanh toán kịp thời, đầy đủ chi phí giám định tư pháp khi trả kết quả giám định.</w:t>
      </w:r>
    </w:p>
    <w:p w:rsidR="00765FDA" w:rsidRPr="00EB6DED" w:rsidRDefault="00FB7165" w:rsidP="00C00499">
      <w:pPr>
        <w:pStyle w:val="BodyText"/>
        <w:shd w:val="clear" w:color="auto" w:fill="auto"/>
        <w:tabs>
          <w:tab w:val="left" w:pos="119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Tổ chức được trưng cầu, yêu cầu giám định tư pháp có nghĩa vụ:</w:t>
      </w:r>
    </w:p>
    <w:p w:rsidR="00765FDA" w:rsidRPr="00EB6DED" w:rsidRDefault="00BE56A9" w:rsidP="00C00499">
      <w:pPr>
        <w:pStyle w:val="BodyText"/>
        <w:shd w:val="clear" w:color="auto" w:fill="auto"/>
        <w:tabs>
          <w:tab w:val="left" w:pos="11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w:t>
      </w:r>
    </w:p>
    <w:p w:rsidR="00765FDA" w:rsidRPr="00EB6DED" w:rsidRDefault="008D710A" w:rsidP="00C00499">
      <w:pPr>
        <w:pStyle w:val="BodyText"/>
        <w:shd w:val="clear" w:color="auto" w:fill="auto"/>
        <w:tabs>
          <w:tab w:val="left" w:pos="114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Bảo đảm thời gian, trang thiết bị, phương tiện và các điều kiện cần thiết khác cho việc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rsidR="00765FDA" w:rsidRPr="00EB6DED" w:rsidRDefault="00A85AF2" w:rsidP="00C00499">
      <w:pPr>
        <w:pStyle w:val="BodyText"/>
        <w:shd w:val="clear" w:color="auto" w:fill="auto"/>
        <w:tabs>
          <w:tab w:val="left" w:pos="115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Bồi thường thiệt hại trong trường hợp người thực hiện giám định do mình phân công cố ý kết luận giám định sai, gây thiệt hại cho cá nhân, tổ chức;</w:t>
      </w:r>
    </w:p>
    <w:p w:rsidR="00765FDA" w:rsidRPr="00EB6DED" w:rsidRDefault="004D57E0" w:rsidP="00C00499">
      <w:pPr>
        <w:pStyle w:val="BodyText"/>
        <w:shd w:val="clear" w:color="auto" w:fill="auto"/>
        <w:tabs>
          <w:tab w:val="left" w:pos="42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Trường hợp từ chối tiếp nhận trưng cầu, yêu cầu giám định tư pháp thì phải thông báo cho người trưng cầu, người yêu cầu giám định bằng văn bản và nêu rõ lý do trong thời hạn 05 ngày làm việc, kể từ ng</w:t>
      </w:r>
      <w:r w:rsidR="004B6C5E" w:rsidRPr="00EB6DED">
        <w:rPr>
          <w:rFonts w:ascii="Arial" w:hAnsi="Arial" w:cs="Arial"/>
          <w:sz w:val="20"/>
          <w:szCs w:val="20"/>
        </w:rPr>
        <w:t>ày nhận được quyết định trưng cầ</w:t>
      </w:r>
      <w:r w:rsidR="006419E5" w:rsidRPr="00EB6DED">
        <w:rPr>
          <w:rFonts w:ascii="Arial" w:hAnsi="Arial" w:cs="Arial"/>
          <w:sz w:val="20"/>
          <w:szCs w:val="20"/>
        </w:rPr>
        <w:t xml:space="preserve">u, </w:t>
      </w:r>
      <w:r w:rsidR="00B73ED2" w:rsidRPr="00EB6DED">
        <w:rPr>
          <w:rFonts w:ascii="Arial" w:hAnsi="Arial" w:cs="Arial"/>
          <w:sz w:val="20"/>
          <w:szCs w:val="20"/>
        </w:rPr>
        <w:t>yêu cầu</w:t>
      </w:r>
      <w:r w:rsidR="006419E5" w:rsidRPr="00EB6DED">
        <w:rPr>
          <w:rFonts w:ascii="Arial" w:hAnsi="Arial" w:cs="Arial"/>
          <w:sz w:val="20"/>
          <w:szCs w:val="20"/>
        </w:rPr>
        <w:t xml:space="preserve"> giám định, trừ trường hợp</w:t>
      </w:r>
      <w:r w:rsidR="004B6C5E" w:rsidRPr="00EB6DED">
        <w:rPr>
          <w:rFonts w:ascii="Arial" w:hAnsi="Arial" w:cs="Arial"/>
          <w:sz w:val="20"/>
          <w:szCs w:val="20"/>
        </w:rPr>
        <w:t xml:space="preserve"> pháp luật quy định thời hạn ngắn hơ</w:t>
      </w:r>
      <w:r w:rsidR="006419E5" w:rsidRPr="00EB6DED">
        <w:rPr>
          <w:rFonts w:ascii="Arial" w:hAnsi="Arial" w:cs="Arial"/>
          <w:sz w:val="20"/>
          <w:szCs w:val="20"/>
        </w:rPr>
        <w:t>n;</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Chịu trách nhiệm về kết luận giám định tư pháp do mình đưa ra.”.</w:t>
      </w:r>
    </w:p>
    <w:p w:rsidR="00765FDA" w:rsidRPr="00EB6DED" w:rsidRDefault="00EF4F17" w:rsidP="00C00499">
      <w:pPr>
        <w:pStyle w:val="BodyText"/>
        <w:shd w:val="clear" w:color="auto" w:fill="auto"/>
        <w:tabs>
          <w:tab w:val="left" w:pos="13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15. </w:t>
      </w:r>
      <w:r w:rsidR="006419E5" w:rsidRPr="00EB6DED">
        <w:rPr>
          <w:rFonts w:ascii="Arial" w:hAnsi="Arial" w:cs="Arial"/>
          <w:sz w:val="20"/>
          <w:szCs w:val="20"/>
        </w:rPr>
        <w:t>Sửa đổi, bổ sung Điều 25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25. Trưng cầu giám định tư pháp</w:t>
      </w:r>
    </w:p>
    <w:p w:rsidR="00F34FD8" w:rsidRPr="00EB6DED" w:rsidRDefault="00124D42" w:rsidP="00C00499">
      <w:pPr>
        <w:pStyle w:val="BodyText"/>
        <w:shd w:val="clear" w:color="auto" w:fill="auto"/>
        <w:tabs>
          <w:tab w:val="left" w:pos="1180"/>
          <w:tab w:val="left" w:leader="underscore" w:pos="118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 xml:space="preserve">Người </w:t>
      </w:r>
      <w:r w:rsidR="007A6097">
        <w:rPr>
          <w:rFonts w:ascii="Arial" w:hAnsi="Arial" w:cs="Arial"/>
          <w:sz w:val="20"/>
          <w:szCs w:val="20"/>
          <w:lang w:val="en-SG"/>
        </w:rPr>
        <w:t xml:space="preserve">trưng </w:t>
      </w:r>
      <w:r w:rsidR="006419E5" w:rsidRPr="00EB6DED">
        <w:rPr>
          <w:rFonts w:ascii="Arial" w:hAnsi="Arial" w:cs="Arial"/>
          <w:sz w:val="20"/>
          <w:szCs w:val="20"/>
        </w:rPr>
        <w:t>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w:t>
      </w:r>
      <w:r w:rsidR="00DE5E09" w:rsidRPr="00EB6DED">
        <w:rPr>
          <w:rFonts w:ascii="Arial" w:hAnsi="Arial" w:cs="Arial"/>
          <w:sz w:val="20"/>
          <w:szCs w:val="20"/>
        </w:rPr>
        <w:t>yết định trưng cầu giám định thì</w:t>
      </w:r>
      <w:r w:rsidR="006419E5" w:rsidRPr="00EB6DED">
        <w:rPr>
          <w:rFonts w:ascii="Arial" w:hAnsi="Arial" w:cs="Arial"/>
          <w:sz w:val="20"/>
          <w:szCs w:val="20"/>
        </w:rPr>
        <w:t xml:space="preserve"> người trưng cầu giám định có trách nhiệm làm thủ tục bàn giao cho cá nhân, tổ chức thực hiện giám định. </w:t>
      </w:r>
      <w:r w:rsidR="006419E5" w:rsidRPr="00EB6DED">
        <w:rPr>
          <w:rFonts w:ascii="Arial" w:hAnsi="Arial" w:cs="Arial"/>
          <w:sz w:val="20"/>
          <w:szCs w:val="20"/>
        </w:rPr>
        <w:tab/>
      </w:r>
    </w:p>
    <w:p w:rsidR="00765FDA" w:rsidRPr="00EB6DED" w:rsidRDefault="006419E5" w:rsidP="00C00499">
      <w:pPr>
        <w:pStyle w:val="BodyText"/>
        <w:shd w:val="clear" w:color="auto" w:fill="auto"/>
        <w:tabs>
          <w:tab w:val="left" w:pos="1180"/>
          <w:tab w:val="left" w:leader="underscore" w:pos="1181"/>
        </w:tabs>
        <w:spacing w:after="120" w:line="240" w:lineRule="auto"/>
        <w:ind w:firstLine="720"/>
        <w:jc w:val="both"/>
        <w:rPr>
          <w:rFonts w:ascii="Arial" w:hAnsi="Arial" w:cs="Arial"/>
          <w:sz w:val="20"/>
          <w:szCs w:val="20"/>
        </w:rPr>
      </w:pPr>
      <w:r w:rsidRPr="00EB6DED">
        <w:rPr>
          <w:rFonts w:ascii="Arial" w:hAnsi="Arial" w:cs="Arial"/>
          <w:sz w:val="20"/>
          <w:szCs w:val="20"/>
        </w:rPr>
        <w:t>2. Quyết định trưng cầu giám định phải có các nội dung sau đây:</w:t>
      </w:r>
    </w:p>
    <w:p w:rsidR="00765FDA" w:rsidRPr="00EB6DED" w:rsidRDefault="00F34FD8"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Tê</w:t>
      </w:r>
      <w:r w:rsidR="0056786E" w:rsidRPr="00EB6DED">
        <w:rPr>
          <w:rFonts w:ascii="Arial" w:hAnsi="Arial" w:cs="Arial"/>
          <w:sz w:val="20"/>
          <w:szCs w:val="20"/>
        </w:rPr>
        <w:t>n cơ quan trưng cầu giám định; họ, tên người có thẩm quyền trưng cầ</w:t>
      </w:r>
      <w:r w:rsidR="006419E5" w:rsidRPr="00EB6DED">
        <w:rPr>
          <w:rFonts w:ascii="Arial" w:hAnsi="Arial" w:cs="Arial"/>
          <w:sz w:val="20"/>
          <w:szCs w:val="20"/>
        </w:rPr>
        <w:t>u giám định;</w:t>
      </w:r>
    </w:p>
    <w:p w:rsidR="00765FDA" w:rsidRPr="00EB6DED" w:rsidRDefault="0056786E"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Tên tổ chức; họ, tên người được trưng cầu giám định;</w:t>
      </w:r>
    </w:p>
    <w:p w:rsidR="00765FDA" w:rsidRPr="00EB6DED" w:rsidRDefault="0056786E"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Tóm tắt nội dung sự việc;</w:t>
      </w:r>
    </w:p>
    <w:p w:rsidR="00765FDA" w:rsidRPr="00EB6DED" w:rsidRDefault="0056786E" w:rsidP="00C00499">
      <w:pPr>
        <w:pStyle w:val="BodyText"/>
        <w:shd w:val="clear" w:color="auto" w:fill="auto"/>
        <w:tabs>
          <w:tab w:val="left" w:pos="1267"/>
          <w:tab w:val="left" w:pos="74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Tên và đặc đi</w:t>
      </w:r>
      <w:r w:rsidR="00B36D4E" w:rsidRPr="00EB6DED">
        <w:rPr>
          <w:rFonts w:ascii="Arial" w:hAnsi="Arial" w:cs="Arial"/>
          <w:sz w:val="20"/>
          <w:szCs w:val="20"/>
        </w:rPr>
        <w:t>ểm của đối tượng cần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đ) Tên tài liệu, đồ vật có liên quan hoặc mẫu so sánh gửi kèm theo (nếu có);</w:t>
      </w:r>
    </w:p>
    <w:p w:rsidR="00765FDA" w:rsidRPr="00EB6DED" w:rsidRDefault="00492019"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Nội dung chuyên môn của vấn đề cần giám định;</w:t>
      </w:r>
    </w:p>
    <w:p w:rsidR="00765FDA" w:rsidRPr="00EB6DED" w:rsidRDefault="005F2C23" w:rsidP="00C00499">
      <w:pPr>
        <w:pStyle w:val="BodyText"/>
        <w:shd w:val="clear" w:color="auto" w:fill="auto"/>
        <w:tabs>
          <w:tab w:val="left" w:pos="115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Ngày, tháng, năm trưng cầu giám định và thời hạn trả kết luận giám định tư pháp.</w:t>
      </w:r>
    </w:p>
    <w:p w:rsidR="00765FDA" w:rsidRPr="00EB6DED" w:rsidRDefault="007F0462"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rsidR="00765FDA" w:rsidRPr="00EB6DED" w:rsidRDefault="00716BD3" w:rsidP="00C00499">
      <w:pPr>
        <w:pStyle w:val="BodyText"/>
        <w:shd w:val="clear" w:color="auto" w:fill="auto"/>
        <w:tabs>
          <w:tab w:val="left" w:pos="112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 xml:space="preserve">Trong trường hợp cần thiết, trước khi ra quyết định trưng cầu giám định, cơ quan có thẩm quyền tiến hành tố tụng, người có thẩm quyền tiến hành tố tụng trao đổi </w:t>
      </w:r>
      <w:r w:rsidR="00EB1D88" w:rsidRPr="00EB6DED">
        <w:rPr>
          <w:rFonts w:ascii="Arial" w:hAnsi="Arial" w:cs="Arial"/>
          <w:sz w:val="20"/>
          <w:szCs w:val="20"/>
        </w:rPr>
        <w:t>với</w:t>
      </w:r>
      <w:r w:rsidR="006419E5" w:rsidRPr="00EB6DED">
        <w:rPr>
          <w:rFonts w:ascii="Arial" w:hAnsi="Arial" w:cs="Arial"/>
          <w:sz w:val="20"/>
          <w:szCs w:val="20"/>
        </w:rPr>
        <w:t xml:space="preserve"> cá nhân</w:t>
      </w:r>
      <w:r w:rsidR="00EB1D88" w:rsidRPr="00EB6DED">
        <w:rPr>
          <w:rFonts w:ascii="Arial" w:hAnsi="Arial" w:cs="Arial"/>
          <w:sz w:val="20"/>
          <w:szCs w:val="20"/>
          <w:vertAlign w:val="subscript"/>
        </w:rPr>
        <w:t>,</w:t>
      </w:r>
      <w:r w:rsidR="006419E5" w:rsidRPr="00EB6DED">
        <w:rPr>
          <w:rFonts w:ascii="Arial" w:hAnsi="Arial" w:cs="Arial"/>
          <w:sz w:val="20"/>
          <w:szCs w:val="20"/>
        </w:rPr>
        <w:t xml:space="preserve"> tổ chức dự kiến được trưng cầu giám định và cơ quan có liên quan về nội dung trưng cầu, thời hạn giám định, thông tin, tài liệu, mẫu vật cần cho việc giám định và các vấn đề khác có liên quan (nếu có).</w:t>
      </w:r>
    </w:p>
    <w:p w:rsidR="00765FDA" w:rsidRPr="00EB6DED" w:rsidRDefault="00EB1D88"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 xml:space="preserve">Trường hợp nội dung cần giám định liên quan đến nhiều lĩnh vực, thuộc trách nhiệm của nhiều tổ chức thì người trưng cầu giám định </w:t>
      </w:r>
      <w:r w:rsidR="00330E19" w:rsidRPr="00EB6DED">
        <w:rPr>
          <w:rFonts w:ascii="Arial" w:hAnsi="Arial" w:cs="Arial"/>
          <w:sz w:val="20"/>
          <w:szCs w:val="20"/>
        </w:rPr>
        <w:t>phải tách riêng từng nội dung để</w:t>
      </w:r>
      <w:r w:rsidR="006419E5" w:rsidRPr="00EB6DED">
        <w:rPr>
          <w:rFonts w:ascii="Arial" w:hAnsi="Arial" w:cs="Arial"/>
          <w:sz w:val="20"/>
          <w:szCs w:val="20"/>
        </w:rPr>
        <w:t xml:space="preserve"> </w:t>
      </w:r>
      <w:r w:rsidR="00330E19" w:rsidRPr="00EB6DED">
        <w:rPr>
          <w:rFonts w:ascii="Arial" w:hAnsi="Arial" w:cs="Arial"/>
          <w:sz w:val="20"/>
          <w:szCs w:val="20"/>
        </w:rPr>
        <w:t>trưng cầu</w:t>
      </w:r>
      <w:r w:rsidR="006419E5" w:rsidRPr="00EB6DED">
        <w:rPr>
          <w:rFonts w:ascii="Arial" w:hAnsi="Arial" w:cs="Arial"/>
          <w:sz w:val="20"/>
          <w:szCs w:val="20"/>
        </w:rPr>
        <w:t xml:space="preserve"> </w:t>
      </w:r>
      <w:r w:rsidR="00A84E92" w:rsidRPr="00EB6DED">
        <w:rPr>
          <w:rFonts w:ascii="Arial" w:hAnsi="Arial" w:cs="Arial"/>
          <w:sz w:val="20"/>
          <w:szCs w:val="20"/>
        </w:rPr>
        <w:t>tổ chức</w:t>
      </w:r>
      <w:r w:rsidR="006419E5" w:rsidRPr="00EB6DED">
        <w:rPr>
          <w:rFonts w:ascii="Arial" w:hAnsi="Arial" w:cs="Arial"/>
          <w:sz w:val="20"/>
          <w:szCs w:val="20"/>
        </w:rPr>
        <w:t xml:space="preserve"> có chuyên môn phù hợp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w:t>
      </w:r>
      <w:r w:rsidR="00316041">
        <w:rPr>
          <w:rFonts w:ascii="Arial" w:hAnsi="Arial" w:cs="Arial"/>
          <w:sz w:val="20"/>
          <w:szCs w:val="20"/>
        </w:rPr>
        <w:t xml:space="preserve"> kéo dài thời gian giám định thì</w:t>
      </w:r>
      <w:r w:rsidRPr="00EB6DED">
        <w:rPr>
          <w:rFonts w:ascii="Arial" w:hAnsi="Arial" w:cs="Arial"/>
          <w:sz w:val="20"/>
          <w:szCs w:val="20"/>
        </w:rPr>
        <w:t xml:space="preserve"> người trưng cầu giám định phải xác định được nội dung chính cần giám định để xác định tổ chức chủ trì và tổ chức phối hợp trong việc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Tổ chức chủ trì có trách nhiệm làm đầu mối tổ chức triển khai việc giám định chung và thực hiện giám định phần nội dung chuyên môn của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Trong thời hạn 05 ngày làm việc, kể từ ngày nhận được quyết định trưng cầu giám định, tổ chức được trưng cầu giám định tư pháp phải có văn bản cử người giám định gửi người trưng cầu gi</w:t>
      </w:r>
      <w:r w:rsidR="007D13A0" w:rsidRPr="00EB6DED">
        <w:rPr>
          <w:rFonts w:ascii="Arial" w:hAnsi="Arial" w:cs="Arial"/>
          <w:sz w:val="20"/>
          <w:szCs w:val="20"/>
        </w:rPr>
        <w:t>ám định; đối với tổ chức phối hợ</w:t>
      </w:r>
      <w:r w:rsidRPr="00EB6DED">
        <w:rPr>
          <w:rFonts w:ascii="Arial" w:hAnsi="Arial" w:cs="Arial"/>
          <w:sz w:val="20"/>
          <w:szCs w:val="20"/>
        </w:rPr>
        <w:t xml:space="preserve">p thực hiện giám định thì còn phải gửi văn bản cử người giám định cho </w:t>
      </w:r>
      <w:r w:rsidR="00A84E92" w:rsidRPr="00EB6DED">
        <w:rPr>
          <w:rFonts w:ascii="Arial" w:hAnsi="Arial" w:cs="Arial"/>
          <w:sz w:val="20"/>
          <w:szCs w:val="20"/>
        </w:rPr>
        <w:t>tổ chức</w:t>
      </w:r>
      <w:r w:rsidRPr="00EB6DED">
        <w:rPr>
          <w:rFonts w:ascii="Arial" w:hAnsi="Arial" w:cs="Arial"/>
          <w:sz w:val="20"/>
          <w:szCs w:val="20"/>
        </w:rPr>
        <w:t xml:space="preserve"> chủ trì việc thực hiện giám định. Tổ chức chủ trì phải tổ chức ngay việc giám định sau khi nhận được văn bản cử người của tổ chức phối hợp thực hiện giám định. Việc giám định trong </w:t>
      </w:r>
      <w:r w:rsidR="00D04FB6" w:rsidRPr="00EB6DED">
        <w:rPr>
          <w:rFonts w:ascii="Arial" w:hAnsi="Arial" w:cs="Arial"/>
          <w:sz w:val="20"/>
          <w:szCs w:val="20"/>
        </w:rPr>
        <w:t>trường hợp</w:t>
      </w:r>
      <w:r w:rsidRPr="00EB6DED">
        <w:rPr>
          <w:rFonts w:ascii="Arial" w:hAnsi="Arial" w:cs="Arial"/>
          <w:sz w:val="20"/>
          <w:szCs w:val="20"/>
        </w:rPr>
        <w:t xml:space="preserve"> này được thực hiện </w:t>
      </w:r>
      <w:r w:rsidR="004F55A3" w:rsidRPr="00EB6DED">
        <w:rPr>
          <w:rFonts w:ascii="Arial" w:hAnsi="Arial" w:cs="Arial"/>
          <w:sz w:val="20"/>
          <w:szCs w:val="20"/>
        </w:rPr>
        <w:t>theo hình thức giám định tập thể</w:t>
      </w:r>
      <w:r w:rsidRPr="00EB6DED">
        <w:rPr>
          <w:rFonts w:ascii="Arial" w:hAnsi="Arial" w:cs="Arial"/>
          <w:sz w:val="20"/>
          <w:szCs w:val="20"/>
        </w:rPr>
        <w:t xml:space="preserve"> thuộc nhiều lĩnh vực chuyên môn khác nhau quy định tại khoản 3 Điều 28 của Luật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phát sinh vướng mắc trong việc trưng cầu, phối hợp thực hiện giám định, cơ quan có thẩm </w:t>
      </w:r>
      <w:r w:rsidR="0020342D" w:rsidRPr="00EB6DED">
        <w:rPr>
          <w:rFonts w:ascii="Arial" w:hAnsi="Arial" w:cs="Arial"/>
          <w:sz w:val="20"/>
          <w:szCs w:val="20"/>
        </w:rPr>
        <w:t>quyền tiến hành tố tụng, người có thẩ</w:t>
      </w:r>
      <w:r w:rsidRPr="00EB6DED">
        <w:rPr>
          <w:rFonts w:ascii="Arial" w:hAnsi="Arial" w:cs="Arial"/>
          <w:sz w:val="20"/>
          <w:szCs w:val="20"/>
        </w:rPr>
        <w:t>m quyền tiến hành tố tụng chủ trì, phối hợp với tổ chức được trưng cầu để giải quyết.”.</w:t>
      </w:r>
    </w:p>
    <w:p w:rsidR="00765FDA" w:rsidRPr="00EB6DED" w:rsidRDefault="00C3477D" w:rsidP="00C00499">
      <w:pPr>
        <w:pStyle w:val="BodyText"/>
        <w:shd w:val="clear" w:color="auto" w:fill="auto"/>
        <w:tabs>
          <w:tab w:val="left" w:pos="125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16. </w:t>
      </w:r>
      <w:r w:rsidR="006419E5" w:rsidRPr="00EB6DED">
        <w:rPr>
          <w:rFonts w:ascii="Arial" w:hAnsi="Arial" w:cs="Arial"/>
          <w:sz w:val="20"/>
          <w:szCs w:val="20"/>
        </w:rPr>
        <w:t>Bổ sung Điều 26a vào sau Điều 26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26a. Thời hạn giám định tư pháp trong trường hợp trưng cầu giám định</w:t>
      </w:r>
    </w:p>
    <w:p w:rsidR="00765FDA" w:rsidRPr="00EB6DED" w:rsidRDefault="00DB30FE" w:rsidP="00C00499">
      <w:pPr>
        <w:pStyle w:val="BodyText"/>
        <w:shd w:val="clear" w:color="auto" w:fill="auto"/>
        <w:tabs>
          <w:tab w:val="left" w:pos="10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quá trình thực hiện giám định, </w:t>
      </w:r>
      <w:r w:rsidR="00D04FB6" w:rsidRPr="00EB6DED">
        <w:rPr>
          <w:rFonts w:ascii="Arial" w:hAnsi="Arial" w:cs="Arial"/>
          <w:sz w:val="20"/>
          <w:szCs w:val="20"/>
        </w:rPr>
        <w:t>trường hợp</w:t>
      </w:r>
      <w:r w:rsidRPr="00EB6DED">
        <w:rPr>
          <w:rFonts w:ascii="Arial" w:hAnsi="Arial" w:cs="Arial"/>
          <w:sz w:val="20"/>
          <w:szCs w:val="20"/>
        </w:rPr>
        <w:t xml:space="preserve">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văn bản đề nghị đến khi nhận được hồ sơ, tài liệu bổ sung không tính vào thời hạn giám định.</w:t>
      </w:r>
    </w:p>
    <w:p w:rsidR="00765FDA" w:rsidRPr="00EB6DED" w:rsidRDefault="00627730"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Thời hạn giám định tư pháp đối với các trường hợp bắt buộc phải trưng cầu giám định tư pháp được thực hiện theo quy định của pháp luật về tố tụng hình sự.</w:t>
      </w:r>
    </w:p>
    <w:p w:rsidR="00765FDA" w:rsidRPr="00EB6DED" w:rsidRDefault="008B11B8"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rsidR="00765FDA" w:rsidRPr="00EB6DED" w:rsidRDefault="00395C94"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4.</w:t>
      </w:r>
      <w:r w:rsidR="003C2249" w:rsidRPr="00EB6DED">
        <w:rPr>
          <w:rFonts w:ascii="Arial" w:hAnsi="Arial" w:cs="Arial"/>
          <w:sz w:val="20"/>
          <w:szCs w:val="20"/>
          <w:lang w:val="en-US"/>
        </w:rPr>
        <w:t xml:space="preserve"> </w:t>
      </w:r>
      <w:r w:rsidR="006419E5" w:rsidRPr="00EB6DED">
        <w:rPr>
          <w:rFonts w:ascii="Arial" w:hAnsi="Arial" w:cs="Arial"/>
          <w:sz w:val="20"/>
          <w:szCs w:val="20"/>
        </w:rPr>
        <w:t>Người trưng cầu giám định có thể thống nhất về thời hạn giám định với cá nhân, tổ chức được trưng cầu giám định trước khi trưng cầu giám định tư pháp nhưng không được vượt quá thời hạn quy địn</w:t>
      </w:r>
      <w:r w:rsidR="00887922" w:rsidRPr="00EB6DED">
        <w:rPr>
          <w:rFonts w:ascii="Arial" w:hAnsi="Arial" w:cs="Arial"/>
          <w:sz w:val="20"/>
          <w:szCs w:val="20"/>
        </w:rPr>
        <w:t>h tại khoản 2 và khoản 3 Điều nà</w:t>
      </w:r>
      <w:r w:rsidR="006419E5" w:rsidRPr="00EB6DED">
        <w:rPr>
          <w:rFonts w:ascii="Arial" w:hAnsi="Arial" w:cs="Arial"/>
          <w:sz w:val="20"/>
          <w:szCs w:val="20"/>
        </w:rPr>
        <w:t>y.</w:t>
      </w:r>
    </w:p>
    <w:p w:rsidR="00765FDA" w:rsidRPr="00EB6DED" w:rsidRDefault="00E20F4C"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lastRenderedPageBreak/>
        <w:t xml:space="preserve">5. </w:t>
      </w:r>
      <w:r w:rsidR="006419E5" w:rsidRPr="00EB6DED">
        <w:rPr>
          <w:rFonts w:ascii="Arial" w:hAnsi="Arial" w:cs="Arial"/>
          <w:sz w:val="20"/>
          <w:szCs w:val="20"/>
        </w:rPr>
        <w:t>Trường</w:t>
      </w:r>
      <w:r w:rsidR="00697983" w:rsidRPr="00EB6DED">
        <w:rPr>
          <w:rFonts w:ascii="Arial" w:hAnsi="Arial" w:cs="Arial"/>
          <w:sz w:val="20"/>
          <w:szCs w:val="20"/>
        </w:rPr>
        <w:t xml:space="preserve"> hợp có vấn đề phát sinh hoặc có</w:t>
      </w:r>
      <w:r w:rsidR="006419E5" w:rsidRPr="00EB6DED">
        <w:rPr>
          <w:rFonts w:ascii="Arial" w:hAnsi="Arial" w:cs="Arial"/>
          <w:sz w:val="20"/>
          <w:szCs w:val="20"/>
        </w:rPr>
        <w:t xml:space="preserve">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w:t>
      </w:r>
    </w:p>
    <w:p w:rsidR="00765FDA" w:rsidRPr="00EB6DED" w:rsidRDefault="004846AD"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17. </w:t>
      </w:r>
      <w:r w:rsidR="006419E5" w:rsidRPr="00EB6DED">
        <w:rPr>
          <w:rFonts w:ascii="Arial" w:hAnsi="Arial" w:cs="Arial"/>
          <w:sz w:val="20"/>
          <w:szCs w:val="20"/>
        </w:rPr>
        <w:t>Sửa đổi, bổ sung Điều 31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31. Văn bản ghi nhận quá trình thực hiện giám định tư pháp</w:t>
      </w:r>
    </w:p>
    <w:p w:rsidR="00765FDA" w:rsidRPr="00EB6DED" w:rsidRDefault="00A95901"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Người thực hiện giám định tư</w:t>
      </w:r>
      <w:r w:rsidR="003D3D65" w:rsidRPr="00EB6DED">
        <w:rPr>
          <w:rFonts w:ascii="Arial" w:hAnsi="Arial" w:cs="Arial"/>
          <w:sz w:val="20"/>
          <w:szCs w:val="20"/>
        </w:rPr>
        <w:t xml:space="preserve"> pháp phải ghi nhận kịp thời, đầ</w:t>
      </w:r>
      <w:r w:rsidR="006419E5" w:rsidRPr="00EB6DED">
        <w:rPr>
          <w:rFonts w:ascii="Arial" w:hAnsi="Arial" w:cs="Arial"/>
          <w:sz w:val="20"/>
          <w:szCs w:val="20"/>
        </w:rPr>
        <w:t>y đủ, trung thực bằng văn bản toàn bộ quá trình thực hiện vụ việc giám định.</w:t>
      </w:r>
    </w:p>
    <w:p w:rsidR="00765FDA" w:rsidRPr="00EB6DED" w:rsidRDefault="003D3D65"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0F7E94" w:rsidRPr="00EB6DED">
        <w:rPr>
          <w:rFonts w:ascii="Arial" w:hAnsi="Arial" w:cs="Arial"/>
          <w:sz w:val="20"/>
          <w:szCs w:val="20"/>
        </w:rPr>
        <w:t>Văn bản ghi nhậ</w:t>
      </w:r>
      <w:r w:rsidR="00BA5ED1" w:rsidRPr="00EB6DED">
        <w:rPr>
          <w:rFonts w:ascii="Arial" w:hAnsi="Arial" w:cs="Arial"/>
          <w:sz w:val="20"/>
          <w:szCs w:val="20"/>
        </w:rPr>
        <w:t xml:space="preserve">n quá trình thực hiện </w:t>
      </w:r>
      <w:r w:rsidR="006419E5" w:rsidRPr="00EB6DED">
        <w:rPr>
          <w:rFonts w:ascii="Arial" w:hAnsi="Arial" w:cs="Arial"/>
          <w:sz w:val="20"/>
          <w:szCs w:val="20"/>
        </w:rPr>
        <w:t xml:space="preserve">giám </w:t>
      </w:r>
      <w:r w:rsidR="00BA5ED1" w:rsidRPr="00EB6DED">
        <w:rPr>
          <w:rFonts w:ascii="Arial" w:hAnsi="Arial" w:cs="Arial"/>
          <w:sz w:val="20"/>
          <w:szCs w:val="20"/>
        </w:rPr>
        <w:t xml:space="preserve">định tư </w:t>
      </w:r>
      <w:r w:rsidR="006419E5" w:rsidRPr="00EB6DED">
        <w:rPr>
          <w:rFonts w:ascii="Arial" w:hAnsi="Arial" w:cs="Arial"/>
          <w:sz w:val="20"/>
          <w:szCs w:val="20"/>
        </w:rPr>
        <w:t xml:space="preserve">pháp nêu rõ tình trạng </w:t>
      </w:r>
      <w:r w:rsidR="00BA5ED1" w:rsidRPr="00EB6DED">
        <w:rPr>
          <w:rFonts w:ascii="Arial" w:hAnsi="Arial" w:cs="Arial"/>
          <w:sz w:val="20"/>
          <w:szCs w:val="20"/>
        </w:rPr>
        <w:t>đối tượng</w:t>
      </w:r>
      <w:r w:rsidR="006419E5" w:rsidRPr="00EB6DED">
        <w:rPr>
          <w:rFonts w:ascii="Arial" w:hAnsi="Arial" w:cs="Arial"/>
          <w:sz w:val="20"/>
          <w:szCs w:val="20"/>
        </w:rPr>
        <w:t xml:space="preserve">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Văn bản ghi nhận </w:t>
      </w:r>
      <w:r w:rsidR="00BA5ED1" w:rsidRPr="00EB6DED">
        <w:rPr>
          <w:rFonts w:ascii="Arial" w:hAnsi="Arial" w:cs="Arial"/>
          <w:sz w:val="20"/>
          <w:szCs w:val="20"/>
          <w:lang w:val="en-US" w:eastAsia="en-US" w:bidi="en-US"/>
        </w:rPr>
        <w:t>quá</w:t>
      </w:r>
      <w:r w:rsidRPr="00EB6DED">
        <w:rPr>
          <w:rFonts w:ascii="Arial" w:hAnsi="Arial" w:cs="Arial"/>
          <w:sz w:val="20"/>
          <w:szCs w:val="20"/>
          <w:lang w:val="en-US" w:eastAsia="en-US" w:bidi="en-US"/>
        </w:rPr>
        <w:t xml:space="preserve"> </w:t>
      </w:r>
      <w:r w:rsidR="000F6F77" w:rsidRPr="00EB6DED">
        <w:rPr>
          <w:rFonts w:ascii="Arial" w:hAnsi="Arial" w:cs="Arial"/>
          <w:sz w:val="20"/>
          <w:szCs w:val="20"/>
        </w:rPr>
        <w:t>trình thực hiện giá</w:t>
      </w:r>
      <w:r w:rsidRPr="00EB6DED">
        <w:rPr>
          <w:rFonts w:ascii="Arial" w:hAnsi="Arial" w:cs="Arial"/>
          <w:sz w:val="20"/>
          <w:szCs w:val="20"/>
        </w:rPr>
        <w:t xml:space="preserve">m định tư pháp phải được lưu trong </w:t>
      </w:r>
      <w:r w:rsidR="000F6F77" w:rsidRPr="00EB6DED">
        <w:rPr>
          <w:rFonts w:ascii="Arial" w:hAnsi="Arial" w:cs="Arial"/>
          <w:sz w:val="20"/>
          <w:szCs w:val="20"/>
        </w:rPr>
        <w:t>hồ sơ</w:t>
      </w:r>
      <w:r w:rsidRPr="00EB6DED">
        <w:rPr>
          <w:rFonts w:ascii="Arial" w:hAnsi="Arial" w:cs="Arial"/>
          <w:sz w:val="20"/>
          <w:szCs w:val="20"/>
        </w:rPr>
        <w:t xml:space="preserve"> giám định.”.</w:t>
      </w:r>
    </w:p>
    <w:p w:rsidR="00765FDA" w:rsidRPr="00EB6DED" w:rsidRDefault="000F6F77"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18. </w:t>
      </w:r>
      <w:r w:rsidR="006419E5" w:rsidRPr="00EB6DED">
        <w:rPr>
          <w:rFonts w:ascii="Arial" w:hAnsi="Arial" w:cs="Arial"/>
          <w:sz w:val="20"/>
          <w:szCs w:val="20"/>
        </w:rPr>
        <w:t>Sửa đổi, bổ sung Điều 32 như sau:</w:t>
      </w:r>
    </w:p>
    <w:p w:rsidR="00765FDA" w:rsidRPr="00EB6DED" w:rsidRDefault="005724A4"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32. Kết l</w:t>
      </w:r>
      <w:r w:rsidR="006419E5" w:rsidRPr="00EB6DED">
        <w:rPr>
          <w:rFonts w:ascii="Arial" w:hAnsi="Arial" w:cs="Arial"/>
          <w:b/>
          <w:bCs/>
          <w:sz w:val="20"/>
          <w:szCs w:val="20"/>
        </w:rPr>
        <w:t>uận giám định tư pháp</w:t>
      </w:r>
    </w:p>
    <w:p w:rsidR="00765FDA" w:rsidRPr="00EB6DED" w:rsidRDefault="005724A4" w:rsidP="00C00499">
      <w:pPr>
        <w:pStyle w:val="BodyText"/>
        <w:shd w:val="clear" w:color="auto" w:fill="auto"/>
        <w:tabs>
          <w:tab w:val="left" w:pos="112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Kết luận giám định tư pháp phải bằng văn bản, bao gồm các nội dung sau đây:</w:t>
      </w:r>
    </w:p>
    <w:p w:rsidR="00765FDA" w:rsidRPr="00EB6DED" w:rsidRDefault="002B6B5C" w:rsidP="00C00499">
      <w:pPr>
        <w:pStyle w:val="BodyText"/>
        <w:shd w:val="clear" w:color="auto" w:fill="auto"/>
        <w:tabs>
          <w:tab w:val="left" w:pos="12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Họ, tên người giám định tư pháp; tổ chức thực hiện giám định tư pháp;</w:t>
      </w:r>
    </w:p>
    <w:p w:rsidR="00765FDA" w:rsidRPr="00EB6DED" w:rsidRDefault="005477C6" w:rsidP="00C00499">
      <w:pPr>
        <w:pStyle w:val="BodyText"/>
        <w:shd w:val="clear" w:color="auto" w:fill="auto"/>
        <w:tabs>
          <w:tab w:val="left" w:pos="116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D64935" w:rsidRPr="00EB6DED">
        <w:rPr>
          <w:rFonts w:ascii="Arial" w:hAnsi="Arial" w:cs="Arial"/>
          <w:sz w:val="20"/>
          <w:szCs w:val="20"/>
        </w:rPr>
        <w:t>Tên cơ quan có thẩ</w:t>
      </w:r>
      <w:r w:rsidR="006419E5" w:rsidRPr="00EB6DED">
        <w:rPr>
          <w:rFonts w:ascii="Arial" w:hAnsi="Arial" w:cs="Arial"/>
          <w:sz w:val="20"/>
          <w:szCs w:val="20"/>
        </w:rPr>
        <w:t>m quyền tiến hành tố tụng, họ, tên người có thẩm quyền tiến hành tố tụng trưng cầu giám định tư pháp; số văn bản trưng cầu giám định hoặc họ, tên người yêu cầu giám định;</w:t>
      </w:r>
    </w:p>
    <w:p w:rsidR="00765FDA" w:rsidRPr="00EB6DED" w:rsidRDefault="00D64935"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Thông tin xác định đối tượng giám định;</w:t>
      </w:r>
    </w:p>
    <w:p w:rsidR="00765FDA" w:rsidRPr="00EB6DED" w:rsidRDefault="005B7885"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Thời gian nhận văn bản trưng cầu, yêu cầu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Nội dung yêu cầu giám định;</w:t>
      </w:r>
    </w:p>
    <w:p w:rsidR="00765FDA" w:rsidRPr="00EB6DED" w:rsidRDefault="00CB03D2"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Phương pháp thực hiện giám định;</w:t>
      </w:r>
    </w:p>
    <w:p w:rsidR="00765FDA" w:rsidRPr="00EB6DED" w:rsidRDefault="00133CFB" w:rsidP="00C00499">
      <w:pPr>
        <w:pStyle w:val="BodyText"/>
        <w:shd w:val="clear" w:color="auto" w:fill="auto"/>
        <w:tabs>
          <w:tab w:val="left" w:pos="116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Kết luận rõ ràng, cụ thể về nội dung chuyên môn của đối tượng cần giám định theo trưng cầu, yêu cầu giám định tư pháp;</w:t>
      </w:r>
    </w:p>
    <w:p w:rsidR="00765FDA" w:rsidRPr="00EB6DED" w:rsidRDefault="004835D8" w:rsidP="00C00499">
      <w:pPr>
        <w:pStyle w:val="BodyText"/>
        <w:shd w:val="clear" w:color="auto" w:fill="auto"/>
        <w:tabs>
          <w:tab w:val="left" w:pos="12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Thời gian, địa điểm thực hiện, hoàn thành việc giám định.</w:t>
      </w:r>
    </w:p>
    <w:p w:rsidR="00765FDA" w:rsidRPr="00EB6DED" w:rsidRDefault="00C1745A"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trưng cầu, yêu cầu tổ chức thực hiện giám định tư pháp thì ngoài chữ ký, họ, tên của người giám định, </w:t>
      </w:r>
      <w:r w:rsidR="00056476" w:rsidRPr="00EB6DED">
        <w:rPr>
          <w:rFonts w:ascii="Arial" w:hAnsi="Arial" w:cs="Arial"/>
          <w:sz w:val="20"/>
          <w:szCs w:val="20"/>
        </w:rPr>
        <w:t>người đứng đầu tổ chức cò</w:t>
      </w:r>
      <w:r w:rsidRPr="00EB6DED">
        <w:rPr>
          <w:rFonts w:ascii="Arial" w:hAnsi="Arial" w:cs="Arial"/>
          <w:sz w:val="20"/>
          <w:szCs w:val="20"/>
        </w:rPr>
        <w:t>n phải ký tên, đóng dấu vào bản kết luận giám định tư pháp và tổ chức được trưng cầu, yêu cầu giám định tư pháp phải chịu trách nhiệm về kết luận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Hội đồng giám định quy định tại khoản 1 Điều 30 của Luật này thực hiện giám định thì người có </w:t>
      </w:r>
      <w:r w:rsidR="00197445" w:rsidRPr="00EB6DED">
        <w:rPr>
          <w:rFonts w:ascii="Arial" w:hAnsi="Arial" w:cs="Arial"/>
          <w:sz w:val="20"/>
          <w:szCs w:val="20"/>
        </w:rPr>
        <w:t>thẩm quyền</w:t>
      </w:r>
      <w:r w:rsidRPr="00EB6DED">
        <w:rPr>
          <w:rFonts w:ascii="Arial" w:hAnsi="Arial" w:cs="Arial"/>
          <w:sz w:val="20"/>
          <w:szCs w:val="20"/>
        </w:rPr>
        <w:t xml:space="preserve"> </w:t>
      </w:r>
      <w:r w:rsidR="00763866" w:rsidRPr="00EB6DED">
        <w:rPr>
          <w:rFonts w:ascii="Arial" w:hAnsi="Arial" w:cs="Arial"/>
          <w:sz w:val="20"/>
          <w:szCs w:val="20"/>
        </w:rPr>
        <w:t>quyết</w:t>
      </w:r>
      <w:r w:rsidR="0016208C" w:rsidRPr="00EB6DED">
        <w:rPr>
          <w:rFonts w:ascii="Arial" w:hAnsi="Arial" w:cs="Arial"/>
          <w:sz w:val="20"/>
          <w:szCs w:val="20"/>
        </w:rPr>
        <w:t xml:space="preserve"> định thành lập Hội đồ</w:t>
      </w:r>
      <w:r w:rsidRPr="00EB6DED">
        <w:rPr>
          <w:rFonts w:ascii="Arial" w:hAnsi="Arial" w:cs="Arial"/>
          <w:sz w:val="20"/>
          <w:szCs w:val="20"/>
        </w:rPr>
        <w:t>ng phải ký tên, đóng dấu vào bản kết luận giám định tư pháp và chịu trách nhiệm về tư cách pháp lý của Hội đồng giám định.</w:t>
      </w:r>
    </w:p>
    <w:p w:rsidR="00765FDA" w:rsidRPr="00EB6DED" w:rsidRDefault="0016208C" w:rsidP="00C00499">
      <w:pPr>
        <w:pStyle w:val="BodyText"/>
        <w:shd w:val="clear" w:color="auto" w:fill="auto"/>
        <w:tabs>
          <w:tab w:val="left" w:pos="112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rsidR="00765FDA" w:rsidRPr="00EB6DED" w:rsidRDefault="00D55158" w:rsidP="00C00499">
      <w:pPr>
        <w:pStyle w:val="BodyText"/>
        <w:shd w:val="clear" w:color="auto" w:fill="auto"/>
        <w:tabs>
          <w:tab w:val="left" w:pos="12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19. </w:t>
      </w:r>
      <w:r w:rsidR="006419E5" w:rsidRPr="00EB6DED">
        <w:rPr>
          <w:rFonts w:ascii="Arial" w:hAnsi="Arial" w:cs="Arial"/>
          <w:sz w:val="20"/>
          <w:szCs w:val="20"/>
        </w:rPr>
        <w:t>Sửa đổi, bổ sung các khoản 2, 3 và 4 Điều 33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Hồ sơ giám định tư pháp phải được lập theo mẫu thống nhất.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rsidR="00765FDA" w:rsidRPr="00EB6DED" w:rsidRDefault="00B21B81" w:rsidP="00C00499">
      <w:pPr>
        <w:pStyle w:val="BodyText"/>
        <w:shd w:val="clear" w:color="auto" w:fill="auto"/>
        <w:tabs>
          <w:tab w:val="left" w:pos="11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Người thực hiện giám định có trách nhiệm bàn giao hồ sơ giám định tư pháp cho cơ quan, tổ chức quản lý trực tiếp theo quy định của pháp luật về lưu trữ và quy định của bộ, ngành, cơ quan mình.</w:t>
      </w:r>
    </w:p>
    <w:p w:rsidR="00765FDA" w:rsidRPr="00EB6DED" w:rsidRDefault="007E5079"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Hồ sơ giám định tư pháp được xuất trình khi có yêu cầu của cơ quan có thẩm quyền tiến hành tố tụng, người có thẩm quyền tiến hành tố tụng giải quyết vụ án hình sự, vụ án hành chính, vụ việc dân sự.”.</w:t>
      </w:r>
    </w:p>
    <w:p w:rsidR="00765FDA" w:rsidRPr="00EB6DED" w:rsidRDefault="004A6FBE"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20</w:t>
      </w:r>
      <w:r w:rsidR="006419E5" w:rsidRPr="00EB6DED">
        <w:rPr>
          <w:rFonts w:ascii="Arial" w:hAnsi="Arial" w:cs="Arial"/>
          <w:sz w:val="20"/>
          <w:szCs w:val="20"/>
        </w:rPr>
        <w:t>. Sửa đổi, bổ sung Điều 36 như sau:</w:t>
      </w:r>
    </w:p>
    <w:p w:rsidR="00765FDA" w:rsidRPr="00EB6DED" w:rsidRDefault="008738FB"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36. Chi phí giá</w:t>
      </w:r>
      <w:r w:rsidR="006419E5" w:rsidRPr="00EB6DED">
        <w:rPr>
          <w:rFonts w:ascii="Arial" w:hAnsi="Arial" w:cs="Arial"/>
          <w:b/>
          <w:bCs/>
          <w:sz w:val="20"/>
          <w:szCs w:val="20"/>
        </w:rPr>
        <w:t>m định tư pháp</w:t>
      </w:r>
    </w:p>
    <w:p w:rsidR="00765FDA" w:rsidRPr="00EB6DED" w:rsidRDefault="008738FB"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Người trưng cầu giám định, người yêu cầu giám định có trách nhiệm trả chi phí giám định tư pháp cho cá nhân, tổ chức thực hiện giám định tư pháp theo quy định của pháp luật về chi phí giám định tư pháp.</w:t>
      </w:r>
    </w:p>
    <w:p w:rsidR="00765FDA" w:rsidRPr="00EB6DED" w:rsidRDefault="009B6035" w:rsidP="00C00499">
      <w:pPr>
        <w:pStyle w:val="BodyText"/>
        <w:shd w:val="clear" w:color="auto" w:fill="auto"/>
        <w:tabs>
          <w:tab w:val="left" w:pos="112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 xml:space="preserve">Kinh phí thanh toán chi phí giám định tư pháp mà cơ quan có thẩm quyền </w:t>
      </w:r>
      <w:r w:rsidR="00197445" w:rsidRPr="00EB6DED">
        <w:rPr>
          <w:rFonts w:ascii="Arial" w:hAnsi="Arial" w:cs="Arial"/>
          <w:sz w:val="20"/>
          <w:szCs w:val="20"/>
        </w:rPr>
        <w:t>tiến hành</w:t>
      </w:r>
      <w:r w:rsidR="006419E5" w:rsidRPr="00EB6DED">
        <w:rPr>
          <w:rFonts w:ascii="Arial" w:hAnsi="Arial" w:cs="Arial"/>
          <w:sz w:val="20"/>
          <w:szCs w:val="20"/>
        </w:rPr>
        <w:t xml:space="preserve"> </w:t>
      </w:r>
      <w:r w:rsidR="00197445" w:rsidRPr="00EB6DED">
        <w:rPr>
          <w:rFonts w:ascii="Arial" w:hAnsi="Arial" w:cs="Arial"/>
          <w:sz w:val="20"/>
          <w:szCs w:val="20"/>
        </w:rPr>
        <w:t>tố tụng</w:t>
      </w:r>
      <w:r w:rsidR="006419E5" w:rsidRPr="00EB6DED">
        <w:rPr>
          <w:rFonts w:ascii="Arial" w:hAnsi="Arial" w:cs="Arial"/>
          <w:sz w:val="20"/>
          <w:szCs w:val="20"/>
        </w:rPr>
        <w:t xml:space="preserve"> có trách nhiệm chi trả được bảo đảm từ ngân sách nhà nước theo dự toán hằng năm của cơ quan đó để thực hiện nhiệm vụ giám định tư pháp.”.</w:t>
      </w:r>
    </w:p>
    <w:p w:rsidR="00765FDA" w:rsidRPr="00EB6DED" w:rsidRDefault="0027770F" w:rsidP="00C00499">
      <w:pPr>
        <w:pStyle w:val="BodyText"/>
        <w:shd w:val="clear" w:color="auto" w:fill="auto"/>
        <w:tabs>
          <w:tab w:val="left" w:pos="130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21. </w:t>
      </w:r>
      <w:r w:rsidR="00ED3B46" w:rsidRPr="00EB6DED">
        <w:rPr>
          <w:rFonts w:ascii="Arial" w:hAnsi="Arial" w:cs="Arial"/>
          <w:sz w:val="20"/>
          <w:szCs w:val="20"/>
        </w:rPr>
        <w:t>Bổ sung khoản 1</w:t>
      </w:r>
      <w:r w:rsidR="006419E5" w:rsidRPr="00EB6DED">
        <w:rPr>
          <w:rFonts w:ascii="Arial" w:hAnsi="Arial" w:cs="Arial"/>
          <w:sz w:val="20"/>
          <w:szCs w:val="20"/>
        </w:rPr>
        <w:t>a vào sau khoản 1 Điều 37 như sau:</w:t>
      </w:r>
    </w:p>
    <w:p w:rsidR="00765FDA" w:rsidRPr="00EB6DED" w:rsidRDefault="00ED3B46"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w:t>
      </w:r>
      <w:r w:rsidR="006419E5" w:rsidRPr="00EB6DED">
        <w:rPr>
          <w:rFonts w:ascii="Arial" w:hAnsi="Arial" w:cs="Arial"/>
          <w:sz w:val="20"/>
          <w:szCs w:val="20"/>
        </w:rPr>
        <w:t xml:space="preserve">a. Việc thực hiện giám định tư pháp của công chức, viên chức, sĩ quan quân đội, sĩ quan công an nhân dân, quân nhân chuyên nghiệp, công nhân </w:t>
      </w:r>
      <w:r w:rsidR="00E90191" w:rsidRPr="00EB6DED">
        <w:rPr>
          <w:rFonts w:ascii="Arial" w:hAnsi="Arial" w:cs="Arial"/>
          <w:sz w:val="20"/>
          <w:szCs w:val="20"/>
        </w:rPr>
        <w:t>quốc</w:t>
      </w:r>
      <w:r w:rsidR="006419E5" w:rsidRPr="00EB6DED">
        <w:rPr>
          <w:rFonts w:ascii="Arial" w:hAnsi="Arial" w:cs="Arial"/>
          <w:sz w:val="20"/>
          <w:szCs w:val="20"/>
        </w:rPr>
        <w:t xml:space="preserve"> phòng là hoạt động công vụ. Cơ quan, </w:t>
      </w:r>
      <w:r w:rsidR="00A84E92" w:rsidRPr="00EB6DED">
        <w:rPr>
          <w:rFonts w:ascii="Arial" w:hAnsi="Arial" w:cs="Arial"/>
          <w:sz w:val="20"/>
          <w:szCs w:val="20"/>
        </w:rPr>
        <w:t>tổ chức</w:t>
      </w:r>
      <w:r w:rsidR="006419E5" w:rsidRPr="00EB6DED">
        <w:rPr>
          <w:rFonts w:ascii="Arial" w:hAnsi="Arial" w:cs="Arial"/>
          <w:sz w:val="20"/>
          <w:szCs w:val="20"/>
        </w:rPr>
        <w:t xml:space="preserve"> quản lý trực </w:t>
      </w:r>
      <w:r w:rsidR="00277873" w:rsidRPr="00EB6DED">
        <w:rPr>
          <w:rFonts w:ascii="Arial" w:hAnsi="Arial" w:cs="Arial"/>
          <w:sz w:val="20"/>
          <w:szCs w:val="20"/>
        </w:rPr>
        <w:t>tiếp</w:t>
      </w:r>
      <w:r w:rsidR="006419E5" w:rsidRPr="00EB6DED">
        <w:rPr>
          <w:rFonts w:ascii="Arial" w:hAnsi="Arial" w:cs="Arial"/>
          <w:sz w:val="20"/>
          <w:szCs w:val="20"/>
        </w:rPr>
        <w:t xml:space="preserve"> có trách nhiệm bảo đảm đủ </w:t>
      </w:r>
      <w:r w:rsidR="00277873" w:rsidRPr="00EB6DED">
        <w:rPr>
          <w:rFonts w:ascii="Arial" w:hAnsi="Arial" w:cs="Arial"/>
          <w:sz w:val="20"/>
          <w:szCs w:val="20"/>
        </w:rPr>
        <w:t>thời</w:t>
      </w:r>
      <w:r w:rsidR="00DF38CC" w:rsidRPr="00EB6DED">
        <w:rPr>
          <w:rFonts w:ascii="Arial" w:hAnsi="Arial" w:cs="Arial"/>
          <w:sz w:val="20"/>
          <w:szCs w:val="20"/>
        </w:rPr>
        <w:t xml:space="preserve"> gian và các điều kiện cầ</w:t>
      </w:r>
      <w:r w:rsidR="006419E5" w:rsidRPr="00EB6DED">
        <w:rPr>
          <w:rFonts w:ascii="Arial" w:hAnsi="Arial" w:cs="Arial"/>
          <w:sz w:val="20"/>
          <w:szCs w:val="20"/>
        </w:rPr>
        <w:t xml:space="preserve">n thiết </w:t>
      </w:r>
      <w:r w:rsidR="00DF38CC" w:rsidRPr="00EB6DED">
        <w:rPr>
          <w:rFonts w:ascii="Arial" w:hAnsi="Arial" w:cs="Arial"/>
          <w:sz w:val="20"/>
          <w:szCs w:val="20"/>
        </w:rPr>
        <w:t>khác cho việc thực hiện giám đị</w:t>
      </w:r>
      <w:r w:rsidR="006419E5" w:rsidRPr="00EB6DED">
        <w:rPr>
          <w:rFonts w:ascii="Arial" w:hAnsi="Arial" w:cs="Arial"/>
          <w:sz w:val="20"/>
          <w:szCs w:val="20"/>
        </w:rPr>
        <w:t>nh. Người thực hiện giám định được h</w:t>
      </w:r>
      <w:r w:rsidR="00DF38CC" w:rsidRPr="00EB6DED">
        <w:rPr>
          <w:rFonts w:ascii="Arial" w:hAnsi="Arial" w:cs="Arial"/>
          <w:sz w:val="20"/>
          <w:szCs w:val="20"/>
        </w:rPr>
        <w:t xml:space="preserve">ưởng các chế độ, chính sách </w:t>
      </w:r>
      <w:r w:rsidR="006419E5" w:rsidRPr="00EB6DED">
        <w:rPr>
          <w:rFonts w:ascii="Arial" w:hAnsi="Arial" w:cs="Arial"/>
          <w:sz w:val="20"/>
          <w:szCs w:val="20"/>
        </w:rPr>
        <w:t>theo quy định của pháp luật.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rsidR="00765FDA" w:rsidRPr="00EB6DED" w:rsidRDefault="00F545CD" w:rsidP="00C00499">
      <w:pPr>
        <w:pStyle w:val="BodyText"/>
        <w:shd w:val="clear" w:color="auto" w:fill="auto"/>
        <w:tabs>
          <w:tab w:val="left" w:pos="127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22. </w:t>
      </w:r>
      <w:r w:rsidR="006419E5" w:rsidRPr="00EB6DED">
        <w:rPr>
          <w:rFonts w:ascii="Arial" w:hAnsi="Arial" w:cs="Arial"/>
          <w:sz w:val="20"/>
          <w:szCs w:val="20"/>
        </w:rPr>
        <w:t>Sửa đổi, bổ sung khoản 2 Điều 38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Người giám định tư pháp, tổ chức giám định tư pháp, tổ chức giám định tư pháp theo vụ việc có đóng góp tích cực cho hoạt động giám định tư pháp thì được tôn vinh, khen thưởng.”.</w:t>
      </w:r>
    </w:p>
    <w:p w:rsidR="00765FDA" w:rsidRPr="00EB6DED" w:rsidRDefault="00D27C52"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23. Sửa đổi, bổ sung Điều 41 như sau</w:t>
      </w:r>
      <w:r w:rsidR="006419E5" w:rsidRPr="00EB6DED">
        <w:rPr>
          <w:rFonts w:ascii="Arial" w:hAnsi="Arial" w:cs="Arial"/>
          <w:sz w:val="20"/>
          <w:szCs w:val="20"/>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 xml:space="preserve">“Điều 41. Nhiệm vụ, quyền hạn của bộ, cơ </w:t>
      </w:r>
      <w:r w:rsidR="00887DF9" w:rsidRPr="00EB6DED">
        <w:rPr>
          <w:rFonts w:ascii="Arial" w:hAnsi="Arial" w:cs="Arial"/>
          <w:b/>
          <w:bCs/>
          <w:sz w:val="20"/>
          <w:szCs w:val="20"/>
        </w:rPr>
        <w:t>quan ngang bộ, cơ quan thuộc Chí</w:t>
      </w:r>
      <w:r w:rsidRPr="00EB6DED">
        <w:rPr>
          <w:rFonts w:ascii="Arial" w:hAnsi="Arial" w:cs="Arial"/>
          <w:b/>
          <w:bCs/>
          <w:sz w:val="20"/>
          <w:szCs w:val="20"/>
        </w:rPr>
        <w:t>nh phủ</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Bộ, cơ quan ngang bộ quản lý chuyên môn về lĩnh vực giám định tư pháp có nhiệm vụ, quyền hạn sau đây:</w:t>
      </w:r>
    </w:p>
    <w:p w:rsidR="00765FDA" w:rsidRPr="00EB6DED" w:rsidRDefault="005A659C" w:rsidP="00C00499">
      <w:pPr>
        <w:pStyle w:val="BodyText"/>
        <w:shd w:val="clear" w:color="auto" w:fill="auto"/>
        <w:tabs>
          <w:tab w:val="left" w:pos="109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Ban hành hoặc trình cơ quan nhà nước có thẩm quyền ban hành văn bản quy phạm pháp luật về giám định tư pháp ở lĩnh vực giám định thuộc thẩm quyền quản lý và hướng dẫn thi hành các văn bản đó;</w:t>
      </w:r>
    </w:p>
    <w:p w:rsidR="00765FDA" w:rsidRPr="00EB6DED" w:rsidRDefault="00902EA0" w:rsidP="00C00499">
      <w:pPr>
        <w:pStyle w:val="BodyText"/>
        <w:shd w:val="clear" w:color="auto" w:fill="auto"/>
        <w:tabs>
          <w:tab w:val="left" w:pos="11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Ban hành quy trình giám định; ban hành hoặc hướng dẫn áp dụng quy </w:t>
      </w:r>
      <w:r w:rsidR="00917FA7" w:rsidRPr="00EB6DED">
        <w:rPr>
          <w:rFonts w:ascii="Arial" w:hAnsi="Arial" w:cs="Arial"/>
          <w:sz w:val="20"/>
          <w:szCs w:val="20"/>
        </w:rPr>
        <w:t>chuẩn</w:t>
      </w:r>
      <w:r w:rsidR="006419E5" w:rsidRPr="00EB6DED">
        <w:rPr>
          <w:rFonts w:ascii="Arial" w:hAnsi="Arial" w:cs="Arial"/>
          <w:sz w:val="20"/>
          <w:szCs w:val="20"/>
        </w:rPr>
        <w:t xml:space="preserve"> chuyên môn cho hoạt động giám định tư pháp; căn cứ </w:t>
      </w:r>
      <w:r w:rsidR="00B73ED2" w:rsidRPr="00EB6DED">
        <w:rPr>
          <w:rFonts w:ascii="Arial" w:hAnsi="Arial" w:cs="Arial"/>
          <w:sz w:val="20"/>
          <w:szCs w:val="20"/>
        </w:rPr>
        <w:t>yêu cầu</w:t>
      </w:r>
      <w:r w:rsidR="006419E5" w:rsidRPr="00EB6DED">
        <w:rPr>
          <w:rFonts w:ascii="Arial" w:hAnsi="Arial" w:cs="Arial"/>
          <w:sz w:val="20"/>
          <w:szCs w:val="20"/>
        </w:rPr>
        <w:t xml:space="preserve"> và tính chất đặc thù của lĩnh vực thuộc thẩm quyền quản lý quy định cụ thể về thời hạn đối với từng loại việc giám định;</w:t>
      </w:r>
    </w:p>
    <w:p w:rsidR="00765FDA" w:rsidRPr="00EB6DED" w:rsidRDefault="00600068"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Chủ trì, phối hợp với Bộ Tư pháp trong việc quyết định thà</w:t>
      </w:r>
      <w:r w:rsidR="005D46D2" w:rsidRPr="00EB6DED">
        <w:rPr>
          <w:rFonts w:ascii="Arial" w:hAnsi="Arial" w:cs="Arial"/>
          <w:sz w:val="20"/>
          <w:szCs w:val="20"/>
        </w:rPr>
        <w:t>nh lập, củng cố</w:t>
      </w:r>
      <w:r w:rsidR="006419E5" w:rsidRPr="00EB6DED">
        <w:rPr>
          <w:rFonts w:ascii="Arial" w:hAnsi="Arial" w:cs="Arial"/>
          <w:sz w:val="20"/>
          <w:szCs w:val="20"/>
        </w:rPr>
        <w:t xml:space="preserve">, kiện toàn </w:t>
      </w:r>
      <w:r w:rsidR="00A84E92" w:rsidRPr="00EB6DED">
        <w:rPr>
          <w:rFonts w:ascii="Arial" w:hAnsi="Arial" w:cs="Arial"/>
          <w:sz w:val="20"/>
          <w:szCs w:val="20"/>
        </w:rPr>
        <w:t>tổ chức</w:t>
      </w:r>
      <w:r w:rsidR="006419E5" w:rsidRPr="00EB6DED">
        <w:rPr>
          <w:rFonts w:ascii="Arial" w:hAnsi="Arial" w:cs="Arial"/>
          <w:sz w:val="20"/>
          <w:szCs w:val="20"/>
        </w:rPr>
        <w:t xml:space="preserve"> giám định tư pháp công lập thuộc </w:t>
      </w:r>
      <w:r w:rsidR="00197445" w:rsidRPr="00EB6DED">
        <w:rPr>
          <w:rFonts w:ascii="Arial" w:hAnsi="Arial" w:cs="Arial"/>
          <w:sz w:val="20"/>
          <w:szCs w:val="20"/>
        </w:rPr>
        <w:t>thẩm</w:t>
      </w:r>
      <w:r w:rsidR="006419E5" w:rsidRPr="00EB6DED">
        <w:rPr>
          <w:rFonts w:ascii="Arial" w:hAnsi="Arial" w:cs="Arial"/>
          <w:sz w:val="20"/>
          <w:szCs w:val="20"/>
        </w:rPr>
        <w:t xml:space="preserve"> quyền quản lý theo quy định của Luật này; phân công đơn vị thuộc bộ, cơ quan ngang bộ làm đầu mối quản lý chung công tác giám định tư pháp;</w:t>
      </w:r>
    </w:p>
    <w:p w:rsidR="00765FDA" w:rsidRPr="00EB6DED" w:rsidRDefault="007A6097" w:rsidP="00C00499">
      <w:pPr>
        <w:pStyle w:val="BodyText"/>
        <w:shd w:val="clear" w:color="auto" w:fill="auto"/>
        <w:spacing w:after="120" w:line="240" w:lineRule="auto"/>
        <w:ind w:firstLine="720"/>
        <w:jc w:val="both"/>
        <w:rPr>
          <w:rFonts w:ascii="Arial" w:hAnsi="Arial" w:cs="Arial"/>
          <w:sz w:val="20"/>
          <w:szCs w:val="20"/>
        </w:rPr>
      </w:pPr>
      <w:r>
        <w:rPr>
          <w:rFonts w:ascii="Arial" w:hAnsi="Arial" w:cs="Arial"/>
          <w:sz w:val="20"/>
          <w:szCs w:val="20"/>
          <w:lang w:val="en-SG"/>
        </w:rPr>
        <w:t>d</w:t>
      </w:r>
      <w:r w:rsidR="006419E5" w:rsidRPr="00EB6DED">
        <w:rPr>
          <w:rFonts w:ascii="Arial" w:hAnsi="Arial" w:cs="Arial"/>
          <w:sz w:val="20"/>
          <w:szCs w:val="20"/>
        </w:rPr>
        <w:t>)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đ) Chịu trách nhiệm trước Chính phủ, Thủ tướng Chính phủ về bảo đảm số lượng, </w:t>
      </w:r>
      <w:r w:rsidR="006B5E56" w:rsidRPr="00EB6DED">
        <w:rPr>
          <w:rFonts w:ascii="Arial" w:hAnsi="Arial" w:cs="Arial"/>
          <w:sz w:val="20"/>
          <w:szCs w:val="20"/>
        </w:rPr>
        <w:t>chất</w:t>
      </w:r>
      <w:r w:rsidRPr="00EB6DED">
        <w:rPr>
          <w:rFonts w:ascii="Arial" w:hAnsi="Arial" w:cs="Arial"/>
          <w:sz w:val="20"/>
          <w:szCs w:val="20"/>
        </w:rPr>
        <w:t xml:space="preserve">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rsidR="00765FDA" w:rsidRPr="00EB6DED" w:rsidRDefault="00FC7EFD"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 xml:space="preserve">Hằng năm, đánh giá chất lượng hoạt động của cá nhân, tổ chức giám định tư pháp thuộc thẩm quyền quản </w:t>
      </w:r>
      <w:r w:rsidR="000B6E6D" w:rsidRPr="00EB6DED">
        <w:rPr>
          <w:rFonts w:ascii="Arial" w:hAnsi="Arial" w:cs="Arial"/>
          <w:sz w:val="20"/>
          <w:szCs w:val="20"/>
        </w:rPr>
        <w:t>lý; kịp thời tôn vinh, khen thưở</w:t>
      </w:r>
      <w:r w:rsidR="006419E5" w:rsidRPr="00EB6DED">
        <w:rPr>
          <w:rFonts w:ascii="Arial" w:hAnsi="Arial" w:cs="Arial"/>
          <w:sz w:val="20"/>
          <w:szCs w:val="20"/>
        </w:rPr>
        <w:t>ng cá nhân, tổ chức giám định tư pháp có thành tích xuất sắc trong hoạt động giám định tư pháp;</w:t>
      </w:r>
    </w:p>
    <w:p w:rsidR="00765FDA" w:rsidRPr="00EB6DED" w:rsidRDefault="000B6E6D"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Quy địn</w:t>
      </w:r>
      <w:r w:rsidR="007F15DD" w:rsidRPr="00EB6DED">
        <w:rPr>
          <w:rFonts w:ascii="Arial" w:hAnsi="Arial" w:cs="Arial"/>
          <w:sz w:val="20"/>
          <w:szCs w:val="20"/>
        </w:rPr>
        <w:t>h điều kiện về cơ sở vật chất, tr</w:t>
      </w:r>
      <w:r w:rsidR="006419E5" w:rsidRPr="00EB6DED">
        <w:rPr>
          <w:rFonts w:ascii="Arial" w:hAnsi="Arial" w:cs="Arial"/>
          <w:sz w:val="20"/>
          <w:szCs w:val="20"/>
        </w:rPr>
        <w:t xml:space="preserve">ang thiết bị, phương tiện giám định của Văn phòng </w:t>
      </w:r>
      <w:r w:rsidR="006419E5" w:rsidRPr="00EB6DED">
        <w:rPr>
          <w:rFonts w:ascii="Arial" w:hAnsi="Arial" w:cs="Arial"/>
          <w:sz w:val="20"/>
          <w:szCs w:val="20"/>
        </w:rPr>
        <w:lastRenderedPageBreak/>
        <w:t>giám định tư pháp, tổ chức giám định tư pháp theo vụ việc ở lĩnh vực thuộc thẩm quyền quản lý;</w:t>
      </w:r>
    </w:p>
    <w:p w:rsidR="00765FDA" w:rsidRPr="00EB6DED" w:rsidRDefault="004F29E8" w:rsidP="00C00499">
      <w:pPr>
        <w:pStyle w:val="BodyText"/>
        <w:shd w:val="clear" w:color="auto" w:fill="auto"/>
        <w:tabs>
          <w:tab w:val="left" w:pos="114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Tổ chức bồi dưỡng nghiệp vụ giám định tư pháp, kiến thức pháp luật cho người giám định tư pháp ở lĩnh vực thuộc thẩm quyền quản lý;</w:t>
      </w:r>
    </w:p>
    <w:p w:rsidR="00765FDA" w:rsidRPr="00EB6DED" w:rsidRDefault="004D7B3B" w:rsidP="00C00499">
      <w:pPr>
        <w:pStyle w:val="BodyText"/>
        <w:shd w:val="clear" w:color="auto" w:fill="auto"/>
        <w:tabs>
          <w:tab w:val="left" w:pos="116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i) </w:t>
      </w:r>
      <w:r w:rsidR="006419E5" w:rsidRPr="00EB6DED">
        <w:rPr>
          <w:rFonts w:ascii="Arial" w:hAnsi="Arial" w:cs="Arial"/>
          <w:sz w:val="20"/>
          <w:szCs w:val="20"/>
        </w:rPr>
        <w:t>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khoản 6 Điều 40 của Luật này;</w:t>
      </w:r>
    </w:p>
    <w:p w:rsidR="00765FDA" w:rsidRPr="00EB6DED" w:rsidRDefault="00261C58"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rPr>
        <w:t xml:space="preserve">k) </w:t>
      </w:r>
      <w:r w:rsidR="006419E5" w:rsidRPr="00EB6DED">
        <w:rPr>
          <w:rFonts w:ascii="Arial" w:hAnsi="Arial" w:cs="Arial"/>
          <w:sz w:val="20"/>
          <w:szCs w:val="20"/>
        </w:rPr>
        <w:t>Thực hiện hợp tác quốc tế về giám định tư pháp ở l</w:t>
      </w:r>
      <w:r w:rsidR="00765391" w:rsidRPr="00EB6DED">
        <w:rPr>
          <w:rFonts w:ascii="Arial" w:hAnsi="Arial" w:cs="Arial"/>
          <w:sz w:val="20"/>
          <w:szCs w:val="20"/>
        </w:rPr>
        <w:t>ĩnh vực thuộc thẩm quyền quản l</w:t>
      </w:r>
      <w:r w:rsidR="006419E5" w:rsidRPr="00EB6DED">
        <w:rPr>
          <w:rFonts w:ascii="Arial" w:hAnsi="Arial" w:cs="Arial"/>
          <w:sz w:val="20"/>
          <w:szCs w:val="20"/>
        </w:rPr>
        <w:t>ý;</w:t>
      </w:r>
    </w:p>
    <w:p w:rsidR="00765FDA" w:rsidRPr="00EB6DED" w:rsidRDefault="00765391"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l) </w:t>
      </w:r>
      <w:r w:rsidR="006419E5" w:rsidRPr="00EB6DED">
        <w:rPr>
          <w:rFonts w:ascii="Arial" w:hAnsi="Arial" w:cs="Arial"/>
          <w:sz w:val="20"/>
          <w:szCs w:val="20"/>
        </w:rPr>
        <w:t>Trước ngày 31 tháng 12 hằng năm, tổng kết về tổ chức, hoạt động giám định tư pháp ở lĩnh vực thuộc thẩm quyền quản lý và gửi báo c</w:t>
      </w:r>
      <w:r w:rsidR="00F93928" w:rsidRPr="00EB6DED">
        <w:rPr>
          <w:rFonts w:ascii="Arial" w:hAnsi="Arial" w:cs="Arial"/>
          <w:sz w:val="20"/>
          <w:szCs w:val="20"/>
        </w:rPr>
        <w:t>áo về Bộ Tư pháp để tổng hợp, bá</w:t>
      </w:r>
      <w:r w:rsidR="006419E5" w:rsidRPr="00EB6DED">
        <w:rPr>
          <w:rFonts w:ascii="Arial" w:hAnsi="Arial" w:cs="Arial"/>
          <w:sz w:val="20"/>
          <w:szCs w:val="20"/>
        </w:rPr>
        <w:t>o cáo Chính phủ.</w:t>
      </w:r>
    </w:p>
    <w:p w:rsidR="00765FDA" w:rsidRPr="00EB6DED" w:rsidRDefault="005E168F" w:rsidP="00C00499">
      <w:pPr>
        <w:pStyle w:val="BodyText"/>
        <w:shd w:val="clear" w:color="auto" w:fill="auto"/>
        <w:tabs>
          <w:tab w:val="left" w:pos="115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Cơ quan thuộc Chính phủ có nhiệm vụ, quyền hạn sau đây:</w:t>
      </w:r>
    </w:p>
    <w:p w:rsidR="00765FDA" w:rsidRPr="00EB6DED" w:rsidRDefault="008224C3"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Xây dựng quy trình giám định đề nghị bộ, cơ quan ngang bộ quản lý chuyên môn về lĩnh vực giám định tư pháp ban hành theo thẩm quyền;</w:t>
      </w:r>
    </w:p>
    <w:p w:rsidR="00765FDA" w:rsidRPr="00EB6DED" w:rsidRDefault="00CE3ADE"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b)</w:t>
      </w:r>
      <w:r w:rsidR="002A73E1" w:rsidRPr="00EB6DED">
        <w:rPr>
          <w:rFonts w:ascii="Arial" w:hAnsi="Arial" w:cs="Arial"/>
          <w:sz w:val="20"/>
          <w:szCs w:val="20"/>
          <w:lang w:val="en-US"/>
        </w:rPr>
        <w:t xml:space="preserve"> </w:t>
      </w:r>
      <w:r w:rsidR="006419E5" w:rsidRPr="00EB6DED">
        <w:rPr>
          <w:rFonts w:ascii="Arial" w:hAnsi="Arial" w:cs="Arial"/>
          <w:sz w:val="20"/>
          <w:szCs w:val="20"/>
        </w:rPr>
        <w:t>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rsidR="00765FDA" w:rsidRPr="00EB6DED" w:rsidRDefault="00CE3ADE" w:rsidP="00C00499">
      <w:pPr>
        <w:pStyle w:val="BodyText"/>
        <w:shd w:val="clear" w:color="auto" w:fill="auto"/>
        <w:tabs>
          <w:tab w:val="left" w:pos="11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Nhiệm vụ, quyền hạn quy định tại các điểm đ, e và h khoản 1 Điều này.”.</w:t>
      </w:r>
    </w:p>
    <w:p w:rsidR="00765FDA" w:rsidRPr="00EB6DED" w:rsidRDefault="006B6398" w:rsidP="00C00499">
      <w:pPr>
        <w:pStyle w:val="BodyText"/>
        <w:shd w:val="clear" w:color="auto" w:fill="auto"/>
        <w:tabs>
          <w:tab w:val="left" w:pos="12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24. </w:t>
      </w:r>
      <w:r w:rsidR="006419E5" w:rsidRPr="00EB6DED">
        <w:rPr>
          <w:rFonts w:ascii="Arial" w:hAnsi="Arial" w:cs="Arial"/>
          <w:sz w:val="20"/>
          <w:szCs w:val="20"/>
        </w:rPr>
        <w:t>Sửa đổi, bổ sung một số khoản của Điều 42 như sau:</w:t>
      </w:r>
    </w:p>
    <w:p w:rsidR="00765FDA" w:rsidRPr="00EB6DED" w:rsidRDefault="00A92F8A" w:rsidP="00C00499">
      <w:pPr>
        <w:pStyle w:val="BodyText"/>
        <w:shd w:val="clear" w:color="auto" w:fill="auto"/>
        <w:tabs>
          <w:tab w:val="left" w:pos="11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điểm đ khoản 2 như sau:</w:t>
      </w:r>
    </w:p>
    <w:p w:rsidR="00765FDA" w:rsidRPr="00EB6DED" w:rsidRDefault="00D1643F"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Ban hành chỉ tiêu thống kê</w:t>
      </w:r>
      <w:r w:rsidR="006419E5" w:rsidRPr="00EB6DED">
        <w:rPr>
          <w:rFonts w:ascii="Arial" w:hAnsi="Arial" w:cs="Arial"/>
          <w:sz w:val="20"/>
          <w:szCs w:val="20"/>
        </w:rPr>
        <w:t xml:space="preserve">, thực hiện thống kê hằng năm về </w:t>
      </w:r>
      <w:r w:rsidR="00330E19" w:rsidRPr="00EB6DED">
        <w:rPr>
          <w:rFonts w:ascii="Arial" w:hAnsi="Arial" w:cs="Arial"/>
          <w:sz w:val="20"/>
          <w:szCs w:val="20"/>
        </w:rPr>
        <w:t>trưng cầu</w:t>
      </w:r>
      <w:r w:rsidR="006419E5" w:rsidRPr="00EB6DED">
        <w:rPr>
          <w:rFonts w:ascii="Arial" w:hAnsi="Arial" w:cs="Arial"/>
          <w:sz w:val="20"/>
          <w:szCs w:val="20"/>
        </w:rPr>
        <w:t xml:space="preserve">, </w:t>
      </w:r>
      <w:r w:rsidR="00B73ED2" w:rsidRPr="00EB6DED">
        <w:rPr>
          <w:rFonts w:ascii="Arial" w:hAnsi="Arial" w:cs="Arial"/>
          <w:sz w:val="20"/>
          <w:szCs w:val="20"/>
        </w:rPr>
        <w:t>yêu cầu</w:t>
      </w:r>
      <w:r w:rsidR="006419E5" w:rsidRPr="00EB6DED">
        <w:rPr>
          <w:rFonts w:ascii="Arial" w:hAnsi="Arial" w:cs="Arial"/>
          <w:sz w:val="20"/>
          <w:szCs w:val="20"/>
        </w:rPr>
        <w:t xml:space="preserve"> giám định tư pháp, đánh giá việc thực hiện giám định tư pháp và sử dụng </w:t>
      </w:r>
      <w:r w:rsidR="00654344" w:rsidRPr="00EB6DED">
        <w:rPr>
          <w:rFonts w:ascii="Arial" w:hAnsi="Arial" w:cs="Arial"/>
          <w:sz w:val="20"/>
          <w:szCs w:val="20"/>
        </w:rPr>
        <w:t>kết</w:t>
      </w:r>
      <w:r w:rsidR="006419E5" w:rsidRPr="00EB6DED">
        <w:rPr>
          <w:rFonts w:ascii="Arial" w:hAnsi="Arial" w:cs="Arial"/>
          <w:sz w:val="20"/>
          <w:szCs w:val="20"/>
        </w:rPr>
        <w:t xml:space="preserve"> luận giám</w:t>
      </w:r>
      <w:r w:rsidR="006030BD" w:rsidRPr="00EB6DED">
        <w:rPr>
          <w:rFonts w:ascii="Arial" w:hAnsi="Arial" w:cs="Arial"/>
          <w:sz w:val="20"/>
          <w:szCs w:val="20"/>
        </w:rPr>
        <w:t xml:space="preserve"> định tư pháp, nhu cầ</w:t>
      </w:r>
      <w:r w:rsidR="006419E5" w:rsidRPr="00EB6DED">
        <w:rPr>
          <w:rFonts w:ascii="Arial" w:hAnsi="Arial" w:cs="Arial"/>
          <w:sz w:val="20"/>
          <w:szCs w:val="20"/>
        </w:rPr>
        <w:t xml:space="preserve">u giám định trong </w:t>
      </w:r>
      <w:r w:rsidR="006030BD" w:rsidRPr="00EB6DED">
        <w:rPr>
          <w:rFonts w:ascii="Arial" w:hAnsi="Arial" w:cs="Arial"/>
          <w:sz w:val="20"/>
          <w:szCs w:val="20"/>
        </w:rPr>
        <w:t>hệ thống</w:t>
      </w:r>
      <w:r w:rsidR="006419E5" w:rsidRPr="00EB6DED">
        <w:rPr>
          <w:rFonts w:ascii="Arial" w:hAnsi="Arial" w:cs="Arial"/>
          <w:sz w:val="20"/>
          <w:szCs w:val="20"/>
        </w:rPr>
        <w:t xml:space="preserve"> cơ quan </w:t>
      </w:r>
      <w:r w:rsidR="00433289" w:rsidRPr="00EB6DED">
        <w:rPr>
          <w:rFonts w:ascii="Arial" w:hAnsi="Arial" w:cs="Arial"/>
          <w:sz w:val="20"/>
          <w:szCs w:val="20"/>
        </w:rPr>
        <w:t>điều</w:t>
      </w:r>
      <w:r w:rsidR="006419E5" w:rsidRPr="00EB6DED">
        <w:rPr>
          <w:rFonts w:ascii="Arial" w:hAnsi="Arial" w:cs="Arial"/>
          <w:sz w:val="20"/>
          <w:szCs w:val="20"/>
        </w:rPr>
        <w:t xml:space="preserve"> tra thuộc </w:t>
      </w:r>
      <w:r w:rsidR="00197445" w:rsidRPr="00EB6DED">
        <w:rPr>
          <w:rFonts w:ascii="Arial" w:hAnsi="Arial" w:cs="Arial"/>
          <w:sz w:val="20"/>
          <w:szCs w:val="20"/>
        </w:rPr>
        <w:t>thẩm quyền</w:t>
      </w:r>
      <w:r w:rsidR="006419E5" w:rsidRPr="00EB6DED">
        <w:rPr>
          <w:rFonts w:ascii="Arial" w:hAnsi="Arial" w:cs="Arial"/>
          <w:sz w:val="20"/>
          <w:szCs w:val="20"/>
        </w:rPr>
        <w:t xml:space="preserve"> quản lý;”;</w:t>
      </w:r>
    </w:p>
    <w:p w:rsidR="00765FDA" w:rsidRPr="00EB6DED" w:rsidRDefault="006030BD"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điểm h và bổ sung điểm i vào sau điểm h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“h)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w:t>
      </w:r>
      <w:r w:rsidR="00330E19" w:rsidRPr="00EB6DED">
        <w:rPr>
          <w:rFonts w:ascii="Arial" w:hAnsi="Arial" w:cs="Arial"/>
          <w:sz w:val="20"/>
          <w:szCs w:val="20"/>
        </w:rPr>
        <w:t>trưng cầu</w:t>
      </w:r>
      <w:r w:rsidRPr="00EB6DED">
        <w:rPr>
          <w:rFonts w:ascii="Arial" w:hAnsi="Arial" w:cs="Arial"/>
          <w:sz w:val="20"/>
          <w:szCs w:val="20"/>
        </w:rPr>
        <w:t xml:space="preserve"> giám định tư pháp, đánh giá việc thực hiện giám định tư pháp và sử dụng kết luận giám định tư pháp, nhu cầu giám định ở địa phương;</w:t>
      </w:r>
    </w:p>
    <w:p w:rsidR="00765FDA" w:rsidRPr="00EB6DED" w:rsidRDefault="000934CB" w:rsidP="00C00499">
      <w:pPr>
        <w:pStyle w:val="BodyText"/>
        <w:shd w:val="clear" w:color="auto" w:fill="auto"/>
        <w:tabs>
          <w:tab w:val="left" w:pos="10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i) </w:t>
      </w:r>
      <w:r w:rsidR="006419E5" w:rsidRPr="00EB6DED">
        <w:rPr>
          <w:rFonts w:ascii="Arial" w:hAnsi="Arial" w:cs="Arial"/>
          <w:sz w:val="20"/>
          <w:szCs w:val="20"/>
        </w:rPr>
        <w:t>Lập dự toán và đề nghị cơ quan có thẩm quyền cấp kinh phí bảo đảm ch</w:t>
      </w:r>
      <w:r w:rsidR="00812DDF" w:rsidRPr="00EB6DED">
        <w:rPr>
          <w:rFonts w:ascii="Arial" w:hAnsi="Arial" w:cs="Arial"/>
          <w:sz w:val="20"/>
          <w:szCs w:val="20"/>
        </w:rPr>
        <w:t>i trả chi phí giám đị</w:t>
      </w:r>
      <w:r w:rsidR="006419E5" w:rsidRPr="00EB6DED">
        <w:rPr>
          <w:rFonts w:ascii="Arial" w:hAnsi="Arial" w:cs="Arial"/>
          <w:sz w:val="20"/>
          <w:szCs w:val="20"/>
        </w:rPr>
        <w:t xml:space="preserve">nh tư pháp; trường hợp </w:t>
      </w:r>
      <w:r w:rsidR="00812DDF" w:rsidRPr="00EB6DED">
        <w:rPr>
          <w:rFonts w:ascii="Arial" w:hAnsi="Arial" w:cs="Arial"/>
          <w:sz w:val="20"/>
          <w:szCs w:val="20"/>
        </w:rPr>
        <w:t>kinh</w:t>
      </w:r>
      <w:r w:rsidR="009B0678" w:rsidRPr="00EB6DED">
        <w:rPr>
          <w:rFonts w:ascii="Arial" w:hAnsi="Arial" w:cs="Arial"/>
          <w:sz w:val="20"/>
          <w:szCs w:val="20"/>
        </w:rPr>
        <w:t xml:space="preserve"> phí được cấp không đủ thì lập dự toán để</w:t>
      </w:r>
      <w:r w:rsidR="006419E5" w:rsidRPr="00EB6DED">
        <w:rPr>
          <w:rFonts w:ascii="Arial" w:hAnsi="Arial" w:cs="Arial"/>
          <w:sz w:val="20"/>
          <w:szCs w:val="20"/>
        </w:rPr>
        <w:t xml:space="preserve"> </w:t>
      </w:r>
      <w:r w:rsidR="00CB0B74" w:rsidRPr="00EB6DED">
        <w:rPr>
          <w:rFonts w:ascii="Arial" w:hAnsi="Arial" w:cs="Arial"/>
          <w:sz w:val="20"/>
          <w:szCs w:val="20"/>
        </w:rPr>
        <w:t>cấp</w:t>
      </w:r>
      <w:r w:rsidR="006419E5" w:rsidRPr="00EB6DED">
        <w:rPr>
          <w:rFonts w:ascii="Arial" w:hAnsi="Arial" w:cs="Arial"/>
          <w:sz w:val="20"/>
          <w:szCs w:val="20"/>
        </w:rPr>
        <w:t xml:space="preserve"> </w:t>
      </w:r>
      <w:r w:rsidR="009B0678" w:rsidRPr="00EB6DED">
        <w:rPr>
          <w:rFonts w:ascii="Arial" w:hAnsi="Arial" w:cs="Arial"/>
          <w:sz w:val="20"/>
          <w:szCs w:val="20"/>
          <w:lang w:val="en-US"/>
        </w:rPr>
        <w:t xml:space="preserve">bổ </w:t>
      </w:r>
      <w:r w:rsidR="006419E5" w:rsidRPr="00EB6DED">
        <w:rPr>
          <w:rFonts w:ascii="Arial" w:hAnsi="Arial" w:cs="Arial"/>
          <w:sz w:val="20"/>
          <w:szCs w:val="20"/>
        </w:rPr>
        <w:t>s</w:t>
      </w:r>
      <w:r w:rsidR="009B0678" w:rsidRPr="00EB6DED">
        <w:rPr>
          <w:rFonts w:ascii="Arial" w:hAnsi="Arial" w:cs="Arial"/>
          <w:sz w:val="20"/>
          <w:szCs w:val="20"/>
        </w:rPr>
        <w:t>ung bảo đảm chi trả kịp thời, đầ</w:t>
      </w:r>
      <w:r w:rsidR="006419E5" w:rsidRPr="00EB6DED">
        <w:rPr>
          <w:rFonts w:ascii="Arial" w:hAnsi="Arial" w:cs="Arial"/>
          <w:sz w:val="20"/>
          <w:szCs w:val="20"/>
        </w:rPr>
        <w:t>y đủ chi phí giám định tư pháp theo quy định của pháp luật về ngân sách nhà nước.”;</w:t>
      </w:r>
    </w:p>
    <w:p w:rsidR="00765FDA" w:rsidRPr="00EB6DED" w:rsidRDefault="009B0678" w:rsidP="00C00499">
      <w:pPr>
        <w:pStyle w:val="BodyText"/>
        <w:shd w:val="clear" w:color="auto" w:fill="auto"/>
        <w:tabs>
          <w:tab w:val="left" w:pos="11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Sửa đổi, bổ sung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“3. 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w:t>
      </w:r>
      <w:r w:rsidR="00175EC3" w:rsidRPr="00EB6DED">
        <w:rPr>
          <w:rFonts w:ascii="Arial" w:hAnsi="Arial" w:cs="Arial"/>
          <w:sz w:val="20"/>
          <w:szCs w:val="20"/>
        </w:rPr>
        <w:t>t luận giám định tư pháp, nhu cầ</w:t>
      </w:r>
      <w:r w:rsidRPr="00EB6DED">
        <w:rPr>
          <w:rFonts w:ascii="Arial" w:hAnsi="Arial" w:cs="Arial"/>
          <w:sz w:val="20"/>
          <w:szCs w:val="20"/>
        </w:rPr>
        <w:t xml:space="preserve">u giám định trong </w:t>
      </w:r>
      <w:r w:rsidR="006030BD" w:rsidRPr="00EB6DED">
        <w:rPr>
          <w:rFonts w:ascii="Arial" w:hAnsi="Arial" w:cs="Arial"/>
          <w:sz w:val="20"/>
          <w:szCs w:val="20"/>
        </w:rPr>
        <w:t>hệ thống</w:t>
      </w:r>
      <w:r w:rsidRPr="00EB6DED">
        <w:rPr>
          <w:rFonts w:ascii="Arial" w:hAnsi="Arial" w:cs="Arial"/>
          <w:sz w:val="20"/>
          <w:szCs w:val="20"/>
        </w:rPr>
        <w:t xml:space="preserve"> cơ quan </w:t>
      </w:r>
      <w:r w:rsidR="00433289" w:rsidRPr="00EB6DED">
        <w:rPr>
          <w:rFonts w:ascii="Arial" w:hAnsi="Arial" w:cs="Arial"/>
          <w:sz w:val="20"/>
          <w:szCs w:val="20"/>
        </w:rPr>
        <w:t>điều</w:t>
      </w:r>
      <w:r w:rsidRPr="00EB6DED">
        <w:rPr>
          <w:rFonts w:ascii="Arial" w:hAnsi="Arial" w:cs="Arial"/>
          <w:sz w:val="20"/>
          <w:szCs w:val="20"/>
        </w:rPr>
        <w:t xml:space="preserve"> tra thuộc </w:t>
      </w:r>
      <w:r w:rsidR="00197445" w:rsidRPr="00EB6DED">
        <w:rPr>
          <w:rFonts w:ascii="Arial" w:hAnsi="Arial" w:cs="Arial"/>
          <w:sz w:val="20"/>
          <w:szCs w:val="20"/>
        </w:rPr>
        <w:t>thẩm quyền</w:t>
      </w:r>
      <w:r w:rsidRPr="00EB6DED">
        <w:rPr>
          <w:rFonts w:ascii="Arial" w:hAnsi="Arial" w:cs="Arial"/>
          <w:sz w:val="20"/>
          <w:szCs w:val="20"/>
        </w:rPr>
        <w:t xml:space="preserve"> quản lý.”.</w:t>
      </w:r>
    </w:p>
    <w:p w:rsidR="00765FDA" w:rsidRPr="00EB6DED" w:rsidRDefault="00175EC3"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25. </w:t>
      </w:r>
      <w:r w:rsidR="006419E5" w:rsidRPr="00EB6DED">
        <w:rPr>
          <w:rFonts w:ascii="Arial" w:hAnsi="Arial" w:cs="Arial"/>
          <w:sz w:val="20"/>
          <w:szCs w:val="20"/>
        </w:rPr>
        <w:t>Sử</w:t>
      </w:r>
      <w:r w:rsidR="00DC7ABC" w:rsidRPr="00EB6DED">
        <w:rPr>
          <w:rFonts w:ascii="Arial" w:hAnsi="Arial" w:cs="Arial"/>
          <w:sz w:val="20"/>
          <w:szCs w:val="20"/>
        </w:rPr>
        <w:t>a đổi, bổ sung một số điểm, khoả</w:t>
      </w:r>
      <w:r w:rsidR="006419E5" w:rsidRPr="00EB6DED">
        <w:rPr>
          <w:rFonts w:ascii="Arial" w:hAnsi="Arial" w:cs="Arial"/>
          <w:sz w:val="20"/>
          <w:szCs w:val="20"/>
        </w:rPr>
        <w:t>n của Điều 43 như sau:</w:t>
      </w:r>
    </w:p>
    <w:p w:rsidR="00765FDA" w:rsidRPr="00EB6DED" w:rsidRDefault="00DC7ABC" w:rsidP="00C00499">
      <w:pPr>
        <w:pStyle w:val="BodyText"/>
        <w:shd w:val="clear" w:color="auto" w:fill="auto"/>
        <w:tabs>
          <w:tab w:val="left" w:pos="11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Pr="00EB6DED">
        <w:rPr>
          <w:rFonts w:ascii="Arial" w:hAnsi="Arial" w:cs="Arial"/>
          <w:sz w:val="20"/>
          <w:szCs w:val="20"/>
        </w:rPr>
        <w:t>Sửa</w:t>
      </w:r>
      <w:r w:rsidR="006419E5" w:rsidRPr="00EB6DED">
        <w:rPr>
          <w:rFonts w:ascii="Arial" w:hAnsi="Arial" w:cs="Arial"/>
          <w:sz w:val="20"/>
          <w:szCs w:val="20"/>
        </w:rPr>
        <w:t xml:space="preserve"> đổi, bổ sung các điểm </w:t>
      </w:r>
      <w:r w:rsidR="006419E5" w:rsidRPr="00EB6DED">
        <w:rPr>
          <w:rFonts w:ascii="Arial" w:hAnsi="Arial" w:cs="Arial"/>
          <w:sz w:val="20"/>
          <w:szCs w:val="20"/>
          <w:lang w:val="en-US" w:eastAsia="en-US" w:bidi="en-US"/>
        </w:rPr>
        <w:t xml:space="preserve">a, </w:t>
      </w:r>
      <w:r w:rsidR="006419E5" w:rsidRPr="00EB6DED">
        <w:rPr>
          <w:rFonts w:ascii="Arial" w:hAnsi="Arial" w:cs="Arial"/>
          <w:sz w:val="20"/>
          <w:szCs w:val="20"/>
        </w:rPr>
        <w:t>b, c, d và đ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“a) Thành lập tổ chức giám định tư pháp công lập; quyết định cho phép thành lập Văn phòng giám định tư pháp;</w:t>
      </w:r>
    </w:p>
    <w:p w:rsidR="00765FDA" w:rsidRPr="00EB6DED" w:rsidRDefault="00DC7ABC"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đồng thời gửi danh sách đó cho Bộ Tư pháp;</w:t>
      </w:r>
    </w:p>
    <w:p w:rsidR="00765FDA" w:rsidRPr="00EB6DED" w:rsidRDefault="00DF3304"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Bảo đảm kinh phí, trang thiết bị, phương tiện giám định và điều kiện vật chất cần thiết khác cho cá nhân, tổ chức giám định tư pháp thuộc thẩm quyền quản lý;</w:t>
      </w:r>
    </w:p>
    <w:p w:rsidR="00765FDA" w:rsidRPr="00EB6DED" w:rsidRDefault="00CD6A12"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Tổ chức bồi dưỡng kiến thức pháp luật cho người giám định tư pháp ở địa phương;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 xml:space="preserve">đ) 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w:t>
      </w:r>
      <w:r w:rsidR="00E31F1D" w:rsidRPr="00EB6DED">
        <w:rPr>
          <w:rFonts w:ascii="Arial" w:hAnsi="Arial" w:cs="Arial"/>
          <w:sz w:val="20"/>
          <w:szCs w:val="20"/>
          <w:lang w:val="en-US"/>
        </w:rPr>
        <w:t xml:space="preserve">giám định </w:t>
      </w:r>
      <w:r w:rsidR="00792ADA" w:rsidRPr="00EB6DED">
        <w:rPr>
          <w:rFonts w:ascii="Arial" w:hAnsi="Arial" w:cs="Arial"/>
          <w:sz w:val="20"/>
          <w:szCs w:val="20"/>
        </w:rPr>
        <w:t>tư pháp và báo cáo kết quả</w:t>
      </w:r>
      <w:r w:rsidRPr="00EB6DED">
        <w:rPr>
          <w:rFonts w:ascii="Arial" w:hAnsi="Arial" w:cs="Arial"/>
          <w:sz w:val="20"/>
          <w:szCs w:val="20"/>
        </w:rPr>
        <w:t xml:space="preserve"> cho Bộ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 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“2. Sở Tư pháp có trách nhiệm giúp </w:t>
      </w:r>
      <w:r w:rsidR="0027113F" w:rsidRPr="00EB6DED">
        <w:rPr>
          <w:rFonts w:ascii="Arial" w:hAnsi="Arial" w:cs="Arial"/>
          <w:sz w:val="20"/>
          <w:szCs w:val="20"/>
        </w:rPr>
        <w:t>Ủy ban</w:t>
      </w:r>
      <w:r w:rsidR="001E62FD" w:rsidRPr="00EB6DED">
        <w:rPr>
          <w:rFonts w:ascii="Arial" w:hAnsi="Arial" w:cs="Arial"/>
          <w:sz w:val="20"/>
          <w:szCs w:val="20"/>
        </w:rPr>
        <w:t xml:space="preserve"> nhân dân cấp tỉnh quả</w:t>
      </w:r>
      <w:r w:rsidRPr="00EB6DED">
        <w:rPr>
          <w:rFonts w:ascii="Arial" w:hAnsi="Arial" w:cs="Arial"/>
          <w:sz w:val="20"/>
          <w:szCs w:val="20"/>
        </w:rPr>
        <w:t xml:space="preserve">n lý nhà nước về giám định tư pháp ở địa phương; chủ trì, phối hợp với cơ quan chuyên môn khác giúp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hoạt động của Văn phòng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lĩnh vực giám định tư pháp chịu trách nhiệm trước </w:t>
      </w:r>
      <w:r w:rsidR="0027113F" w:rsidRPr="00EB6DED">
        <w:rPr>
          <w:rFonts w:ascii="Arial" w:hAnsi="Arial" w:cs="Arial"/>
          <w:sz w:val="20"/>
          <w:szCs w:val="20"/>
        </w:rPr>
        <w:t>Ủy ban</w:t>
      </w:r>
      <w:r w:rsidRPr="00EB6DED">
        <w:rPr>
          <w:rFonts w:ascii="Arial" w:hAnsi="Arial" w:cs="Arial"/>
          <w:sz w:val="20"/>
          <w:szCs w:val="20"/>
        </w:rPr>
        <w:t xml:space="preserve"> nhân dân cấp tỉnh về tổ chức, hoạt động giám định tư pháp thuộc lĩnh vực quản lý; </w:t>
      </w:r>
      <w:r w:rsidR="0003531E" w:rsidRPr="00EB6DED">
        <w:rPr>
          <w:rFonts w:ascii="Arial" w:hAnsi="Arial" w:cs="Arial"/>
          <w:sz w:val="20"/>
          <w:szCs w:val="20"/>
        </w:rPr>
        <w:t>phối hợ</w:t>
      </w:r>
      <w:r w:rsidRPr="00EB6DED">
        <w:rPr>
          <w:rFonts w:ascii="Arial" w:hAnsi="Arial" w:cs="Arial"/>
          <w:sz w:val="20"/>
          <w:szCs w:val="20"/>
        </w:rPr>
        <w:t xml:space="preserve">p với Sở Tư pháp giúp </w:t>
      </w:r>
      <w:r w:rsidR="0027113F" w:rsidRPr="00EB6DED">
        <w:rPr>
          <w:rFonts w:ascii="Arial" w:hAnsi="Arial" w:cs="Arial"/>
          <w:sz w:val="20"/>
          <w:szCs w:val="20"/>
        </w:rPr>
        <w:t>Ủy ban</w:t>
      </w:r>
      <w:r w:rsidRPr="00EB6DED">
        <w:rPr>
          <w:rFonts w:ascii="Arial" w:hAnsi="Arial" w:cs="Arial"/>
          <w:sz w:val="20"/>
          <w:szCs w:val="20"/>
        </w:rPr>
        <w:t xml:space="preserve">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p w:rsidR="00765FDA" w:rsidRPr="00EB6DED" w:rsidRDefault="005B127B" w:rsidP="00C00499">
      <w:pPr>
        <w:pStyle w:val="BodyText"/>
        <w:shd w:val="clear" w:color="auto" w:fill="auto"/>
        <w:tabs>
          <w:tab w:val="left" w:pos="120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26. </w:t>
      </w:r>
      <w:r w:rsidR="006419E5" w:rsidRPr="00EB6DED">
        <w:rPr>
          <w:rFonts w:ascii="Arial" w:hAnsi="Arial" w:cs="Arial"/>
          <w:sz w:val="20"/>
          <w:szCs w:val="20"/>
        </w:rPr>
        <w:t>Sửa đổi, bổ sung một số khoản của Điều 44 như sau:</w:t>
      </w:r>
    </w:p>
    <w:p w:rsidR="00765FDA" w:rsidRPr="00EB6DED" w:rsidRDefault="003060E3" w:rsidP="00C00499">
      <w:pPr>
        <w:pStyle w:val="BodyText"/>
        <w:shd w:val="clear" w:color="auto" w:fill="auto"/>
        <w:tabs>
          <w:tab w:val="left" w:pos="10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w:t>
      </w:r>
      <w:r w:rsidR="005F717B" w:rsidRPr="00EB6DED">
        <w:rPr>
          <w:rFonts w:ascii="Arial" w:hAnsi="Arial" w:cs="Arial"/>
          <w:sz w:val="20"/>
          <w:szCs w:val="20"/>
        </w:rPr>
        <w:t>áo về Bộ Tư pháp, bộ, ngành có li</w:t>
      </w:r>
      <w:r w:rsidRPr="00EB6DED">
        <w:rPr>
          <w:rFonts w:ascii="Arial" w:hAnsi="Arial" w:cs="Arial"/>
          <w:sz w:val="20"/>
          <w:szCs w:val="20"/>
        </w:rPr>
        <w:t>ên quan; chỉ đạo Tòa án nhân dân, Viện kiểm sát nhân dân cấp tỉnh gửi báo cáo về Sở Tư ph</w:t>
      </w:r>
      <w:r w:rsidR="005F717B" w:rsidRPr="00EB6DED">
        <w:rPr>
          <w:rFonts w:ascii="Arial" w:hAnsi="Arial" w:cs="Arial"/>
          <w:sz w:val="20"/>
          <w:szCs w:val="20"/>
        </w:rPr>
        <w:t>áp, đồng thời gửi sở, ngành có liên quan về tình hì</w:t>
      </w:r>
      <w:r w:rsidRPr="00EB6DED">
        <w:rPr>
          <w:rFonts w:ascii="Arial" w:hAnsi="Arial" w:cs="Arial"/>
          <w:sz w:val="20"/>
          <w:szCs w:val="20"/>
        </w:rPr>
        <w:t xml:space="preserve">nh trưng cầu giám định tư pháp, đánh giá việc thực hiện giám định tư pháp và sử dụng </w:t>
      </w:r>
      <w:r w:rsidR="00654344" w:rsidRPr="00EB6DED">
        <w:rPr>
          <w:rFonts w:ascii="Arial" w:hAnsi="Arial" w:cs="Arial"/>
          <w:sz w:val="20"/>
          <w:szCs w:val="20"/>
        </w:rPr>
        <w:t>kết</w:t>
      </w:r>
      <w:r w:rsidRPr="00EB6DED">
        <w:rPr>
          <w:rFonts w:ascii="Arial" w:hAnsi="Arial" w:cs="Arial"/>
          <w:sz w:val="20"/>
          <w:szCs w:val="20"/>
        </w:rPr>
        <w:t xml:space="preserve"> luận giám định tư pháp, nhu cầu giám định ở địa phương.”;</w:t>
      </w:r>
    </w:p>
    <w:p w:rsidR="00765FDA" w:rsidRPr="00EB6DED" w:rsidRDefault="00E61F3D" w:rsidP="00C00499">
      <w:pPr>
        <w:pStyle w:val="BodyText"/>
        <w:shd w:val="clear" w:color="auto" w:fill="auto"/>
        <w:tabs>
          <w:tab w:val="left" w:pos="1144"/>
        </w:tabs>
        <w:spacing w:after="120" w:line="240" w:lineRule="auto"/>
        <w:ind w:firstLine="720"/>
        <w:jc w:val="both"/>
        <w:rPr>
          <w:rFonts w:ascii="Arial" w:hAnsi="Arial" w:cs="Arial"/>
          <w:sz w:val="20"/>
          <w:szCs w:val="20"/>
          <w:lang w:val="en-US"/>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khoản 4, bổ sung khoản 5 và khoản 6 vào sau khoản 4</w:t>
      </w:r>
      <w:r w:rsidR="00A212EF" w:rsidRPr="00EB6DED">
        <w:rPr>
          <w:rFonts w:ascii="Arial" w:hAnsi="Arial" w:cs="Arial"/>
          <w:sz w:val="20"/>
          <w:szCs w:val="20"/>
          <w:lang w:val="en-US"/>
        </w:rPr>
        <w:t xml:space="preserve"> </w:t>
      </w:r>
      <w:r w:rsidR="00A212EF" w:rsidRPr="00EB6DED">
        <w:rPr>
          <w:rFonts w:ascii="Arial" w:hAnsi="Arial" w:cs="Arial"/>
          <w:sz w:val="20"/>
          <w:szCs w:val="20"/>
        </w:rPr>
        <w:t>như sau</w:t>
      </w:r>
      <w:r w:rsidR="00A212EF" w:rsidRPr="00EB6DED">
        <w:rPr>
          <w:rFonts w:ascii="Arial" w:hAnsi="Arial" w:cs="Arial"/>
          <w:sz w:val="20"/>
          <w:szCs w:val="20"/>
          <w:lang w:val="en-US"/>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“4. Lập dự toán và đề nghị cơ quan có thẩm quyền cấp kinh phí bảo đảm </w:t>
      </w:r>
      <w:r w:rsidR="003E0AE5">
        <w:rPr>
          <w:rFonts w:ascii="Arial" w:hAnsi="Arial" w:cs="Arial"/>
          <w:sz w:val="20"/>
          <w:szCs w:val="20"/>
        </w:rPr>
        <w:t>chi trả chi phí giám định tư phá</w:t>
      </w:r>
      <w:r w:rsidRPr="00EB6DED">
        <w:rPr>
          <w:rFonts w:ascii="Arial" w:hAnsi="Arial" w:cs="Arial"/>
          <w:sz w:val="20"/>
          <w:szCs w:val="20"/>
        </w:rPr>
        <w:t xml:space="preserve">p, chi phí tham dự phiên tòa của người giám định trong </w:t>
      </w:r>
      <w:r w:rsidR="006030BD" w:rsidRPr="00EB6DED">
        <w:rPr>
          <w:rFonts w:ascii="Arial" w:hAnsi="Arial" w:cs="Arial"/>
          <w:sz w:val="20"/>
          <w:szCs w:val="20"/>
        </w:rPr>
        <w:t>hệ thống</w:t>
      </w:r>
      <w:r w:rsidR="003E0AE5">
        <w:rPr>
          <w:rFonts w:ascii="Arial" w:hAnsi="Arial" w:cs="Arial"/>
          <w:sz w:val="20"/>
          <w:szCs w:val="20"/>
        </w:rPr>
        <w:t xml:space="preserve"> cơ quan Tòa án nhân dân</w:t>
      </w:r>
      <w:r w:rsidRPr="00EB6DED">
        <w:rPr>
          <w:rFonts w:ascii="Arial" w:hAnsi="Arial" w:cs="Arial"/>
          <w:sz w:val="20"/>
          <w:szCs w:val="20"/>
        </w:rPr>
        <w:t xml:space="preserve">, Viện </w:t>
      </w:r>
      <w:r w:rsidR="00A84E92" w:rsidRPr="00EB6DED">
        <w:rPr>
          <w:rFonts w:ascii="Arial" w:hAnsi="Arial" w:cs="Arial"/>
          <w:sz w:val="20"/>
          <w:szCs w:val="20"/>
        </w:rPr>
        <w:t>kiểm sát</w:t>
      </w:r>
      <w:r w:rsidRPr="00EB6DED">
        <w:rPr>
          <w:rFonts w:ascii="Arial" w:hAnsi="Arial" w:cs="Arial"/>
          <w:sz w:val="20"/>
          <w:szCs w:val="20"/>
        </w:rPr>
        <w:t xml:space="preserve"> nhân dân; trường hợp kinh phí được cấp không đủ thì lập dự toán để cấp bổ s</w:t>
      </w:r>
      <w:r w:rsidR="00C13BEA" w:rsidRPr="00EB6DED">
        <w:rPr>
          <w:rFonts w:ascii="Arial" w:hAnsi="Arial" w:cs="Arial"/>
          <w:sz w:val="20"/>
          <w:szCs w:val="20"/>
        </w:rPr>
        <w:t>ung bảo đảm chi trả kịp thời, đầ</w:t>
      </w:r>
      <w:r w:rsidRPr="00EB6DED">
        <w:rPr>
          <w:rFonts w:ascii="Arial" w:hAnsi="Arial" w:cs="Arial"/>
          <w:sz w:val="20"/>
          <w:szCs w:val="20"/>
        </w:rPr>
        <w:t xml:space="preserve">y đủ chi phí giám định tư pháp và chi phí tham dự phiên tòa của người giám định theo quy định của pháp luật </w:t>
      </w:r>
      <w:r w:rsidR="00424861" w:rsidRPr="00EB6DED">
        <w:rPr>
          <w:rFonts w:ascii="Arial" w:hAnsi="Arial" w:cs="Arial"/>
          <w:sz w:val="20"/>
          <w:szCs w:val="20"/>
        </w:rPr>
        <w:t>về</w:t>
      </w:r>
      <w:r w:rsidRPr="00EB6DED">
        <w:rPr>
          <w:rFonts w:ascii="Arial" w:hAnsi="Arial" w:cs="Arial"/>
          <w:sz w:val="20"/>
          <w:szCs w:val="20"/>
        </w:rPr>
        <w:t xml:space="preserve"> ngân sách nhà nước.</w:t>
      </w:r>
    </w:p>
    <w:p w:rsidR="00765FDA" w:rsidRPr="00EB6DED" w:rsidRDefault="00424861" w:rsidP="00C00499">
      <w:pPr>
        <w:pStyle w:val="BodyText"/>
        <w:shd w:val="clear" w:color="auto" w:fill="auto"/>
        <w:tabs>
          <w:tab w:val="left" w:pos="10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Chánh án Tòa án nhân dân tối cao quy định việc bố trí vị trí của người giám định tư pháp khi tham gia tố tụng tại phiên tòa.</w:t>
      </w:r>
    </w:p>
    <w:p w:rsidR="00765FDA" w:rsidRPr="00EB6DED" w:rsidRDefault="00DD3D68"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6. </w:t>
      </w:r>
      <w:r w:rsidR="006419E5" w:rsidRPr="00EB6DED">
        <w:rPr>
          <w:rFonts w:ascii="Arial" w:hAnsi="Arial" w:cs="Arial"/>
          <w:sz w:val="20"/>
          <w:szCs w:val="20"/>
        </w:rPr>
        <w:t>Viện kiểm sát nhân dân tối</w:t>
      </w:r>
      <w:r w:rsidR="006052BA" w:rsidRPr="00EB6DED">
        <w:rPr>
          <w:rFonts w:ascii="Arial" w:hAnsi="Arial" w:cs="Arial"/>
          <w:sz w:val="20"/>
          <w:szCs w:val="20"/>
        </w:rPr>
        <w:t xml:space="preserve"> cao có trách nhiệm chủ trì,</w:t>
      </w:r>
      <w:r w:rsidR="006419E5" w:rsidRPr="00EB6DED">
        <w:rPr>
          <w:rFonts w:ascii="Arial" w:hAnsi="Arial" w:cs="Arial"/>
          <w:sz w:val="20"/>
          <w:szCs w:val="20"/>
        </w:rPr>
        <w:t xml:space="preserve">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w:t>
      </w:r>
      <w:r w:rsidR="00CD01CF" w:rsidRPr="00EB6DED">
        <w:rPr>
          <w:rFonts w:ascii="Arial" w:hAnsi="Arial" w:cs="Arial"/>
          <w:sz w:val="20"/>
          <w:szCs w:val="20"/>
        </w:rPr>
        <w:t>của</w:t>
      </w:r>
      <w:r w:rsidR="006419E5" w:rsidRPr="00EB6DED">
        <w:rPr>
          <w:rFonts w:ascii="Arial" w:hAnsi="Arial" w:cs="Arial"/>
          <w:sz w:val="20"/>
          <w:szCs w:val="20"/>
        </w:rPr>
        <w:t xml:space="preserve"> Viện </w:t>
      </w:r>
      <w:r w:rsidR="00A84E92" w:rsidRPr="00EB6DED">
        <w:rPr>
          <w:rFonts w:ascii="Arial" w:hAnsi="Arial" w:cs="Arial"/>
          <w:sz w:val="20"/>
          <w:szCs w:val="20"/>
        </w:rPr>
        <w:t>kiểm sát</w:t>
      </w:r>
      <w:r w:rsidR="003A1DBA" w:rsidRPr="00EB6DED">
        <w:rPr>
          <w:rFonts w:ascii="Arial" w:hAnsi="Arial" w:cs="Arial"/>
          <w:sz w:val="20"/>
          <w:szCs w:val="20"/>
        </w:rPr>
        <w:t xml:space="preserve"> nhân dân tối cao, đồ</w:t>
      </w:r>
      <w:r w:rsidR="006419E5" w:rsidRPr="00EB6DED">
        <w:rPr>
          <w:rFonts w:ascii="Arial" w:hAnsi="Arial" w:cs="Arial"/>
          <w:sz w:val="20"/>
          <w:szCs w:val="20"/>
        </w:rPr>
        <w:t xml:space="preserve">ng thời gửi danh sách đó cho Bộ Tư pháp; </w:t>
      </w:r>
      <w:r w:rsidR="003A1DBA" w:rsidRPr="00EB6DED">
        <w:rPr>
          <w:rFonts w:ascii="Arial" w:hAnsi="Arial" w:cs="Arial"/>
          <w:sz w:val="20"/>
          <w:szCs w:val="20"/>
        </w:rPr>
        <w:t>kiểm</w:t>
      </w:r>
      <w:r w:rsidR="006419E5" w:rsidRPr="00EB6DED">
        <w:rPr>
          <w:rFonts w:ascii="Arial" w:hAnsi="Arial" w:cs="Arial"/>
          <w:sz w:val="20"/>
          <w:szCs w:val="20"/>
        </w:rPr>
        <w:t xml:space="preserve"> tra, thanh tra và giải quyết khiếu nại, tố cáo về tổ chức, hoạt động giám định tư pháp của Phòng giám định kỹ thuật hình sự thuộc thẩm quyền quản lý; hằng năm, đánh giá </w:t>
      </w:r>
      <w:r w:rsidR="006B5E56" w:rsidRPr="00EB6DED">
        <w:rPr>
          <w:rFonts w:ascii="Arial" w:hAnsi="Arial" w:cs="Arial"/>
          <w:sz w:val="20"/>
          <w:szCs w:val="20"/>
        </w:rPr>
        <w:t>chất</w:t>
      </w:r>
      <w:r w:rsidR="006419E5" w:rsidRPr="00EB6DED">
        <w:rPr>
          <w:rFonts w:ascii="Arial" w:hAnsi="Arial" w:cs="Arial"/>
          <w:sz w:val="20"/>
          <w:szCs w:val="20"/>
        </w:rPr>
        <w:t xml:space="preserve"> lượng hoạt động giám định tư pháp thuộc </w:t>
      </w:r>
      <w:r w:rsidR="00197445" w:rsidRPr="00EB6DED">
        <w:rPr>
          <w:rFonts w:ascii="Arial" w:hAnsi="Arial" w:cs="Arial"/>
          <w:sz w:val="20"/>
          <w:szCs w:val="20"/>
        </w:rPr>
        <w:t>thẩm quyền</w:t>
      </w:r>
      <w:r w:rsidR="00793C55" w:rsidRPr="00EB6DED">
        <w:rPr>
          <w:rFonts w:ascii="Arial" w:hAnsi="Arial" w:cs="Arial"/>
          <w:sz w:val="20"/>
          <w:szCs w:val="20"/>
        </w:rPr>
        <w:t xml:space="preserve"> quản lý</w:t>
      </w:r>
      <w:r w:rsidR="007A6097">
        <w:rPr>
          <w:rFonts w:ascii="Arial" w:hAnsi="Arial" w:cs="Arial"/>
          <w:sz w:val="20"/>
          <w:szCs w:val="20"/>
          <w:lang w:val="en-SG"/>
        </w:rPr>
        <w:t>;</w:t>
      </w:r>
      <w:r w:rsidR="006419E5" w:rsidRPr="00EB6DED">
        <w:rPr>
          <w:rFonts w:ascii="Arial" w:hAnsi="Arial" w:cs="Arial"/>
          <w:sz w:val="20"/>
          <w:szCs w:val="20"/>
        </w:rPr>
        <w:t xml:space="preserve"> kịp thời tôn vinh, </w:t>
      </w:r>
      <w:r w:rsidR="00793C55" w:rsidRPr="00EB6DED">
        <w:rPr>
          <w:rFonts w:ascii="Arial" w:hAnsi="Arial" w:cs="Arial"/>
          <w:sz w:val="20"/>
          <w:szCs w:val="20"/>
        </w:rPr>
        <w:t>khen thưởng cá nhân, tổ chức giá</w:t>
      </w:r>
      <w:r w:rsidR="006419E5" w:rsidRPr="00EB6DED">
        <w:rPr>
          <w:rFonts w:ascii="Arial" w:hAnsi="Arial" w:cs="Arial"/>
          <w:sz w:val="20"/>
          <w:szCs w:val="20"/>
        </w:rPr>
        <w:t xml:space="preserve">m định tư pháp thuộc thẩm quyền quản lý có thành tích xuất sắc trong hoạt động giám định tư pháp; trước ngày 31 tháng 12 hằng năm, tổng kết về tổ chức, hoạt động giám định tư pháp thuộc </w:t>
      </w:r>
      <w:r w:rsidR="00C155BD" w:rsidRPr="00EB6DED">
        <w:rPr>
          <w:rFonts w:ascii="Arial" w:hAnsi="Arial" w:cs="Arial"/>
          <w:sz w:val="20"/>
          <w:szCs w:val="20"/>
        </w:rPr>
        <w:t>thẩm</w:t>
      </w:r>
      <w:r w:rsidR="006419E5" w:rsidRPr="00EB6DED">
        <w:rPr>
          <w:rFonts w:ascii="Arial" w:hAnsi="Arial" w:cs="Arial"/>
          <w:sz w:val="20"/>
          <w:szCs w:val="20"/>
        </w:rPr>
        <w:t xml:space="preserve"> quyền quản lý và gửi báo cáo về Bộ Tư pháp để tổng hợp báo cáo Chính phủ.”.</w:t>
      </w:r>
    </w:p>
    <w:p w:rsidR="00765FDA" w:rsidRPr="00EB6DED" w:rsidRDefault="00D1744F" w:rsidP="00C00499">
      <w:pPr>
        <w:pStyle w:val="BodyText"/>
        <w:shd w:val="clear" w:color="auto" w:fill="auto"/>
        <w:tabs>
          <w:tab w:val="left" w:pos="12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27. </w:t>
      </w:r>
      <w:r w:rsidR="006419E5" w:rsidRPr="00EB6DED">
        <w:rPr>
          <w:rFonts w:ascii="Arial" w:hAnsi="Arial" w:cs="Arial"/>
          <w:sz w:val="20"/>
          <w:szCs w:val="20"/>
        </w:rPr>
        <w:t>Bãi bỏ khoản 3 Điều 45.</w:t>
      </w:r>
    </w:p>
    <w:p w:rsidR="00765FDA" w:rsidRPr="00EB6DED" w:rsidRDefault="00382BCA" w:rsidP="00C00499">
      <w:pPr>
        <w:pStyle w:val="BodyText"/>
        <w:shd w:val="clear" w:color="auto" w:fill="auto"/>
        <w:tabs>
          <w:tab w:val="left" w:pos="119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28. </w:t>
      </w:r>
      <w:r w:rsidR="006419E5" w:rsidRPr="00EB6DED">
        <w:rPr>
          <w:rFonts w:ascii="Arial" w:hAnsi="Arial" w:cs="Arial"/>
          <w:sz w:val="20"/>
          <w:szCs w:val="20"/>
        </w:rPr>
        <w:t xml:space="preserve">Thay thế cụm từ “cơ quan chuyên môn của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bằng cụm từ “cơ quan chuyên môn thuộc </w:t>
      </w:r>
      <w:r w:rsidR="0027113F" w:rsidRPr="00EB6DED">
        <w:rPr>
          <w:rFonts w:ascii="Arial" w:hAnsi="Arial" w:cs="Arial"/>
          <w:sz w:val="20"/>
          <w:szCs w:val="20"/>
        </w:rPr>
        <w:t>Ủy ban</w:t>
      </w:r>
      <w:r w:rsidR="00280DD9" w:rsidRPr="00EB6DED">
        <w:rPr>
          <w:rFonts w:ascii="Arial" w:hAnsi="Arial" w:cs="Arial"/>
          <w:sz w:val="20"/>
          <w:szCs w:val="20"/>
        </w:rPr>
        <w:t xml:space="preserve"> nhân dân cấp tỉ</w:t>
      </w:r>
      <w:r w:rsidR="006419E5" w:rsidRPr="00EB6DED">
        <w:rPr>
          <w:rFonts w:ascii="Arial" w:hAnsi="Arial" w:cs="Arial"/>
          <w:sz w:val="20"/>
          <w:szCs w:val="20"/>
        </w:rPr>
        <w:t>nh” tại khoản 3 Điều 16, khoản 3 Điều 17 và khoản 3 Điều 19.</w:t>
      </w:r>
    </w:p>
    <w:p w:rsidR="00765FDA" w:rsidRPr="00EB6DED" w:rsidRDefault="006419E5" w:rsidP="00C00499">
      <w:pPr>
        <w:pStyle w:val="BodyText"/>
        <w:shd w:val="clear" w:color="auto" w:fill="auto"/>
        <w:spacing w:after="120" w:line="240" w:lineRule="auto"/>
        <w:ind w:firstLine="720"/>
        <w:jc w:val="both"/>
        <w:rPr>
          <w:rFonts w:ascii="Arial" w:hAnsi="Arial" w:cs="Arial"/>
          <w:b/>
          <w:sz w:val="20"/>
          <w:szCs w:val="20"/>
        </w:rPr>
      </w:pPr>
      <w:r w:rsidRPr="00EB6DED">
        <w:rPr>
          <w:rFonts w:ascii="Arial" w:hAnsi="Arial" w:cs="Arial"/>
          <w:b/>
          <w:sz w:val="20"/>
          <w:szCs w:val="20"/>
        </w:rPr>
        <w:t>Điều. 2. Hiệu lực thi hành</w:t>
      </w:r>
    </w:p>
    <w:p w:rsidR="00765FDA" w:rsidRPr="00EB6DED" w:rsidRDefault="006419E5" w:rsidP="00C00499">
      <w:pPr>
        <w:pStyle w:val="BodyText"/>
        <w:shd w:val="clear" w:color="auto" w:fill="auto"/>
        <w:spacing w:after="0" w:line="240" w:lineRule="auto"/>
        <w:ind w:firstLine="720"/>
        <w:jc w:val="both"/>
        <w:rPr>
          <w:rFonts w:ascii="Arial" w:hAnsi="Arial" w:cs="Arial"/>
          <w:sz w:val="20"/>
          <w:szCs w:val="20"/>
        </w:rPr>
      </w:pPr>
      <w:r w:rsidRPr="00EB6DED">
        <w:rPr>
          <w:rFonts w:ascii="Arial" w:hAnsi="Arial" w:cs="Arial"/>
          <w:sz w:val="20"/>
          <w:szCs w:val="20"/>
        </w:rPr>
        <w:t>Luật này có hiệu lực thi hành từ ngày 01 tháng 01 năm 2021.</w:t>
      </w:r>
    </w:p>
    <w:p w:rsidR="00D65C22" w:rsidRPr="00EB6DED" w:rsidRDefault="00D65C22" w:rsidP="00C00499">
      <w:pPr>
        <w:pStyle w:val="BodyText"/>
        <w:shd w:val="clear" w:color="auto" w:fill="auto"/>
        <w:spacing w:after="0" w:line="240" w:lineRule="auto"/>
        <w:ind w:firstLine="720"/>
        <w:jc w:val="both"/>
        <w:rPr>
          <w:rFonts w:ascii="Arial" w:hAnsi="Arial" w:cs="Arial"/>
          <w:sz w:val="20"/>
          <w:szCs w:val="20"/>
        </w:rPr>
      </w:pPr>
    </w:p>
    <w:p w:rsidR="00D65C22" w:rsidRPr="00EB6DED" w:rsidRDefault="00D65C22" w:rsidP="00C00499">
      <w:pPr>
        <w:pStyle w:val="BodyText"/>
        <w:shd w:val="clear" w:color="auto" w:fill="auto"/>
        <w:spacing w:after="120" w:line="240" w:lineRule="auto"/>
        <w:ind w:firstLine="720"/>
        <w:jc w:val="both"/>
        <w:rPr>
          <w:rFonts w:ascii="Arial" w:hAnsi="Arial" w:cs="Arial"/>
          <w:sz w:val="20"/>
          <w:szCs w:val="20"/>
          <w:lang w:val="en-US"/>
        </w:rPr>
      </w:pPr>
      <w:r w:rsidRPr="00EB6DED">
        <w:rPr>
          <w:rFonts w:ascii="Arial" w:hAnsi="Arial" w:cs="Arial"/>
          <w:sz w:val="20"/>
          <w:szCs w:val="20"/>
          <w:lang w:val="en-US"/>
        </w:rPr>
        <w:t>____________________________________</w:t>
      </w:r>
    </w:p>
    <w:p w:rsidR="00765FDA" w:rsidRPr="00EB6DED" w:rsidRDefault="006419E5" w:rsidP="00C00499">
      <w:pPr>
        <w:pStyle w:val="BodyText"/>
        <w:shd w:val="clear" w:color="auto" w:fill="auto"/>
        <w:spacing w:after="0" w:line="240" w:lineRule="auto"/>
        <w:ind w:firstLine="720"/>
        <w:jc w:val="both"/>
        <w:rPr>
          <w:rFonts w:ascii="Arial" w:hAnsi="Arial" w:cs="Arial"/>
          <w:sz w:val="20"/>
          <w:szCs w:val="20"/>
        </w:rPr>
        <w:sectPr w:rsidR="00765FDA" w:rsidRPr="00EB6DED" w:rsidSect="00EF4481">
          <w:footerReference w:type="default" r:id="rId7"/>
          <w:pgSz w:w="11900" w:h="16840" w:code="9"/>
          <w:pgMar w:top="1440" w:right="1440" w:bottom="1440" w:left="1440" w:header="0" w:footer="0" w:gutter="0"/>
          <w:cols w:space="720"/>
          <w:noEndnote/>
          <w:docGrid w:linePitch="360"/>
        </w:sectPr>
      </w:pPr>
      <w:r w:rsidRPr="00EB6DED">
        <w:rPr>
          <w:rFonts w:ascii="Arial" w:hAnsi="Arial" w:cs="Arial"/>
          <w:i/>
          <w:iCs/>
          <w:sz w:val="20"/>
          <w:szCs w:val="20"/>
        </w:rPr>
        <w:t>Luậ</w:t>
      </w:r>
      <w:r w:rsidR="00D65C22" w:rsidRPr="00EB6DED">
        <w:rPr>
          <w:rFonts w:ascii="Arial" w:hAnsi="Arial" w:cs="Arial"/>
          <w:i/>
          <w:iCs/>
          <w:sz w:val="20"/>
          <w:szCs w:val="20"/>
        </w:rPr>
        <w:t>t này được Quốc hội nước Cộng hò</w:t>
      </w:r>
      <w:r w:rsidRPr="00EB6DED">
        <w:rPr>
          <w:rFonts w:ascii="Arial" w:hAnsi="Arial" w:cs="Arial"/>
          <w:i/>
          <w:iCs/>
          <w:sz w:val="20"/>
          <w:szCs w:val="20"/>
        </w:rPr>
        <w:t>a xã hội chủ nghĩa Việt Nam khóa XIV, kỳ họp thứ 9 thông qua ngày 10 tháng 6 năm 2020.</w:t>
      </w:r>
    </w:p>
    <w:p w:rsidR="00765FDA" w:rsidRPr="00EB6DED" w:rsidRDefault="00765FDA" w:rsidP="00C00499">
      <w:pPr>
        <w:ind w:firstLine="720"/>
        <w:jc w:val="both"/>
        <w:rPr>
          <w:rFonts w:ascii="Arial" w:hAnsi="Arial" w:cs="Arial"/>
          <w:sz w:val="20"/>
          <w:szCs w:val="20"/>
        </w:rPr>
      </w:pPr>
    </w:p>
    <w:tbl>
      <w:tblPr>
        <w:tblW w:w="5000" w:type="pct"/>
        <w:tblLook w:val="04A0" w:firstRow="1" w:lastRow="0" w:firstColumn="1" w:lastColumn="0" w:noHBand="0" w:noVBand="1"/>
      </w:tblPr>
      <w:tblGrid>
        <w:gridCol w:w="4533"/>
        <w:gridCol w:w="4487"/>
      </w:tblGrid>
      <w:tr w:rsidR="00A212EF" w:rsidRPr="006419E5" w:rsidTr="000A5148">
        <w:trPr>
          <w:trHeight w:val="340"/>
        </w:trPr>
        <w:tc>
          <w:tcPr>
            <w:tcW w:w="2513" w:type="pct"/>
            <w:shd w:val="clear" w:color="auto" w:fill="auto"/>
          </w:tcPr>
          <w:p w:rsidR="00A212EF" w:rsidRPr="006419E5" w:rsidRDefault="00A212EF" w:rsidP="006419E5">
            <w:pPr>
              <w:jc w:val="center"/>
              <w:rPr>
                <w:rFonts w:ascii="Arial" w:hAnsi="Arial" w:cs="Arial"/>
                <w:sz w:val="20"/>
                <w:szCs w:val="20"/>
              </w:rPr>
            </w:pPr>
          </w:p>
        </w:tc>
        <w:tc>
          <w:tcPr>
            <w:tcW w:w="2487" w:type="pct"/>
            <w:shd w:val="clear" w:color="auto" w:fill="auto"/>
          </w:tcPr>
          <w:p w:rsidR="00A212EF" w:rsidRDefault="00A212EF" w:rsidP="006419E5">
            <w:pPr>
              <w:pStyle w:val="Bodytext20"/>
              <w:shd w:val="clear" w:color="auto" w:fill="auto"/>
              <w:spacing w:line="240" w:lineRule="auto"/>
              <w:jc w:val="center"/>
              <w:rPr>
                <w:rFonts w:ascii="Arial" w:hAnsi="Arial" w:cs="Arial"/>
                <w:sz w:val="20"/>
                <w:szCs w:val="20"/>
              </w:rPr>
            </w:pPr>
            <w:r w:rsidRPr="006419E5">
              <w:rPr>
                <w:rFonts w:ascii="Arial" w:hAnsi="Arial" w:cs="Arial"/>
                <w:sz w:val="20"/>
                <w:szCs w:val="20"/>
              </w:rPr>
              <w:t xml:space="preserve">CHỦ TỊCH </w:t>
            </w:r>
            <w:r w:rsidR="00B56B95" w:rsidRPr="006419E5">
              <w:rPr>
                <w:rFonts w:ascii="Arial" w:hAnsi="Arial" w:cs="Arial"/>
                <w:sz w:val="20"/>
                <w:szCs w:val="20"/>
              </w:rPr>
              <w:t>QUỐC</w:t>
            </w:r>
            <w:r w:rsidRPr="006419E5">
              <w:rPr>
                <w:rFonts w:ascii="Arial" w:hAnsi="Arial" w:cs="Arial"/>
                <w:sz w:val="20"/>
                <w:szCs w:val="20"/>
              </w:rPr>
              <w:t xml:space="preserve"> HỘI</w:t>
            </w:r>
          </w:p>
          <w:p w:rsidR="000A5148" w:rsidRPr="006419E5" w:rsidRDefault="000A5148" w:rsidP="000A5148">
            <w:pPr>
              <w:pStyle w:val="Bodytext20"/>
              <w:shd w:val="clear" w:color="auto" w:fill="auto"/>
              <w:spacing w:line="240" w:lineRule="auto"/>
              <w:rPr>
                <w:rFonts w:ascii="Arial" w:hAnsi="Arial" w:cs="Arial"/>
                <w:sz w:val="20"/>
                <w:szCs w:val="20"/>
              </w:rPr>
            </w:pPr>
          </w:p>
          <w:p w:rsidR="00A212EF" w:rsidRPr="006419E5" w:rsidRDefault="00A212EF" w:rsidP="000A5148">
            <w:pPr>
              <w:pStyle w:val="BodyText"/>
              <w:shd w:val="clear" w:color="auto" w:fill="auto"/>
              <w:spacing w:after="0" w:line="240" w:lineRule="auto"/>
              <w:ind w:firstLine="0"/>
              <w:jc w:val="center"/>
              <w:rPr>
                <w:rFonts w:ascii="Arial" w:hAnsi="Arial" w:cs="Arial"/>
                <w:sz w:val="20"/>
                <w:szCs w:val="20"/>
              </w:rPr>
            </w:pPr>
            <w:r w:rsidRPr="006419E5">
              <w:rPr>
                <w:rFonts w:ascii="Arial" w:hAnsi="Arial" w:cs="Arial"/>
                <w:b/>
                <w:i/>
                <w:iCs/>
                <w:sz w:val="20"/>
                <w:szCs w:val="20"/>
              </w:rPr>
              <w:lastRenderedPageBreak/>
              <w:t>Đã ký:</w:t>
            </w:r>
            <w:r w:rsidR="00B56B95" w:rsidRPr="006419E5">
              <w:rPr>
                <w:rFonts w:ascii="Arial" w:hAnsi="Arial" w:cs="Arial"/>
                <w:b/>
                <w:sz w:val="20"/>
                <w:szCs w:val="20"/>
              </w:rPr>
              <w:t xml:space="preserve"> Nguyễn Thị Kim </w:t>
            </w:r>
            <w:r w:rsidRPr="006419E5">
              <w:rPr>
                <w:rFonts w:ascii="Arial" w:hAnsi="Arial" w:cs="Arial"/>
                <w:b/>
                <w:sz w:val="20"/>
                <w:szCs w:val="20"/>
              </w:rPr>
              <w:t>Ngân</w:t>
            </w:r>
          </w:p>
        </w:tc>
      </w:tr>
    </w:tbl>
    <w:p w:rsidR="00765FDA" w:rsidRPr="00EB6DED" w:rsidRDefault="00765FDA" w:rsidP="000A5148">
      <w:pPr>
        <w:spacing w:after="120"/>
        <w:ind w:firstLine="720"/>
        <w:jc w:val="both"/>
        <w:rPr>
          <w:rFonts w:ascii="Arial" w:hAnsi="Arial" w:cs="Arial"/>
          <w:sz w:val="20"/>
          <w:szCs w:val="20"/>
        </w:rPr>
      </w:pPr>
    </w:p>
    <w:sectPr w:rsidR="00765FDA" w:rsidRPr="00EB6DED" w:rsidSect="00A212EF">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0BF" w:rsidRDefault="009C20BF">
      <w:r>
        <w:separator/>
      </w:r>
    </w:p>
  </w:endnote>
  <w:endnote w:type="continuationSeparator" w:id="0">
    <w:p w:rsidR="009C20BF" w:rsidRDefault="009C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481" w:rsidRDefault="00EF4481">
    <w:pPr>
      <w:pStyle w:val="Footer"/>
    </w:pPr>
    <w:r w:rsidRPr="001256AD">
      <w:rPr>
        <w:noProof/>
        <w:lang w:val="en-SG" w:eastAsia="en-SG" w:bidi="ar-SA"/>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0BF" w:rsidRDefault="009C20BF"/>
  </w:footnote>
  <w:footnote w:type="continuationSeparator" w:id="0">
    <w:p w:rsidR="009C20BF" w:rsidRDefault="009C20B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875"/>
    <w:multiLevelType w:val="multilevel"/>
    <w:tmpl w:val="3912C7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7756E"/>
    <w:multiLevelType w:val="multilevel"/>
    <w:tmpl w:val="82FEE34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4110C"/>
    <w:multiLevelType w:val="multilevel"/>
    <w:tmpl w:val="581488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32408E"/>
    <w:multiLevelType w:val="multilevel"/>
    <w:tmpl w:val="AD3EC8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333884"/>
    <w:multiLevelType w:val="multilevel"/>
    <w:tmpl w:val="C284BC7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641388"/>
    <w:multiLevelType w:val="multilevel"/>
    <w:tmpl w:val="18B4F344"/>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6A5E0C"/>
    <w:multiLevelType w:val="multilevel"/>
    <w:tmpl w:val="959E7C5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660DF2"/>
    <w:multiLevelType w:val="multilevel"/>
    <w:tmpl w:val="6D14FA4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31BB5"/>
    <w:multiLevelType w:val="multilevel"/>
    <w:tmpl w:val="525288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3A675F"/>
    <w:multiLevelType w:val="multilevel"/>
    <w:tmpl w:val="E87EB0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D106F4"/>
    <w:multiLevelType w:val="multilevel"/>
    <w:tmpl w:val="B79EA0A2"/>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0A2EE0"/>
    <w:multiLevelType w:val="multilevel"/>
    <w:tmpl w:val="1548F2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0F47E5"/>
    <w:multiLevelType w:val="multilevel"/>
    <w:tmpl w:val="D542EDE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BE0C71"/>
    <w:multiLevelType w:val="multilevel"/>
    <w:tmpl w:val="D6D4FED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870F92"/>
    <w:multiLevelType w:val="multilevel"/>
    <w:tmpl w:val="04EE95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293A20"/>
    <w:multiLevelType w:val="multilevel"/>
    <w:tmpl w:val="5C4645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863BD9"/>
    <w:multiLevelType w:val="multilevel"/>
    <w:tmpl w:val="7124F028"/>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84453F"/>
    <w:multiLevelType w:val="multilevel"/>
    <w:tmpl w:val="7B34F0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0773F8"/>
    <w:multiLevelType w:val="multilevel"/>
    <w:tmpl w:val="94A03E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980386"/>
    <w:multiLevelType w:val="multilevel"/>
    <w:tmpl w:val="970AD4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546BE5"/>
    <w:multiLevelType w:val="multilevel"/>
    <w:tmpl w:val="F5F083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E83A45"/>
    <w:multiLevelType w:val="multilevel"/>
    <w:tmpl w:val="429E16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6D5C02"/>
    <w:multiLevelType w:val="multilevel"/>
    <w:tmpl w:val="F3F210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D01519"/>
    <w:multiLevelType w:val="multilevel"/>
    <w:tmpl w:val="0ADE20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FA0D44"/>
    <w:multiLevelType w:val="multilevel"/>
    <w:tmpl w:val="1BDABC2A"/>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B02304"/>
    <w:multiLevelType w:val="multilevel"/>
    <w:tmpl w:val="F258BCE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7B34DF3"/>
    <w:multiLevelType w:val="multilevel"/>
    <w:tmpl w:val="5B60D3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DD03CE"/>
    <w:multiLevelType w:val="multilevel"/>
    <w:tmpl w:val="55F634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E545EC"/>
    <w:multiLevelType w:val="multilevel"/>
    <w:tmpl w:val="53A449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434BA5"/>
    <w:multiLevelType w:val="multilevel"/>
    <w:tmpl w:val="600867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A097569"/>
    <w:multiLevelType w:val="multilevel"/>
    <w:tmpl w:val="0A2EEA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D87FBC"/>
    <w:multiLevelType w:val="multilevel"/>
    <w:tmpl w:val="419A23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063689"/>
    <w:multiLevelType w:val="multilevel"/>
    <w:tmpl w:val="A418BC14"/>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5544D2"/>
    <w:multiLevelType w:val="multilevel"/>
    <w:tmpl w:val="B83459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5"/>
  </w:num>
  <w:num w:numId="3">
    <w:abstractNumId w:val="29"/>
  </w:num>
  <w:num w:numId="4">
    <w:abstractNumId w:val="7"/>
  </w:num>
  <w:num w:numId="5">
    <w:abstractNumId w:val="2"/>
  </w:num>
  <w:num w:numId="6">
    <w:abstractNumId w:val="1"/>
  </w:num>
  <w:num w:numId="7">
    <w:abstractNumId w:val="5"/>
  </w:num>
  <w:num w:numId="8">
    <w:abstractNumId w:val="33"/>
  </w:num>
  <w:num w:numId="9">
    <w:abstractNumId w:val="21"/>
  </w:num>
  <w:num w:numId="10">
    <w:abstractNumId w:val="3"/>
  </w:num>
  <w:num w:numId="11">
    <w:abstractNumId w:val="8"/>
  </w:num>
  <w:num w:numId="12">
    <w:abstractNumId w:val="23"/>
  </w:num>
  <w:num w:numId="13">
    <w:abstractNumId w:val="12"/>
  </w:num>
  <w:num w:numId="14">
    <w:abstractNumId w:val="27"/>
  </w:num>
  <w:num w:numId="15">
    <w:abstractNumId w:val="20"/>
  </w:num>
  <w:num w:numId="16">
    <w:abstractNumId w:val="13"/>
  </w:num>
  <w:num w:numId="17">
    <w:abstractNumId w:val="31"/>
  </w:num>
  <w:num w:numId="18">
    <w:abstractNumId w:val="26"/>
  </w:num>
  <w:num w:numId="19">
    <w:abstractNumId w:val="4"/>
  </w:num>
  <w:num w:numId="20">
    <w:abstractNumId w:val="19"/>
  </w:num>
  <w:num w:numId="21">
    <w:abstractNumId w:val="17"/>
  </w:num>
  <w:num w:numId="22">
    <w:abstractNumId w:val="22"/>
  </w:num>
  <w:num w:numId="23">
    <w:abstractNumId w:val="18"/>
  </w:num>
  <w:num w:numId="24">
    <w:abstractNumId w:val="6"/>
  </w:num>
  <w:num w:numId="25">
    <w:abstractNumId w:val="14"/>
  </w:num>
  <w:num w:numId="26">
    <w:abstractNumId w:val="24"/>
  </w:num>
  <w:num w:numId="27">
    <w:abstractNumId w:val="9"/>
  </w:num>
  <w:num w:numId="28">
    <w:abstractNumId w:val="16"/>
  </w:num>
  <w:num w:numId="29">
    <w:abstractNumId w:val="32"/>
  </w:num>
  <w:num w:numId="30">
    <w:abstractNumId w:val="28"/>
  </w:num>
  <w:num w:numId="31">
    <w:abstractNumId w:val="10"/>
  </w:num>
  <w:num w:numId="32">
    <w:abstractNumId w:val="30"/>
  </w:num>
  <w:num w:numId="33">
    <w:abstractNumId w:val="1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DA"/>
    <w:rsid w:val="0003531E"/>
    <w:rsid w:val="00037568"/>
    <w:rsid w:val="00056476"/>
    <w:rsid w:val="000934CB"/>
    <w:rsid w:val="000A5148"/>
    <w:rsid w:val="000B6E6D"/>
    <w:rsid w:val="000F6F77"/>
    <w:rsid w:val="000F7E94"/>
    <w:rsid w:val="00124D42"/>
    <w:rsid w:val="00133824"/>
    <w:rsid w:val="00133CFB"/>
    <w:rsid w:val="00157A22"/>
    <w:rsid w:val="0016208C"/>
    <w:rsid w:val="00175EC3"/>
    <w:rsid w:val="0018479D"/>
    <w:rsid w:val="00185CE7"/>
    <w:rsid w:val="00197445"/>
    <w:rsid w:val="001A6990"/>
    <w:rsid w:val="001C7140"/>
    <w:rsid w:val="001D12EE"/>
    <w:rsid w:val="001E62FD"/>
    <w:rsid w:val="001E6A05"/>
    <w:rsid w:val="001F500E"/>
    <w:rsid w:val="00203066"/>
    <w:rsid w:val="0020342D"/>
    <w:rsid w:val="00224A0E"/>
    <w:rsid w:val="00236BF8"/>
    <w:rsid w:val="00245D19"/>
    <w:rsid w:val="00253C48"/>
    <w:rsid w:val="00261C58"/>
    <w:rsid w:val="0027113F"/>
    <w:rsid w:val="0027770F"/>
    <w:rsid w:val="00277873"/>
    <w:rsid w:val="00280DD9"/>
    <w:rsid w:val="002856C6"/>
    <w:rsid w:val="002A73E1"/>
    <w:rsid w:val="002B6B5C"/>
    <w:rsid w:val="002D769F"/>
    <w:rsid w:val="002E3A80"/>
    <w:rsid w:val="003026A7"/>
    <w:rsid w:val="003060E3"/>
    <w:rsid w:val="00316041"/>
    <w:rsid w:val="00330E19"/>
    <w:rsid w:val="00381148"/>
    <w:rsid w:val="00382BCA"/>
    <w:rsid w:val="00395C94"/>
    <w:rsid w:val="003A1DBA"/>
    <w:rsid w:val="003C2249"/>
    <w:rsid w:val="003D3D65"/>
    <w:rsid w:val="003E0AE5"/>
    <w:rsid w:val="003E6AFA"/>
    <w:rsid w:val="00407810"/>
    <w:rsid w:val="004226EE"/>
    <w:rsid w:val="00424861"/>
    <w:rsid w:val="00433289"/>
    <w:rsid w:val="00436636"/>
    <w:rsid w:val="00445AD7"/>
    <w:rsid w:val="004835D8"/>
    <w:rsid w:val="004846AD"/>
    <w:rsid w:val="00492019"/>
    <w:rsid w:val="004A6FBE"/>
    <w:rsid w:val="004B4500"/>
    <w:rsid w:val="004B6C5E"/>
    <w:rsid w:val="004C6442"/>
    <w:rsid w:val="004D57E0"/>
    <w:rsid w:val="004D7B3B"/>
    <w:rsid w:val="004E370B"/>
    <w:rsid w:val="004F29E8"/>
    <w:rsid w:val="004F55A3"/>
    <w:rsid w:val="004F5E45"/>
    <w:rsid w:val="00540AFC"/>
    <w:rsid w:val="005477C6"/>
    <w:rsid w:val="005542AF"/>
    <w:rsid w:val="0056786E"/>
    <w:rsid w:val="005724A4"/>
    <w:rsid w:val="005737AC"/>
    <w:rsid w:val="005766AE"/>
    <w:rsid w:val="00582870"/>
    <w:rsid w:val="00593106"/>
    <w:rsid w:val="005A659C"/>
    <w:rsid w:val="005B08AD"/>
    <w:rsid w:val="005B127B"/>
    <w:rsid w:val="005B4880"/>
    <w:rsid w:val="005B7885"/>
    <w:rsid w:val="005D0CA1"/>
    <w:rsid w:val="005D46D2"/>
    <w:rsid w:val="005E168F"/>
    <w:rsid w:val="005F2C23"/>
    <w:rsid w:val="005F717B"/>
    <w:rsid w:val="00600068"/>
    <w:rsid w:val="006030BD"/>
    <w:rsid w:val="006052BA"/>
    <w:rsid w:val="00622F9B"/>
    <w:rsid w:val="00627730"/>
    <w:rsid w:val="006419E5"/>
    <w:rsid w:val="0065363D"/>
    <w:rsid w:val="00654344"/>
    <w:rsid w:val="00697983"/>
    <w:rsid w:val="006A012E"/>
    <w:rsid w:val="006B5E56"/>
    <w:rsid w:val="006B6398"/>
    <w:rsid w:val="00702179"/>
    <w:rsid w:val="00716BD3"/>
    <w:rsid w:val="00716E2A"/>
    <w:rsid w:val="0072584A"/>
    <w:rsid w:val="00727A5C"/>
    <w:rsid w:val="00763866"/>
    <w:rsid w:val="00765391"/>
    <w:rsid w:val="00765FDA"/>
    <w:rsid w:val="00792ADA"/>
    <w:rsid w:val="00793C55"/>
    <w:rsid w:val="007A6097"/>
    <w:rsid w:val="007C57E3"/>
    <w:rsid w:val="007D13A0"/>
    <w:rsid w:val="007D6D7B"/>
    <w:rsid w:val="007E5079"/>
    <w:rsid w:val="007F0462"/>
    <w:rsid w:val="007F15DD"/>
    <w:rsid w:val="00812DDF"/>
    <w:rsid w:val="0081302A"/>
    <w:rsid w:val="00820BFE"/>
    <w:rsid w:val="008224C3"/>
    <w:rsid w:val="00827C11"/>
    <w:rsid w:val="008334EE"/>
    <w:rsid w:val="00842E6B"/>
    <w:rsid w:val="00871DA2"/>
    <w:rsid w:val="008738FB"/>
    <w:rsid w:val="00887922"/>
    <w:rsid w:val="00887DF9"/>
    <w:rsid w:val="008B04F5"/>
    <w:rsid w:val="008B11B8"/>
    <w:rsid w:val="008D447A"/>
    <w:rsid w:val="008D710A"/>
    <w:rsid w:val="008D74AA"/>
    <w:rsid w:val="00902EA0"/>
    <w:rsid w:val="00917FA7"/>
    <w:rsid w:val="00964921"/>
    <w:rsid w:val="009A5E8B"/>
    <w:rsid w:val="009B0678"/>
    <w:rsid w:val="009B6035"/>
    <w:rsid w:val="009C20BF"/>
    <w:rsid w:val="009C3259"/>
    <w:rsid w:val="009C37EA"/>
    <w:rsid w:val="009E1821"/>
    <w:rsid w:val="009F5F40"/>
    <w:rsid w:val="00A13452"/>
    <w:rsid w:val="00A212EF"/>
    <w:rsid w:val="00A27058"/>
    <w:rsid w:val="00A425EF"/>
    <w:rsid w:val="00A563CE"/>
    <w:rsid w:val="00A84E92"/>
    <w:rsid w:val="00A85AF2"/>
    <w:rsid w:val="00A92F8A"/>
    <w:rsid w:val="00A93783"/>
    <w:rsid w:val="00A95901"/>
    <w:rsid w:val="00AA6E52"/>
    <w:rsid w:val="00AC5881"/>
    <w:rsid w:val="00AC77A8"/>
    <w:rsid w:val="00AE04CC"/>
    <w:rsid w:val="00B11608"/>
    <w:rsid w:val="00B11D93"/>
    <w:rsid w:val="00B21B81"/>
    <w:rsid w:val="00B36D4E"/>
    <w:rsid w:val="00B56B95"/>
    <w:rsid w:val="00B64FAC"/>
    <w:rsid w:val="00B71036"/>
    <w:rsid w:val="00B73ED2"/>
    <w:rsid w:val="00B95B5B"/>
    <w:rsid w:val="00BA5ED1"/>
    <w:rsid w:val="00BB3C77"/>
    <w:rsid w:val="00BC5B0B"/>
    <w:rsid w:val="00BD1235"/>
    <w:rsid w:val="00BE56A9"/>
    <w:rsid w:val="00C00499"/>
    <w:rsid w:val="00C13BEA"/>
    <w:rsid w:val="00C155BD"/>
    <w:rsid w:val="00C1745A"/>
    <w:rsid w:val="00C21E8E"/>
    <w:rsid w:val="00C3183E"/>
    <w:rsid w:val="00C319DA"/>
    <w:rsid w:val="00C31B17"/>
    <w:rsid w:val="00C3477D"/>
    <w:rsid w:val="00C73EB9"/>
    <w:rsid w:val="00C91ACE"/>
    <w:rsid w:val="00CA5305"/>
    <w:rsid w:val="00CB03D2"/>
    <w:rsid w:val="00CB0B74"/>
    <w:rsid w:val="00CB7457"/>
    <w:rsid w:val="00CD01CF"/>
    <w:rsid w:val="00CD6A12"/>
    <w:rsid w:val="00CD74FD"/>
    <w:rsid w:val="00CE3ADE"/>
    <w:rsid w:val="00CE7B81"/>
    <w:rsid w:val="00CF00D2"/>
    <w:rsid w:val="00D04FB6"/>
    <w:rsid w:val="00D1643F"/>
    <w:rsid w:val="00D1744F"/>
    <w:rsid w:val="00D26762"/>
    <w:rsid w:val="00D2710A"/>
    <w:rsid w:val="00D27C52"/>
    <w:rsid w:val="00D36879"/>
    <w:rsid w:val="00D53DB6"/>
    <w:rsid w:val="00D55158"/>
    <w:rsid w:val="00D64935"/>
    <w:rsid w:val="00D65C22"/>
    <w:rsid w:val="00D70A5F"/>
    <w:rsid w:val="00D72636"/>
    <w:rsid w:val="00DB30FE"/>
    <w:rsid w:val="00DC252D"/>
    <w:rsid w:val="00DC7ABC"/>
    <w:rsid w:val="00DD3D68"/>
    <w:rsid w:val="00DD706A"/>
    <w:rsid w:val="00DE22A9"/>
    <w:rsid w:val="00DE5E09"/>
    <w:rsid w:val="00DF3304"/>
    <w:rsid w:val="00DF38CC"/>
    <w:rsid w:val="00E116F9"/>
    <w:rsid w:val="00E20F4C"/>
    <w:rsid w:val="00E26059"/>
    <w:rsid w:val="00E31F1D"/>
    <w:rsid w:val="00E43A62"/>
    <w:rsid w:val="00E5587B"/>
    <w:rsid w:val="00E61F3D"/>
    <w:rsid w:val="00E90191"/>
    <w:rsid w:val="00E9187F"/>
    <w:rsid w:val="00EB1D88"/>
    <w:rsid w:val="00EB6DED"/>
    <w:rsid w:val="00ED3B46"/>
    <w:rsid w:val="00ED6F36"/>
    <w:rsid w:val="00EF4481"/>
    <w:rsid w:val="00EF4F17"/>
    <w:rsid w:val="00F34FD8"/>
    <w:rsid w:val="00F36D9D"/>
    <w:rsid w:val="00F545CD"/>
    <w:rsid w:val="00F72151"/>
    <w:rsid w:val="00F86D21"/>
    <w:rsid w:val="00F9021B"/>
    <w:rsid w:val="00F93928"/>
    <w:rsid w:val="00FA3942"/>
    <w:rsid w:val="00FB7165"/>
    <w:rsid w:val="00FC6967"/>
    <w:rsid w:val="00FC7EFD"/>
    <w:rsid w:val="00FD188F"/>
    <w:rsid w:val="00FF76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E44B"/>
  <w15:docId w15:val="{07A80394-8172-40C0-86D9-2A85BFE2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line="254" w:lineRule="auto"/>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57"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A2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481"/>
    <w:pPr>
      <w:tabs>
        <w:tab w:val="center" w:pos="4513"/>
        <w:tab w:val="right" w:pos="9026"/>
      </w:tabs>
    </w:pPr>
  </w:style>
  <w:style w:type="character" w:customStyle="1" w:styleId="HeaderChar">
    <w:name w:val="Header Char"/>
    <w:basedOn w:val="DefaultParagraphFont"/>
    <w:link w:val="Header"/>
    <w:uiPriority w:val="99"/>
    <w:rsid w:val="00EF4481"/>
    <w:rPr>
      <w:color w:val="000000"/>
      <w:sz w:val="24"/>
      <w:szCs w:val="24"/>
      <w:lang w:val="vi-VN" w:eastAsia="vi-VN" w:bidi="vi-VN"/>
    </w:rPr>
  </w:style>
  <w:style w:type="paragraph" w:styleId="Footer">
    <w:name w:val="footer"/>
    <w:basedOn w:val="Normal"/>
    <w:link w:val="FooterChar"/>
    <w:uiPriority w:val="99"/>
    <w:unhideWhenUsed/>
    <w:rsid w:val="00EF4481"/>
    <w:pPr>
      <w:tabs>
        <w:tab w:val="center" w:pos="4513"/>
        <w:tab w:val="right" w:pos="9026"/>
      </w:tabs>
    </w:pPr>
  </w:style>
  <w:style w:type="character" w:customStyle="1" w:styleId="FooterChar">
    <w:name w:val="Footer Char"/>
    <w:basedOn w:val="DefaultParagraphFont"/>
    <w:link w:val="Footer"/>
    <w:uiPriority w:val="99"/>
    <w:rsid w:val="00EF4481"/>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2020-07-08 (1)</vt:lpstr>
    </vt:vector>
  </TitlesOfParts>
  <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2020-07-08 (1)</dc:title>
  <dc:subject/>
  <dc:creator>Windows User</dc:creator>
  <cp:keywords/>
  <cp:lastModifiedBy>HP</cp:lastModifiedBy>
  <cp:revision>3</cp:revision>
  <dcterms:created xsi:type="dcterms:W3CDTF">2025-01-06T06:30:00Z</dcterms:created>
  <dcterms:modified xsi:type="dcterms:W3CDTF">2025-01-06T06:30:00Z</dcterms:modified>
</cp:coreProperties>
</file>