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8928" w:type="dxa"/>
        <w:tblInd w:w="108" w:type="dxa"/>
        <w:tblLayout w:type="fixed"/>
        <w:tblLook w:val="01E0" w:firstRow="1" w:lastRow="1" w:firstColumn="1" w:lastColumn="1" w:noHBand="0" w:noVBand="0"/>
      </w:tblPr>
      <w:tblGrid>
        <w:gridCol w:w="3528"/>
        <w:gridCol w:w="5400"/>
      </w:tblGrid>
      <w:tr w:rsidR="00917107" w:rsidRPr="00917107" w14:paraId="687391FC" w14:textId="77777777" w:rsidTr="00917107">
        <w:trPr>
          <w:trHeight w:val="360"/>
        </w:trPr>
        <w:tc>
          <w:tcPr>
            <w:tcW w:w="3528" w:type="dxa"/>
          </w:tcPr>
          <w:p w14:paraId="60001654"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QUỐC HỘI</w:t>
            </w:r>
          </w:p>
          <w:p w14:paraId="7E656EBA"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w:t>
            </w:r>
          </w:p>
          <w:p w14:paraId="1455CA16" w14:textId="77777777" w:rsidR="00917107" w:rsidRPr="00917107" w:rsidRDefault="00917107" w:rsidP="00917107">
            <w:pPr>
              <w:jc w:val="center"/>
              <w:rPr>
                <w:rFonts w:ascii="Arial" w:hAnsi="Arial" w:cs="Arial"/>
                <w:sz w:val="20"/>
                <w:szCs w:val="20"/>
              </w:rPr>
            </w:pPr>
            <w:r w:rsidRPr="00917107">
              <w:rPr>
                <w:rFonts w:ascii="Arial" w:hAnsi="Arial" w:cs="Arial"/>
                <w:sz w:val="20"/>
                <w:szCs w:val="20"/>
              </w:rPr>
              <w:t>Luật số: 46/2010/QH12</w:t>
            </w:r>
          </w:p>
        </w:tc>
        <w:tc>
          <w:tcPr>
            <w:tcW w:w="5400" w:type="dxa"/>
          </w:tcPr>
          <w:p w14:paraId="3A3672DA"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CỘNG HÒA XÃ HỘI CHỦ NGHĨA VIỆT NAM</w:t>
            </w:r>
          </w:p>
          <w:p w14:paraId="55E0EC43"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Độc lập – Tự do – Hạnh phúc</w:t>
            </w:r>
          </w:p>
          <w:p w14:paraId="30D4A2BA"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w:t>
            </w:r>
          </w:p>
        </w:tc>
      </w:tr>
    </w:tbl>
    <w:p w14:paraId="34B45746" w14:textId="77777777" w:rsidR="00917107" w:rsidRPr="00917107" w:rsidRDefault="00917107" w:rsidP="00917107">
      <w:pPr>
        <w:jc w:val="center"/>
        <w:rPr>
          <w:rFonts w:ascii="Arial" w:hAnsi="Arial" w:cs="Arial"/>
          <w:b/>
          <w:sz w:val="22"/>
          <w:szCs w:val="22"/>
        </w:rPr>
      </w:pPr>
    </w:p>
    <w:p w14:paraId="0584F366" w14:textId="77777777" w:rsidR="00917107" w:rsidRPr="00917107" w:rsidRDefault="00917107" w:rsidP="00917107">
      <w:pPr>
        <w:jc w:val="center"/>
        <w:rPr>
          <w:rFonts w:ascii="Arial" w:hAnsi="Arial" w:cs="Arial"/>
          <w:b/>
          <w:sz w:val="22"/>
          <w:szCs w:val="22"/>
        </w:rPr>
      </w:pPr>
    </w:p>
    <w:p w14:paraId="587A30CC" w14:textId="77777777" w:rsidR="00917107" w:rsidRPr="00917107" w:rsidRDefault="00917107" w:rsidP="00917107">
      <w:pPr>
        <w:jc w:val="center"/>
        <w:rPr>
          <w:rFonts w:ascii="Arial" w:hAnsi="Arial" w:cs="Arial"/>
          <w:b/>
          <w:sz w:val="22"/>
          <w:szCs w:val="22"/>
        </w:rPr>
      </w:pPr>
      <w:r w:rsidRPr="00917107">
        <w:rPr>
          <w:rFonts w:ascii="Arial" w:hAnsi="Arial" w:cs="Arial"/>
          <w:b/>
          <w:sz w:val="22"/>
          <w:szCs w:val="22"/>
        </w:rPr>
        <w:t>LUẬT</w:t>
      </w:r>
    </w:p>
    <w:p w14:paraId="62AEEA68" w14:textId="77777777" w:rsidR="00917107" w:rsidRPr="00917107" w:rsidRDefault="00917107" w:rsidP="00917107">
      <w:pPr>
        <w:jc w:val="center"/>
        <w:rPr>
          <w:rFonts w:ascii="Arial" w:hAnsi="Arial" w:cs="Arial"/>
          <w:b/>
          <w:sz w:val="22"/>
          <w:szCs w:val="22"/>
        </w:rPr>
      </w:pPr>
      <w:r w:rsidRPr="00917107">
        <w:rPr>
          <w:rFonts w:ascii="Arial" w:hAnsi="Arial" w:cs="Arial"/>
          <w:b/>
          <w:sz w:val="22"/>
          <w:szCs w:val="22"/>
        </w:rPr>
        <w:t>NGÂN HÀNG NHÀ NƯỚC VIỆT NAM</w:t>
      </w:r>
    </w:p>
    <w:p w14:paraId="6B6391FD" w14:textId="77777777" w:rsidR="00917107" w:rsidRPr="00917107" w:rsidRDefault="00917107" w:rsidP="00917107">
      <w:pPr>
        <w:jc w:val="center"/>
        <w:rPr>
          <w:rFonts w:ascii="Arial" w:hAnsi="Arial" w:cs="Arial"/>
          <w:b/>
          <w:sz w:val="22"/>
          <w:szCs w:val="22"/>
        </w:rPr>
      </w:pPr>
    </w:p>
    <w:p w14:paraId="65E47A90" w14:textId="77777777" w:rsidR="00917107" w:rsidRPr="00917107" w:rsidRDefault="00917107" w:rsidP="00917107">
      <w:pPr>
        <w:jc w:val="center"/>
        <w:rPr>
          <w:rFonts w:ascii="Arial" w:hAnsi="Arial" w:cs="Arial"/>
          <w:b/>
          <w:sz w:val="22"/>
          <w:szCs w:val="22"/>
        </w:rPr>
      </w:pPr>
    </w:p>
    <w:p w14:paraId="093ED6A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Căn cứ Hiến pháp nước Cộng </w:t>
      </w:r>
      <w:bookmarkStart w:id="0" w:name="VNS0001"/>
      <w:r w:rsidRPr="00917107">
        <w:rPr>
          <w:rFonts w:ascii="Arial" w:hAnsi="Arial" w:cs="Arial"/>
          <w:sz w:val="20"/>
          <w:szCs w:val="20"/>
        </w:rPr>
        <w:t>hoà</w:t>
      </w:r>
      <w:bookmarkEnd w:id="0"/>
      <w:r w:rsidRPr="00917107">
        <w:rPr>
          <w:rFonts w:ascii="Arial" w:hAnsi="Arial" w:cs="Arial"/>
          <w:sz w:val="20"/>
          <w:szCs w:val="20"/>
        </w:rPr>
        <w:t xml:space="preserve"> xã hội chủ nghĩa Việt Nam năm 1992 đã được sửa đổi, bổ sung một số điều theo Nghị quyết số 51/2001/QH10;</w:t>
      </w:r>
    </w:p>
    <w:p w14:paraId="4ABCC30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Quốc hội ban hành Luật Ngân hàng Nhà nước Việt Nam.</w:t>
      </w:r>
    </w:p>
    <w:p w14:paraId="46934DB2" w14:textId="77777777" w:rsidR="00917107" w:rsidRPr="00917107" w:rsidRDefault="00917107" w:rsidP="00917107">
      <w:pPr>
        <w:jc w:val="center"/>
        <w:rPr>
          <w:rFonts w:ascii="Arial" w:hAnsi="Arial" w:cs="Arial"/>
          <w:b/>
          <w:sz w:val="20"/>
          <w:szCs w:val="20"/>
        </w:rPr>
      </w:pPr>
    </w:p>
    <w:p w14:paraId="1C187132"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CHƯƠNG I</w:t>
      </w:r>
    </w:p>
    <w:p w14:paraId="70BB423C"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NHỮNG QUY ĐỊNH CHUNG</w:t>
      </w:r>
    </w:p>
    <w:p w14:paraId="5AE8E50B" w14:textId="77777777" w:rsidR="00917107" w:rsidRPr="00917107" w:rsidRDefault="00917107" w:rsidP="00917107">
      <w:pPr>
        <w:jc w:val="center"/>
        <w:rPr>
          <w:rFonts w:ascii="Arial" w:hAnsi="Arial" w:cs="Arial"/>
          <w:b/>
          <w:sz w:val="20"/>
          <w:szCs w:val="20"/>
        </w:rPr>
      </w:pPr>
    </w:p>
    <w:p w14:paraId="33A7AA8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1. </w:t>
      </w:r>
      <w:r w:rsidRPr="00917107">
        <w:rPr>
          <w:rFonts w:ascii="Arial" w:hAnsi="Arial" w:cs="Arial"/>
          <w:sz w:val="20"/>
          <w:szCs w:val="20"/>
        </w:rPr>
        <w:t xml:space="preserve">Phạm vi điều chỉnh </w:t>
      </w:r>
    </w:p>
    <w:p w14:paraId="42465E4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Luật này quy định về tổ chức và hoạt động của Ngân hàng Nhà nước Việt Nam.</w:t>
      </w:r>
    </w:p>
    <w:p w14:paraId="209BA41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2.</w:t>
      </w:r>
      <w:r w:rsidRPr="00917107">
        <w:rPr>
          <w:rFonts w:ascii="Arial" w:hAnsi="Arial" w:cs="Arial"/>
          <w:sz w:val="20"/>
          <w:szCs w:val="20"/>
        </w:rPr>
        <w:t xml:space="preserve"> Vị trí và chức năng của Ngân hàng Nhà nước Việt Nam</w:t>
      </w:r>
    </w:p>
    <w:p w14:paraId="0DF28EC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Ngân hàng Nhà nước Việt Nam (sau đây gọi là Ngân hàng Nhà nước) là cơ quan ngang bộ của Chính phủ, là Ngân hàng trung ương của nước Cộng hoà xã hội chủ nghĩa Việt Nam.</w:t>
      </w:r>
    </w:p>
    <w:p w14:paraId="2D5B1C6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là pháp nhân, có vốn pháp định thuộc sở hữu nhà nước, có trụ sở chính tại Thủ đô Hà Nội.</w:t>
      </w:r>
    </w:p>
    <w:p w14:paraId="1B5DDEF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3. Ngân hàng Nhà nước thực hiện chức năng quản lý nhà nước về tiền tệ, hoạt động ngân hàng và ngoại hối (sau đây gọi là tiền tệ và ngân hàng); thực hiện chức năng của Ngân hàng trung ương về phát hành tiền, ngân hàng của các tổ chức tín dụng và cung ứng dịch vụ tiền tệ cho Chính phủ. </w:t>
      </w:r>
    </w:p>
    <w:p w14:paraId="7B40202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3. </w:t>
      </w:r>
      <w:r w:rsidRPr="00917107">
        <w:rPr>
          <w:rFonts w:ascii="Arial" w:hAnsi="Arial" w:cs="Arial"/>
          <w:sz w:val="20"/>
          <w:szCs w:val="20"/>
        </w:rPr>
        <w:t>Chính sách tiền tệ quốc gia và thẩm quyền quyết định chính sách tiền tệ quốc gia</w:t>
      </w:r>
    </w:p>
    <w:p w14:paraId="661EFB6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1. Chính sách tiền tệ quốc gia là các quyết định về tiền tệ ở tầm quốc gia của cơ quan nhà nước có thẩm quyền, bao gồm quyết định mục tiêu ổn định giá trị đồng tiền biểu hiện bằng chỉ tiêu lạm phát, quyết định sử dụng các công cụ và biện pháp để thực hiện mục tiêu đề ra.   </w:t>
      </w:r>
    </w:p>
    <w:p w14:paraId="4DA023F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Quốc hội quyết định chỉ tiêu lạm phát hằng năm được thể hiện thông qua việc quyết định chỉ số giá tiêu dùng và giám sát việc thực hiện chính sách tiền tệ quốc gia.</w:t>
      </w:r>
    </w:p>
    <w:p w14:paraId="1391A53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Chủ tịch nước thực hiện nhiệm vụ, quyền hạn do Hiến pháp và pháp luật quy định trong việc đàm phán, ký kết, gia nhập điều ước quốc tế nhân danh Nhà nước Cộng hòa xã hội chủ nghĩa Việt Nam về lĩnh vực tiền tệ và ngân hàng.</w:t>
      </w:r>
    </w:p>
    <w:p w14:paraId="557CC01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4. Chính phủ trình Quốc hội quyết định chỉ tiêu lạm phát hằng năm. Thủ tướng Chính phủ, Thống đốc Ngân hàng Nhà nước quyết định việc sử dụng các công cụ và biện pháp điều hành để thực hiện mục tiêu chính sách tiền tệ quốc gia theo quy định của Chính phủ.</w:t>
      </w:r>
    </w:p>
    <w:p w14:paraId="2DE235A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4. </w:t>
      </w:r>
      <w:r w:rsidRPr="00917107">
        <w:rPr>
          <w:rFonts w:ascii="Arial" w:hAnsi="Arial" w:cs="Arial"/>
          <w:sz w:val="20"/>
          <w:szCs w:val="20"/>
        </w:rPr>
        <w:t>Nhiệm vụ, quyền hạn của Ngân hàng Nhà nước</w:t>
      </w:r>
    </w:p>
    <w:p w14:paraId="5A304451"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Hoạt động của Ngân hàng Nhà nước nhằm ổn định giá trị đồng tiền; bảo đảm an toàn hoạt động ngân hàng và hệ thống các tổ chức tín dụng; bảo đảm sự an toàn, hiệu quả của hệ thống thanh toán quốc gia; góp phần thúc đẩy phát triển kinh tế - xã hội theo định hướng xã hội chủ nghĩa.</w:t>
      </w:r>
    </w:p>
    <w:p w14:paraId="08B9C7A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Tham gia xây dựng chiến lược và kế hoạch phát triển kinh tế - xã hội của đất nước.</w:t>
      </w:r>
    </w:p>
    <w:p w14:paraId="5A2DC8B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Xây dựng chiến lược phát triển ngành ngân hàng trình cơ quan nhà nước có thẩm quyền phê duyệt và tổ chức thực hiện.</w:t>
      </w:r>
    </w:p>
    <w:p w14:paraId="29799C93"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lastRenderedPageBreak/>
        <w:t>4. Ban hành hoặc trình cơ quan nhà nước có thẩm quyền ban hành văn bản quy phạm pháp luật về tiền tệ và ngân hàng; tuyên truyền, phổ biến và kiểm tra theo thẩm quyền văn bản quy phạm pháp luật về tiền tệ và ngân hàng.</w:t>
      </w:r>
    </w:p>
    <w:p w14:paraId="39787E8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5. Xây dựng chỉ tiêu lạm phát hằng năm để Chính phủ trình Quốc hội quyết định và tổ chức thực hiện.</w:t>
      </w:r>
    </w:p>
    <w:p w14:paraId="5E9BEE8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6. Tổ chức, điều hành và phát triển thị trường tiền tệ.</w:t>
      </w:r>
    </w:p>
    <w:p w14:paraId="1F1B25F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7. Tổ chức hệ thống thống kê, dự báo về tiền tệ và ngân hàng; công khai thông tin về tiền tệ và ngân hàng theo quy định của pháp luật.</w:t>
      </w:r>
    </w:p>
    <w:p w14:paraId="6F8D0611"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8. Tổ chức in, đúc, bảo quản, vận chuyển tiền giấy, tiền kim loại; thực hiện nghiệp vụ phát hành, thu hồi, thay thế và tiêu huỷ tiền giấy, tiền kim loại.</w:t>
      </w:r>
    </w:p>
    <w:p w14:paraId="102EABF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9. Cấp, sửa đổi, bổ sung, thu hồi giấy phép thành lập và hoạt động của tổ chức tín dụng, giấy phép thành lập chi nhánh ngân hàng nước ngoài, giấy phép thành lập văn phòng đại diện của tổ chức tín dụng nước ngoài, tổ chức nước ngoài khác có hoạt động ngân hàng; cấp, thu hồi giấy phép hoạt động cung ứng dịch vụ trung gian thanh toán cho các tổ chức không phải là ngân hàng; cấp, thu hồi giấy phép hoạt động cung ứng dịch vụ thông tin tín dụng cho các tổ chức; chấp thuận việc mua, bán, chia, tách, hợp nhất, sáp nhập và giải thể tổ chức tín dụng theo quy định của pháp luật.</w:t>
      </w:r>
    </w:p>
    <w:p w14:paraId="698905D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10. Thực hiện đại diện chủ sở hữu phần vốn của Nhà nước tại doanh nghiệp thực hiện chức năng, nhiệm vụ của Ngân hàng Nhà nước, tổ chức tín dụng có vốn nhà nước theo quy định của pháp luật; được sử dụng vốn pháp định để góp vốn thành lập doanh nghiệp đặc thù nhằm thực hiện chức năng, nhiệm vụ của Ngân hàng Nhà nước theo quyết định của Thủ tướng Chính phủ.</w:t>
      </w:r>
    </w:p>
    <w:p w14:paraId="48B0F4E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11. Kiểm tra, thanh tra, giám sát ngân hàng; xử lý vi phạm pháp luật về tiền tệ và ngân hàng theo quy định của pháp luật.</w:t>
      </w:r>
    </w:p>
    <w:p w14:paraId="47AFEA7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12. Quyết định áp dụng biện pháp xử lý đặc biệt đối với tổ chức tín dụng vi phạm nghiêm trọng các quy định của pháp luật về tiền tệ và ngân hàng, gặp khó khăn về tài chính, có nguy cơ gây mất an toàn cho hệ thống ngân hàng, gồm mua cổ phần của tổ chức tín dụng; đình chỉ, tạm đình chỉ, miễn nhiệm chức vụ người quản lý, người điều hành của tổ chức tín dụng; quyết định sáp nhập, hợp nhất, giải thể tổ chức tín dụng; đặt tổ chức tín dụng vào tình trạng kiểm soát đặc biệt; thực hiện nhiệm vụ, quyền hạn của mình theo quy định của pháp luật về phá sản đối với tổ chức tín dụng.</w:t>
      </w:r>
    </w:p>
    <w:p w14:paraId="42C2483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13. Chủ trì, phối hợp với các cơ quan hữu quan xây dựng chính sách, kế hoạch và tổ chức thực hiện phòng, chống rửa tiền.</w:t>
      </w:r>
    </w:p>
    <w:p w14:paraId="325A662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14. Thực hiện quản lý nhà nước về bảo hiểm tiền gửi theo quy định của pháp luật về bảo hiểm tiền gửi.</w:t>
      </w:r>
    </w:p>
    <w:p w14:paraId="510D30F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15. Chủ trì lập, theo dõi, dự báo và phân tích kết quả thực hiện cán cân thanh toán quốc tế.</w:t>
      </w:r>
    </w:p>
    <w:p w14:paraId="021C754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16. Tổ chức, quản lý, giám sát hệ thống thanh toán quốc gia, cung ứng dịch vụ thanh toán cho các ngân hàng; tham gia tổ chức và giám sát sự vận hành của các hệ thống thanh toán trong nền kinh tế.</w:t>
      </w:r>
    </w:p>
    <w:p w14:paraId="18CC272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17. Quản lý nhà nước về ngoại hối, hoạt động ngoại hối và hoạt động kinh doanh vàng.</w:t>
      </w:r>
    </w:p>
    <w:p w14:paraId="6B07788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18. Quản lý Dự trữ ngoại hối nhà nước.</w:t>
      </w:r>
    </w:p>
    <w:p w14:paraId="18A8F1E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19. Quản lý việc vay, trả nợ, cho vay và thu hồi nợ nước ngoài theo quy định của pháp luật.</w:t>
      </w:r>
    </w:p>
    <w:p w14:paraId="2455BAD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20. Chủ trì, phối hợp với cơ quan có liên quan chuẩn bị nội dung, tiến hành đàm phán, ký kết điều ước quốc tế với tổ chức tài chính, tiền tệ quốc tế mà Ngân hàng Nhà nước là đại diện và là đại diện chính thức của người vay quy định tại điều ước quốc tế theo phân công, uỷ quyền của Chủ tịch nước hoặc Chính phủ.</w:t>
      </w:r>
    </w:p>
    <w:p w14:paraId="07ED5DE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21. Tổ chức thực hiện hợp tác quốc tế về tiền tệ và ngân hàng.</w:t>
      </w:r>
    </w:p>
    <w:p w14:paraId="3837A58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22. Đại diện cho Nhà nước Cộng hoà xã hội chủ nghĩa Việt Nam tại các tổ chức tiền tệ và ngân hàng quốc tế.</w:t>
      </w:r>
    </w:p>
    <w:p w14:paraId="49D5301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lastRenderedPageBreak/>
        <w:t>23. Tổ chức hệ thống thông tin tín dụng và cung ứng dịch vụ thông tin tín dụng; thực hiện chức năng quản lý nhà nước đối với các tổ chức hoạt động thông tin tín dụng.</w:t>
      </w:r>
    </w:p>
    <w:p w14:paraId="12A391B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24. Làm đại lý và thực hiện các dịch vụ ngân hàng cho Kho bạc Nhà nước.</w:t>
      </w:r>
    </w:p>
    <w:p w14:paraId="281AEB4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25. Tham gia với Bộ Tài chính về việc phát hành trái phiếu Chính phủ, trái phiếu do Chính phủ bảo lãnh.</w:t>
      </w:r>
    </w:p>
    <w:p w14:paraId="2BC0168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26. Tổ chức đào tạo, bồi dưỡng nghiệp vụ về tiền tệ và ngân hàng; nghiên cứu, ứng dụng khoa học và công nghệ ngân hàng.</w:t>
      </w:r>
    </w:p>
    <w:p w14:paraId="032CDA7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27. Nhiệm vụ, quyền hạn khác theo quy định của pháp luật.</w:t>
      </w:r>
    </w:p>
    <w:p w14:paraId="6AC5BB2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5. </w:t>
      </w:r>
      <w:r w:rsidRPr="00917107">
        <w:rPr>
          <w:rFonts w:ascii="Arial" w:hAnsi="Arial" w:cs="Arial"/>
          <w:sz w:val="20"/>
          <w:szCs w:val="20"/>
        </w:rPr>
        <w:t xml:space="preserve">Trách nhiệm của bộ, cơ quan ngang bộ, Uỷ ban nhân dân các cấp </w:t>
      </w:r>
    </w:p>
    <w:p w14:paraId="3EA9C2A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Bộ, cơ quan ngang bộ, Uỷ ban nhân dân các cấp trong phạm vi nhiệm vụ, quyền hạn của mình phối hợp với Ngân hàng Nhà nước trong việc quản lý nhà nước về tiền tệ và ngân hàng.</w:t>
      </w:r>
    </w:p>
    <w:p w14:paraId="119D586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6.</w:t>
      </w:r>
      <w:r w:rsidRPr="00917107">
        <w:rPr>
          <w:rFonts w:ascii="Arial" w:hAnsi="Arial" w:cs="Arial"/>
          <w:sz w:val="20"/>
          <w:szCs w:val="20"/>
        </w:rPr>
        <w:t xml:space="preserve"> Giải thích từ ngữ</w:t>
      </w:r>
    </w:p>
    <w:p w14:paraId="5C55828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Trong Luật này, các từ ngữ dưới đây được hiểu như sau:</w:t>
      </w:r>
    </w:p>
    <w:p w14:paraId="577D0201"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Hoạt động ngân hàng là việc kinh doanh, cung ứng thường xuyên một hoặc một số nghiệp vụ sau đây:</w:t>
      </w:r>
    </w:p>
    <w:p w14:paraId="71C2CA7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Nhận tiền gửi;</w:t>
      </w:r>
    </w:p>
    <w:p w14:paraId="58DDF27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Cấp tín dụng;</w:t>
      </w:r>
    </w:p>
    <w:p w14:paraId="55ACE60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Cung ứng dịch vụ thanh toán qua tài khoản. </w:t>
      </w:r>
    </w:p>
    <w:p w14:paraId="65025A7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Ngoại hối bao gồm:</w:t>
      </w:r>
    </w:p>
    <w:p w14:paraId="2656381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a) Đồng tiền của quốc gia khác hoặc đồng tiền chung châu Âu và đồng tiền chung khác được sử dụng trong thanh toán quốc tế và khu vực (sau đây gọi là ngoại tệ);</w:t>
      </w:r>
    </w:p>
    <w:p w14:paraId="54B38E0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b) Phương tiện thanh toán bằng ngoại tệ, gồm séc, thẻ thanh toán, hối phiếu đòi nợ, hối phiếu nhận nợ và các phương tiện thanh toán khác;</w:t>
      </w:r>
    </w:p>
    <w:p w14:paraId="075D303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c) Các loại giấy tờ có giá bằng ngoại tệ, gồm trái phiếu Chính phủ, trái phiếu công ty, kỳ phiếu, cổ phiếu và các loại giấy tờ có giá khác;</w:t>
      </w:r>
    </w:p>
    <w:p w14:paraId="1D0F56E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d) Vàng thuộc Dự trữ ngoại hối nhà nước, trên tài khoản ở nước ngoài của người cư trú; vàng dưới dạng khối, thỏi, hạt, miếng trong trường hợp mang vào và mang ra khỏi lãnh thổ Việt Nam;</w:t>
      </w:r>
    </w:p>
    <w:p w14:paraId="7085496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đ) Đồng tiền của nước Cộng hoà xã hội chủ nghĩa Việt Nam trong trường hợp chuyển vào và chuyển ra khỏi lãnh thổ Việt Nam hoặc được sử dụng trong thanh toán quốc tế.</w:t>
      </w:r>
      <w:r w:rsidRPr="00917107">
        <w:rPr>
          <w:rFonts w:ascii="Arial" w:hAnsi="Arial" w:cs="Arial"/>
          <w:sz w:val="20"/>
          <w:szCs w:val="20"/>
        </w:rPr>
        <w:tab/>
      </w:r>
    </w:p>
    <w:p w14:paraId="445E202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Hoạt động ngoại hối là hoạt động của người cư trú, người không cư trú trong các giao dịch vãng lai, giao dịch vốn, sử dụng ngoại hối trên lãnh thổ Việt Nam, hoạt động cung ứng dịch vụ ngoại hối và các giao dịch khác liên quan đến ngoại hối.</w:t>
      </w:r>
    </w:p>
    <w:p w14:paraId="6A045E4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4. Dự trữ ngoại hối nhà nước là tài sản bằng ngoại hối được thể hiện trong Bảng cân đối tiền tệ của Ngân hàng Nhà nước.</w:t>
      </w:r>
    </w:p>
    <w:p w14:paraId="44A2533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5. Tỷ giá hối đoái của đồng Việt Nam là giá của một đơn vị tiền tệ nước ngoài tính bằng đơn vị tiền tệ của Việt Nam.</w:t>
      </w:r>
    </w:p>
    <w:p w14:paraId="225E408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6. Thị trường tiền tệ là nơi giao dịch ngắn hạn về vốn.</w:t>
      </w:r>
    </w:p>
    <w:p w14:paraId="14DDC6E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7. Giao dịch ngắn hạn là giao dịch với kỳ hạn dưới 12 tháng các giấy tờ có giá.</w:t>
      </w:r>
    </w:p>
    <w:p w14:paraId="1B2408D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8. Giấy tờ có giá là bằng chứng xác nhận nghĩa vụ trả nợ giữa tổ chức phát hành giấy tờ có giá với người sở hữu giấy tờ có giá trong một thời hạn nhất định, điều kiện trả lãi và các điều kiện khác.</w:t>
      </w:r>
    </w:p>
    <w:p w14:paraId="50743583"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lastRenderedPageBreak/>
        <w:t>9. Hệ thống thanh toán quốc gia là hệ thống thanh toán liên ngân hàng do Ngân hàng Nhà nước tổ chức, quản lý, vận hành.</w:t>
      </w:r>
    </w:p>
    <w:p w14:paraId="1535C3C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10. Dịch vụ trung gian thanh toán là hoạt động làm trung gian kết nối, truyền dẫn và xử lý dữ liệu điện tử các giao dịch thanh toán giữa tổ chức cung ứng dịch vụ thanh toán và người sử dụng dịch vụ thanh toán.</w:t>
      </w:r>
    </w:p>
    <w:p w14:paraId="4AA44CF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11. Thanh tra ngân hàng là hoạt động thanh tra của Ngân hàng Nhà nước đối với các đối tượng thanh tra ngân hàng trong việc chấp hành pháp luật về tiền tệ và ngân hàng.</w:t>
      </w:r>
    </w:p>
    <w:p w14:paraId="1C293E8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12. Giám sát ngân hàng là hoạt động của Ngân hàng Nhà nước trong việc thu thập, tổng hợp, phân tích thông tin về đối tượng giám sát ngân hàng thông qua hệ thống thông tin, báo cáo nhằm phòng ngừa, phát hiện, ngăn chặn và xử lý kịp thời rủi ro gây mất an toàn hoạt động ngân hàng, vi phạm quy định an toàn hoạt động ngân hàng và các quy định khác của pháp luật có liên quan.</w:t>
      </w:r>
      <w:r w:rsidRPr="00917107">
        <w:rPr>
          <w:rFonts w:ascii="Arial" w:hAnsi="Arial" w:cs="Arial"/>
          <w:sz w:val="20"/>
          <w:szCs w:val="20"/>
        </w:rPr>
        <w:tab/>
      </w:r>
    </w:p>
    <w:p w14:paraId="75508D9E" w14:textId="77777777" w:rsidR="00917107" w:rsidRPr="00917107" w:rsidRDefault="00917107" w:rsidP="00917107">
      <w:pPr>
        <w:jc w:val="center"/>
        <w:rPr>
          <w:rFonts w:ascii="Arial" w:hAnsi="Arial" w:cs="Arial"/>
          <w:b/>
          <w:sz w:val="20"/>
          <w:szCs w:val="20"/>
        </w:rPr>
      </w:pPr>
    </w:p>
    <w:p w14:paraId="2E55D8AA"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CHƯƠNG II</w:t>
      </w:r>
    </w:p>
    <w:p w14:paraId="2E65CBC0" w14:textId="77777777" w:rsidR="00917107" w:rsidRDefault="00917107" w:rsidP="00917107">
      <w:pPr>
        <w:jc w:val="center"/>
        <w:rPr>
          <w:rFonts w:ascii="Arial" w:hAnsi="Arial" w:cs="Arial"/>
          <w:b/>
          <w:sz w:val="20"/>
          <w:szCs w:val="20"/>
        </w:rPr>
      </w:pPr>
      <w:r w:rsidRPr="00917107">
        <w:rPr>
          <w:rFonts w:ascii="Arial" w:hAnsi="Arial" w:cs="Arial"/>
          <w:b/>
          <w:sz w:val="20"/>
          <w:szCs w:val="20"/>
        </w:rPr>
        <w:t>TỔ CHỨC CỦA NGÂN HÀNG NHÀ NƯỚC</w:t>
      </w:r>
    </w:p>
    <w:p w14:paraId="12463E00" w14:textId="77777777" w:rsidR="00917107" w:rsidRPr="00917107" w:rsidRDefault="00917107" w:rsidP="00917107">
      <w:pPr>
        <w:jc w:val="center"/>
        <w:rPr>
          <w:rFonts w:ascii="Arial" w:hAnsi="Arial" w:cs="Arial"/>
          <w:b/>
          <w:sz w:val="20"/>
          <w:szCs w:val="20"/>
        </w:rPr>
      </w:pPr>
    </w:p>
    <w:p w14:paraId="2BC530C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7. </w:t>
      </w:r>
      <w:r w:rsidRPr="00917107">
        <w:rPr>
          <w:rFonts w:ascii="Arial" w:hAnsi="Arial" w:cs="Arial"/>
          <w:sz w:val="20"/>
          <w:szCs w:val="20"/>
        </w:rPr>
        <w:t>Tổ chức của Ngân hàng Nhà nước</w:t>
      </w:r>
    </w:p>
    <w:p w14:paraId="46ED5DF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Ngân hàng Nhà nước được tổ chức thành hệ thống tập trung, thống nhất, gồm bộ máy điều hành và các đơn vị hoạt động nghiệp vụ tại trụ sở chính, chi nhánh, văn phòng đại diện, đơn vị trực thuộc khác.</w:t>
      </w:r>
    </w:p>
    <w:p w14:paraId="1B3BC45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Cơ cấu tổ chức của Ngân hàng Nhà nước do Chính phủ quy định.</w:t>
      </w:r>
    </w:p>
    <w:p w14:paraId="5EE8537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Cơ cấu tổ chức, nhiệm vụ, quyền hạn của các đơn vị thuộc Ngân hàng Nhà nước do Thống đốc Ngân hàng Nhà nước quy định, trừ trường hợp quy định tại khoản 2 Điều 49 của Luật này.</w:t>
      </w:r>
    </w:p>
    <w:p w14:paraId="11D6BA8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4. Thống đốc Ngân hàng Nhà nước quyết định thành lập, chấm dứt hoạt động của chi nhánh, văn phòng đại diện, các ban, hội đồng tư vấn về các vấn đề liên quan đến chức năng, nhiệm vụ của Ngân hàng Nhà nước; quyết định thành lập, chấm dứt hoạt động theo thẩm quyền các đơn vị trực thuộc Ngân hàng Nhà nước hoạt động trong các lĩnh vực đào tạo, bồi dưỡng nghiệp vụ ngân hàng, nghiên cứu, thông tin, lý luận khoa học ngân hàng, cung cấp dịch vụ liên quan đến hoạt động kho quỹ, dịch vụ công nghệ tin học ngân hàng và thanh toán, dịch vụ thông tin tín dụng.</w:t>
      </w:r>
    </w:p>
    <w:p w14:paraId="75BD71C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8. </w:t>
      </w:r>
      <w:r w:rsidRPr="00917107">
        <w:rPr>
          <w:rFonts w:ascii="Arial" w:hAnsi="Arial" w:cs="Arial"/>
          <w:sz w:val="20"/>
          <w:szCs w:val="20"/>
        </w:rPr>
        <w:t>Lãnh đạo, điều hành Ngân hàng Nhà nước</w:t>
      </w:r>
    </w:p>
    <w:p w14:paraId="7FC3B33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1. Thống đốc Ngân hàng Nhà nước là thành viên của Chính phủ, là người đứng đầu và lãnh đạo Ngân hàng Nhà nước; chịu trách nhiệm trước Thủ tướng Chính phủ, trước Quốc hội về quản lý nhà nước trong lĩnh vực tiền tệ và ngân hàng. </w:t>
      </w:r>
    </w:p>
    <w:p w14:paraId="11C02F6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Thống đốc Ngân hàng Nhà nước có các nhiệm vụ, quyền hạn sau đây:</w:t>
      </w:r>
    </w:p>
    <w:p w14:paraId="14E7998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a) Tổ chức và chỉ đạo thực hiện chính sách tiền tệ quốc gia theo thẩm quyền;</w:t>
      </w:r>
    </w:p>
    <w:p w14:paraId="13FA77D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b) Tổ chức và chỉ đạo thực hiện nhiệm vụ, quyền hạn của Ngân hàng Nhà nước theo quy định của Luật này và các quy định khác của pháp luật có liên quan;</w:t>
      </w:r>
    </w:p>
    <w:p w14:paraId="0AD51143"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c) Đại diện pháp nhân của Ngân hàng Nhà nước.</w:t>
      </w:r>
    </w:p>
    <w:p w14:paraId="2B03DEC1"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9. </w:t>
      </w:r>
      <w:r w:rsidRPr="00917107">
        <w:rPr>
          <w:rFonts w:ascii="Arial" w:hAnsi="Arial" w:cs="Arial"/>
          <w:sz w:val="20"/>
          <w:szCs w:val="20"/>
        </w:rPr>
        <w:t>Cán bộ, công chức của Ngân hàng Nhà nước</w:t>
      </w:r>
    </w:p>
    <w:p w14:paraId="4E855A6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Việc tuyển dụng, sử dụng, quản lý cán bộ, công chức Ngân hàng Nhà nước về nguyên tắc thực hiện theo quy định của Luật cán bộ, công chức. Thủ tướng Chính phủ quy định cơ chế tuyển dụng, chế độ đãi ngộ cán bộ, công chức phù hợp với hoạt động nghiệp vụ đặc thù của Ngân hàng Nhà nước.</w:t>
      </w:r>
    </w:p>
    <w:p w14:paraId="6CEA9F93" w14:textId="77777777" w:rsidR="00917107" w:rsidRPr="00917107" w:rsidRDefault="00917107" w:rsidP="00917107">
      <w:pPr>
        <w:spacing w:after="120"/>
        <w:ind w:firstLine="720"/>
        <w:jc w:val="both"/>
        <w:rPr>
          <w:rFonts w:ascii="Arial" w:hAnsi="Arial" w:cs="Arial"/>
          <w:sz w:val="20"/>
          <w:szCs w:val="20"/>
        </w:rPr>
      </w:pPr>
    </w:p>
    <w:p w14:paraId="7FF8A909"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lastRenderedPageBreak/>
        <w:t>CHƯƠNG III</w:t>
      </w:r>
      <w:r w:rsidRPr="00917107">
        <w:rPr>
          <w:rFonts w:ascii="Arial" w:hAnsi="Arial" w:cs="Arial"/>
          <w:b/>
          <w:sz w:val="20"/>
          <w:szCs w:val="20"/>
        </w:rPr>
        <w:br/>
        <w:t>HOẠT ĐỘNG CỦA  NGÂN HÀNG NHÀ NƯỚC</w:t>
      </w:r>
    </w:p>
    <w:p w14:paraId="0179A7FF" w14:textId="77777777" w:rsidR="00917107" w:rsidRDefault="00917107" w:rsidP="00917107">
      <w:pPr>
        <w:jc w:val="center"/>
        <w:rPr>
          <w:rFonts w:ascii="Arial" w:hAnsi="Arial" w:cs="Arial"/>
          <w:b/>
          <w:sz w:val="20"/>
          <w:szCs w:val="20"/>
        </w:rPr>
      </w:pPr>
    </w:p>
    <w:p w14:paraId="332EA081" w14:textId="77777777" w:rsidR="00917107" w:rsidRDefault="00917107" w:rsidP="00917107">
      <w:pPr>
        <w:jc w:val="center"/>
        <w:rPr>
          <w:rFonts w:ascii="Arial" w:hAnsi="Arial" w:cs="Arial"/>
          <w:b/>
          <w:sz w:val="20"/>
          <w:szCs w:val="20"/>
        </w:rPr>
      </w:pPr>
      <w:r w:rsidRPr="00917107">
        <w:rPr>
          <w:rFonts w:ascii="Arial" w:hAnsi="Arial" w:cs="Arial"/>
          <w:b/>
          <w:sz w:val="20"/>
          <w:szCs w:val="20"/>
        </w:rPr>
        <w:t>Mục 1</w:t>
      </w:r>
      <w:r w:rsidRPr="00917107">
        <w:rPr>
          <w:rFonts w:ascii="Arial" w:hAnsi="Arial" w:cs="Arial"/>
          <w:b/>
          <w:sz w:val="20"/>
          <w:szCs w:val="20"/>
        </w:rPr>
        <w:br/>
        <w:t>THỰC HIỆN CHÍNH SÁCH TIỀN TỆ QUỐC GIA</w:t>
      </w:r>
    </w:p>
    <w:p w14:paraId="1ED0378E" w14:textId="77777777" w:rsidR="00917107" w:rsidRPr="00917107" w:rsidRDefault="00917107" w:rsidP="00917107">
      <w:pPr>
        <w:jc w:val="center"/>
        <w:rPr>
          <w:rFonts w:ascii="Arial" w:hAnsi="Arial" w:cs="Arial"/>
          <w:b/>
          <w:sz w:val="20"/>
          <w:szCs w:val="20"/>
        </w:rPr>
      </w:pPr>
    </w:p>
    <w:p w14:paraId="34EFF48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10. </w:t>
      </w:r>
      <w:r w:rsidRPr="00917107">
        <w:rPr>
          <w:rFonts w:ascii="Arial" w:hAnsi="Arial" w:cs="Arial"/>
          <w:sz w:val="20"/>
          <w:szCs w:val="20"/>
        </w:rPr>
        <w:t xml:space="preserve">Công cụ thực hiện chính sách tiền tệ quốc gia </w:t>
      </w:r>
    </w:p>
    <w:p w14:paraId="7484A82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Thống đốc Ngân hàng Nhà nước quyết định việc sử dụng công cụ thực hiện chính sách tiền tệ quốc gia, bao gồm tái cấp vốn, lãi suất, tỷ giá hối đoái, dự trữ bắt buộc, nghiệp vụ thị trường mở và các công cụ, biện pháp khác theo quy định của Chính phủ.</w:t>
      </w:r>
    </w:p>
    <w:p w14:paraId="203314A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11.</w:t>
      </w:r>
      <w:r w:rsidRPr="00917107">
        <w:rPr>
          <w:rFonts w:ascii="Arial" w:hAnsi="Arial" w:cs="Arial"/>
          <w:sz w:val="20"/>
          <w:szCs w:val="20"/>
        </w:rPr>
        <w:t xml:space="preserve"> Tái cấp vốn</w:t>
      </w:r>
    </w:p>
    <w:p w14:paraId="62AD1DD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Tái cấp vốn là hình thức cấp tín dụng của Ngân hàng Nhà nước nhằm cung ứng vốn ngắn hạn và phương tiện thanh toán cho tổ chức tín dụng.</w:t>
      </w:r>
    </w:p>
    <w:p w14:paraId="265FB281"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quy định và thực hiện việc tái cấp vốn cho tổ chức tín dụng theo các hình thức sau đây:</w:t>
      </w:r>
    </w:p>
    <w:p w14:paraId="404FC51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a) Cho vay có bảo đảm bằng cầm cố giấy tờ có giá;</w:t>
      </w:r>
    </w:p>
    <w:p w14:paraId="4F4824F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b) Chiết khấu giấy tờ có giá;</w:t>
      </w:r>
    </w:p>
    <w:p w14:paraId="1DBE36D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c) Các hình thức tái cấp vốn khác.</w:t>
      </w:r>
    </w:p>
    <w:p w14:paraId="254B01F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12.</w:t>
      </w:r>
      <w:r w:rsidRPr="00917107">
        <w:rPr>
          <w:rFonts w:ascii="Arial" w:hAnsi="Arial" w:cs="Arial"/>
          <w:sz w:val="20"/>
          <w:szCs w:val="20"/>
        </w:rPr>
        <w:t xml:space="preserve"> Lãi suất </w:t>
      </w:r>
    </w:p>
    <w:p w14:paraId="49983AF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Ngân hàng Nhà nước công bố lãi suất tái cấp vốn, lãi suất cơ bản và các loại lãi suất khác để điều hành chính sách tiền tệ, chống cho vay nặng lãi.</w:t>
      </w:r>
    </w:p>
    <w:p w14:paraId="701B4A2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Trong trường hợp thị trường tiền tệ có diễn biến bất thường, Ngân hàng Nhà nước quy định cơ chế điều hành lãi suất áp dụng trong quan hệ giữa các tổ chức tín dụng với nhau và với khách hàng, các quan hệ tín dụng khác.</w:t>
      </w:r>
    </w:p>
    <w:p w14:paraId="61F8C95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13.</w:t>
      </w:r>
      <w:r w:rsidRPr="00917107">
        <w:rPr>
          <w:rFonts w:ascii="Arial" w:hAnsi="Arial" w:cs="Arial"/>
          <w:sz w:val="20"/>
          <w:szCs w:val="20"/>
        </w:rPr>
        <w:t xml:space="preserve"> Tỷ giá hối đoái </w:t>
      </w:r>
    </w:p>
    <w:p w14:paraId="2051866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 1. Tỷ giá hối đoái của đồng Việt Nam được hình thành trên cơ sở cung cầu ngoại tệ trên thị trường có sự điều tiết của Nhà nước.</w:t>
      </w:r>
    </w:p>
    <w:p w14:paraId="729D9E7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công bố tỷ giá hối đoái, quyết định chế độ tỷ giá, cơ chế điều hành tỷ giá.</w:t>
      </w:r>
    </w:p>
    <w:p w14:paraId="23D529E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14. </w:t>
      </w:r>
      <w:r w:rsidRPr="00917107">
        <w:rPr>
          <w:rFonts w:ascii="Arial" w:hAnsi="Arial" w:cs="Arial"/>
          <w:sz w:val="20"/>
          <w:szCs w:val="20"/>
        </w:rPr>
        <w:t>Dự trữ bắt buộc</w:t>
      </w:r>
    </w:p>
    <w:p w14:paraId="43B5415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Dự trữ bắt buộc là số tiền mà tổ chức tín dụng phải gửi tại Ngân hàng Nhà nước để thực hiện chính sách tiền tệ quốc gia.</w:t>
      </w:r>
    </w:p>
    <w:p w14:paraId="1B983F7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quy định tỷ lệ dự trữ bắt buộc đối với từng loại hình tổ chức tín dụng và từng loại tiền gửi tại tổ chức tín dụng nhằm thực hiện chính sách tiền tệ quốc gia.</w:t>
      </w:r>
    </w:p>
    <w:p w14:paraId="3AC8373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Ngân hàng Nhà nước quy định việc trả lãi đối với tiền gửi dự trữ bắt buộc, tiền gửi vượt dự trữ bắt buộc của từng loại hình tổ chức tín dụng đối với từng loại tiền gửi.</w:t>
      </w:r>
    </w:p>
    <w:p w14:paraId="2DFAF12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15. </w:t>
      </w:r>
      <w:r w:rsidRPr="00917107">
        <w:rPr>
          <w:rFonts w:ascii="Arial" w:hAnsi="Arial" w:cs="Arial"/>
          <w:sz w:val="20"/>
          <w:szCs w:val="20"/>
        </w:rPr>
        <w:t>Nghiệp vụ thị trường mở</w:t>
      </w:r>
    </w:p>
    <w:p w14:paraId="0F032E0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Ngân hàng Nhà nước thực hiện nghiệp vụ thị trường mở thông qua việc mua, bán giấy tờ có giá đối với tổ chức tín dụng.</w:t>
      </w:r>
    </w:p>
    <w:p w14:paraId="0809A4D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quy định loại giấy tờ có giá được phép giao dịch thông qua nghiệp vụ thị trường mở.</w:t>
      </w:r>
    </w:p>
    <w:p w14:paraId="7505FEA8"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Mục 2</w:t>
      </w:r>
    </w:p>
    <w:p w14:paraId="02076D78"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PHÁT HÀNH TIỀN GIẤY, TIỀN KIM LOẠI</w:t>
      </w:r>
    </w:p>
    <w:p w14:paraId="71FF4093"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16. </w:t>
      </w:r>
      <w:r w:rsidRPr="00917107">
        <w:rPr>
          <w:rFonts w:ascii="Arial" w:hAnsi="Arial" w:cs="Arial"/>
          <w:sz w:val="20"/>
          <w:szCs w:val="20"/>
        </w:rPr>
        <w:t xml:space="preserve">Đơn vị tiền </w:t>
      </w:r>
    </w:p>
    <w:p w14:paraId="685D392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lastRenderedPageBreak/>
        <w:t>Đơn vị tiền của nước Cộng hoà xã hội chủ nghĩa Việt Nam là "Đồng", ký hiệu quốc gia là "đ", ký hiệu quốc tế là "VND", một đồng bằng mười hào, một hào bằng mười xu.</w:t>
      </w:r>
    </w:p>
    <w:p w14:paraId="5B66270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17.</w:t>
      </w:r>
      <w:r w:rsidRPr="00917107">
        <w:rPr>
          <w:rFonts w:ascii="Arial" w:hAnsi="Arial" w:cs="Arial"/>
          <w:sz w:val="20"/>
          <w:szCs w:val="20"/>
        </w:rPr>
        <w:t xml:space="preserve"> Phát hành tiền giấy, tiền kim loại</w:t>
      </w:r>
    </w:p>
    <w:p w14:paraId="78F3B7D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Ngân hàng Nhà nước là cơ quan duy nhất phát hành tiền giấy, tiền kim loại của nước Cộng hoà xã hội chủ nghĩa Việt Nam.</w:t>
      </w:r>
    </w:p>
    <w:p w14:paraId="38E0A8D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Tiền giấy, tiền kim loại do Ngân hàng Nhà nước phát hành là phương tiện thanh toán hợp pháp trên lãnh thổ nước Cộng hoà xã hội chủ nghĩa Việt Nam.</w:t>
      </w:r>
    </w:p>
    <w:p w14:paraId="1DB9418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Ngân hàng Nhà nước bảo đảm cung ứng đủ số lượng và cơ cấu tiền giấy, tiền kim loại cho nền kinh tế.</w:t>
      </w:r>
    </w:p>
    <w:p w14:paraId="6714A01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4. Tiền giấy, tiền kim loại phát hành vào lưu thông là tài sản "Nợ" đối với nền kinh tế và được cân đối bằng tài sản "Có" của Ngân hàng Nhà nước.</w:t>
      </w:r>
    </w:p>
    <w:p w14:paraId="1D4E01A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18. </w:t>
      </w:r>
      <w:r w:rsidRPr="00917107">
        <w:rPr>
          <w:rFonts w:ascii="Arial" w:hAnsi="Arial" w:cs="Arial"/>
          <w:sz w:val="20"/>
          <w:szCs w:val="20"/>
        </w:rPr>
        <w:t xml:space="preserve">Thiết kế, in, đúc, bảo quản, vận chuyển, phát hành tiền vào lưu thông, tiêu huỷ tiền </w:t>
      </w:r>
    </w:p>
    <w:p w14:paraId="54A203B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Ngân hàng Nhà nước thiết kế mệnh giá, kích thước, trọng lượng, hình vẽ, hoa văn và các đặc điểm khác của tiền trình Thủ tướng Chính phủ phê duyệt.</w:t>
      </w:r>
    </w:p>
    <w:p w14:paraId="6676399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tổ chức thực hiện việc in, đúc, bảo quản, vận chuyển, phát hành tiền vào lưu thông, tiêu huỷ tiền.</w:t>
      </w:r>
    </w:p>
    <w:p w14:paraId="608CE83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19.</w:t>
      </w:r>
      <w:r w:rsidRPr="00917107">
        <w:rPr>
          <w:rFonts w:ascii="Arial" w:hAnsi="Arial" w:cs="Arial"/>
          <w:sz w:val="20"/>
          <w:szCs w:val="20"/>
        </w:rPr>
        <w:t xml:space="preserve"> Xử lý tiền rách nát, hư hỏng</w:t>
      </w:r>
    </w:p>
    <w:p w14:paraId="18B672C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Ngân hàng Nhà nước quy định tiêu chuẩn phân loại tiền rách nát, hư hỏng; đổi, thu hồi các loại tiền rách nát, hư hỏng do quá trình lưu thông; không đổi những đồng tiền rách nát, hư hỏng do hành vi huỷ hoại.</w:t>
      </w:r>
    </w:p>
    <w:p w14:paraId="2A5F325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20. </w:t>
      </w:r>
      <w:r w:rsidRPr="00917107">
        <w:rPr>
          <w:rFonts w:ascii="Arial" w:hAnsi="Arial" w:cs="Arial"/>
          <w:sz w:val="20"/>
          <w:szCs w:val="20"/>
        </w:rPr>
        <w:t xml:space="preserve">Thu hồi, thay thế tiền </w:t>
      </w:r>
    </w:p>
    <w:p w14:paraId="211ADD7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Ngân hàng Nhà nước thu hồi và rút khỏi lưu thông các loại tiền không còn thích hợp và phát hành các loại tiền khác thay thế. Các loại tiền thu hồi được đổi lấy các loại tiền khác với giá trị tương đương trong thời hạn do Ngân hàng Nhà nước quy định. Sau thời hạn thu hồi, các loại tiền thuộc diện thu hồi không còn giá trị lưu hành.</w:t>
      </w:r>
    </w:p>
    <w:p w14:paraId="1EAFF2D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21.</w:t>
      </w:r>
      <w:r w:rsidRPr="00917107">
        <w:rPr>
          <w:rFonts w:ascii="Arial" w:hAnsi="Arial" w:cs="Arial"/>
          <w:sz w:val="20"/>
          <w:szCs w:val="20"/>
        </w:rPr>
        <w:t xml:space="preserve"> Tiền mẫu, tiền lưu niệm</w:t>
      </w:r>
    </w:p>
    <w:p w14:paraId="5F048B5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Ngân hàng Nhà nước tổ chức thực hiện việc thiết kế, in, đúc, bán ở trong nước và nước ngoài các loại tiền mẫu, tiền lưu niệm phục vụ cho mục đích sưu tập hoặc mục đích khác theo quy định của Thủ tướng Chính phủ.</w:t>
      </w:r>
    </w:p>
    <w:p w14:paraId="4C630D0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22.</w:t>
      </w:r>
      <w:r w:rsidRPr="00917107">
        <w:rPr>
          <w:rFonts w:ascii="Arial" w:hAnsi="Arial" w:cs="Arial"/>
          <w:sz w:val="20"/>
          <w:szCs w:val="20"/>
        </w:rPr>
        <w:t xml:space="preserve"> Ban hành, kiểm tra nghiệp vụ phát hành tiền </w:t>
      </w:r>
    </w:p>
    <w:p w14:paraId="0EF8BA9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Chính phủ ban hành quy định về nghiệp vụ phát hành tiền, bao gồm việc in, đúc, bảo quản, vận chuyển, phát hành, thu hồi, thay thế, tiêu huỷ tiền, chi phí cho các hoạt động nghiệp vụ phát hành tiền.</w:t>
      </w:r>
    </w:p>
    <w:p w14:paraId="771BDB6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Bộ Tài chính kiểm tra việc thực hiện nghiệp vụ in, đúc và tiêu huỷ tiền.</w:t>
      </w:r>
    </w:p>
    <w:p w14:paraId="02BD958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23. </w:t>
      </w:r>
      <w:r w:rsidRPr="00917107">
        <w:rPr>
          <w:rFonts w:ascii="Arial" w:hAnsi="Arial" w:cs="Arial"/>
          <w:sz w:val="20"/>
          <w:szCs w:val="20"/>
        </w:rPr>
        <w:t>Các hành vi bị cấm</w:t>
      </w:r>
    </w:p>
    <w:p w14:paraId="3E1E270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Làm tiền giả; vận chuyển, tàng trữ, lưu hành tiền giả.</w:t>
      </w:r>
    </w:p>
    <w:p w14:paraId="25CCCA6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Huỷ hoại đồng tiền trái pháp luật.</w:t>
      </w:r>
    </w:p>
    <w:p w14:paraId="3C7CE5F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Từ chối nhận, lưu hành đồng tiền đủ tiêu chuẩn lưu thông do Ngân hàng Nhà nước phát hành.</w:t>
      </w:r>
    </w:p>
    <w:p w14:paraId="1E8F492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4. Các hành vi bị cấm khác theo quy định của pháp luật.</w:t>
      </w:r>
    </w:p>
    <w:p w14:paraId="79F6A393"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Mục 3</w:t>
      </w:r>
      <w:r w:rsidRPr="00917107">
        <w:rPr>
          <w:rFonts w:ascii="Arial" w:hAnsi="Arial" w:cs="Arial"/>
          <w:b/>
          <w:sz w:val="20"/>
          <w:szCs w:val="20"/>
        </w:rPr>
        <w:br/>
        <w:t>CHO VAY, BẢO LÃNH, TẠM ỨNG CHO NGÂN SÁCH</w:t>
      </w:r>
    </w:p>
    <w:p w14:paraId="05EE3E0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24. </w:t>
      </w:r>
      <w:r w:rsidRPr="00917107">
        <w:rPr>
          <w:rFonts w:ascii="Arial" w:hAnsi="Arial" w:cs="Arial"/>
          <w:sz w:val="20"/>
          <w:szCs w:val="20"/>
        </w:rPr>
        <w:t>Cho vay</w:t>
      </w:r>
    </w:p>
    <w:p w14:paraId="1FCD931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lastRenderedPageBreak/>
        <w:t>1. Ngân hàng Nhà nước cho tổ chức tín dụng vay ngắn hạn theo quy định tại điểm a khoản 2 Điều 11 của Luật này.</w:t>
      </w:r>
    </w:p>
    <w:p w14:paraId="2C90B45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xem xét, quyết định cho vay đặc biệt đối với tổ chức tín dụng trong các trường hợp sau đây:</w:t>
      </w:r>
    </w:p>
    <w:p w14:paraId="466274E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a) Tổ chức tín dụng lâm vào tình trạng mất khả năng chi trả, đe doạ sự ổn định của hệ thống các tổ chức tín dụng;</w:t>
      </w:r>
    </w:p>
    <w:p w14:paraId="4A2B5D7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b) Tổ chức tín dụng có nguy cơ mất khả năng chi trả do sự cố nghiêm trọng khác.</w:t>
      </w:r>
    </w:p>
    <w:p w14:paraId="7CAE7E9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Ngân hàng Nhà nước không cho vay đối với cá nhân, tổ chức không phải là tổ chức tín dụng quy định tại khoản 1 và khoản 2 Điều này.</w:t>
      </w:r>
    </w:p>
    <w:p w14:paraId="4D3C570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25. </w:t>
      </w:r>
      <w:r w:rsidRPr="00917107">
        <w:rPr>
          <w:rFonts w:ascii="Arial" w:hAnsi="Arial" w:cs="Arial"/>
          <w:sz w:val="20"/>
          <w:szCs w:val="20"/>
        </w:rPr>
        <w:t>Bảo lãnh</w:t>
      </w:r>
    </w:p>
    <w:p w14:paraId="1EE47E0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Ngân hàng Nhà nước không bảo lãnh cho tổ chức, cá nhân vay vốn, trừ trường hợp bảo lãnh cho tổ chức tín dụng vay vốn nước ngoài theo quyết định của Thủ tướng Chính phủ.</w:t>
      </w:r>
    </w:p>
    <w:p w14:paraId="3EC42A3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26.</w:t>
      </w:r>
      <w:r w:rsidRPr="00917107">
        <w:rPr>
          <w:rFonts w:ascii="Arial" w:hAnsi="Arial" w:cs="Arial"/>
          <w:sz w:val="20"/>
          <w:szCs w:val="20"/>
        </w:rPr>
        <w:t xml:space="preserve"> Tạm ứng cho ngân sách nhà nước</w:t>
      </w:r>
    </w:p>
    <w:p w14:paraId="0693442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Ngân hàng Nhà nước tạm ứng cho ngân sách trung ương để xử lý thiếu hụt tạm thời quỹ ngân sách nhà nước theo quyết định của Thủ tướng Chính phủ. Khoản tạm ứng này phải được hoàn trả trong năm ngân sách, trừ trường hợp đặc biệt do Uỷ ban thường vụ Quốc hội quyết định.</w:t>
      </w:r>
    </w:p>
    <w:p w14:paraId="5AA9BE3E" w14:textId="77777777" w:rsidR="00917107" w:rsidRPr="00917107" w:rsidRDefault="00917107" w:rsidP="00917107">
      <w:pPr>
        <w:jc w:val="center"/>
        <w:rPr>
          <w:rFonts w:ascii="Arial" w:hAnsi="Arial" w:cs="Arial"/>
          <w:b/>
          <w:sz w:val="20"/>
          <w:szCs w:val="20"/>
        </w:rPr>
      </w:pPr>
    </w:p>
    <w:p w14:paraId="3CF42DF6" w14:textId="77777777" w:rsidR="00917107" w:rsidRDefault="00917107" w:rsidP="00917107">
      <w:pPr>
        <w:jc w:val="center"/>
        <w:rPr>
          <w:rFonts w:ascii="Arial" w:hAnsi="Arial" w:cs="Arial"/>
          <w:b/>
          <w:sz w:val="20"/>
          <w:szCs w:val="20"/>
        </w:rPr>
      </w:pPr>
      <w:r w:rsidRPr="00917107">
        <w:rPr>
          <w:rFonts w:ascii="Arial" w:hAnsi="Arial" w:cs="Arial"/>
          <w:b/>
          <w:sz w:val="20"/>
          <w:szCs w:val="20"/>
        </w:rPr>
        <w:t>Mục 4</w:t>
      </w:r>
      <w:r w:rsidRPr="00917107">
        <w:rPr>
          <w:rFonts w:ascii="Arial" w:hAnsi="Arial" w:cs="Arial"/>
          <w:b/>
          <w:sz w:val="20"/>
          <w:szCs w:val="20"/>
        </w:rPr>
        <w:br/>
        <w:t>HOẠT ĐỘNG THANH TOÁN VÀ NGÂN QUỸ</w:t>
      </w:r>
    </w:p>
    <w:p w14:paraId="7E93FD3F" w14:textId="77777777" w:rsidR="00917107" w:rsidRPr="00917107" w:rsidRDefault="00917107" w:rsidP="00917107">
      <w:pPr>
        <w:jc w:val="center"/>
        <w:rPr>
          <w:rFonts w:ascii="Arial" w:hAnsi="Arial" w:cs="Arial"/>
          <w:b/>
          <w:sz w:val="20"/>
          <w:szCs w:val="20"/>
        </w:rPr>
      </w:pPr>
    </w:p>
    <w:p w14:paraId="0E6753A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27. </w:t>
      </w:r>
      <w:r w:rsidRPr="00917107">
        <w:rPr>
          <w:rFonts w:ascii="Arial" w:hAnsi="Arial" w:cs="Arial"/>
          <w:sz w:val="20"/>
          <w:szCs w:val="20"/>
        </w:rPr>
        <w:t>Mở tài khoản và thực hiện giao dịch trên tài khoản</w:t>
      </w:r>
    </w:p>
    <w:p w14:paraId="2D00C13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Ngân hàng Nhà nước được mở tài khoản và thực hiện giao dịch trên tài khoản ở ngân hàng nước ngoài, tổ chức tiền tệ, ngân hàng quốc tế.</w:t>
      </w:r>
    </w:p>
    <w:p w14:paraId="1101913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mở tài khoản và thực hiện giao dịch cho tổ chức tín dụng.</w:t>
      </w:r>
    </w:p>
    <w:p w14:paraId="042C6E8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Kho bạc Nhà nước mở tài khoản tại Ngân hàng Nhà nước. Ở tỉnh, thành phố trực thuộc trung ương, huyện, quận, thị xã, thành phố thuộc tỉnh không có chi nhánh của Ngân hàng Nhà nước, việc thực hiện các giao dịch cho Kho bạc Nhà nước theo quy định của Ngân hàng Nhà nước.</w:t>
      </w:r>
    </w:p>
    <w:p w14:paraId="379812F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28. </w:t>
      </w:r>
      <w:r w:rsidRPr="00917107">
        <w:rPr>
          <w:rFonts w:ascii="Arial" w:hAnsi="Arial" w:cs="Arial"/>
          <w:sz w:val="20"/>
          <w:szCs w:val="20"/>
        </w:rPr>
        <w:t>Tổ chức, quản lý, vận hành, giám sát hệ thống thanh toán quốc gia</w:t>
      </w:r>
    </w:p>
    <w:p w14:paraId="601B9DB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Ngân hàng Nhà nước tổ chức, quản lý, vận hành, giám sát hệ thống thanh toán quốc gia.</w:t>
      </w:r>
    </w:p>
    <w:p w14:paraId="1E7E3A1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thực hiện việc quản lý các phương tiện thanh toán trong nền kinh tế.</w:t>
      </w:r>
    </w:p>
    <w:p w14:paraId="6B88530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29. </w:t>
      </w:r>
      <w:r w:rsidRPr="00917107">
        <w:rPr>
          <w:rFonts w:ascii="Arial" w:hAnsi="Arial" w:cs="Arial"/>
          <w:sz w:val="20"/>
          <w:szCs w:val="20"/>
        </w:rPr>
        <w:t>Dịch vụ ngân quỹ</w:t>
      </w:r>
      <w:r w:rsidRPr="00917107">
        <w:rPr>
          <w:rFonts w:ascii="Arial" w:hAnsi="Arial" w:cs="Arial"/>
          <w:sz w:val="20"/>
          <w:szCs w:val="20"/>
        </w:rPr>
        <w:tab/>
      </w:r>
    </w:p>
    <w:p w14:paraId="67E74F3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Ngân hàng Nhà nước cung ứng dịch vụ ngân quỹ thông qua việc thu, chi tiền cho chủ tài khoản, vận chuyển, kiểm đếm, phân loại và xử lý tiền trong lưu thông.</w:t>
      </w:r>
    </w:p>
    <w:p w14:paraId="2FD62EF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30.</w:t>
      </w:r>
      <w:r w:rsidRPr="00917107">
        <w:rPr>
          <w:rFonts w:ascii="Arial" w:hAnsi="Arial" w:cs="Arial"/>
          <w:sz w:val="20"/>
          <w:szCs w:val="20"/>
        </w:rPr>
        <w:t xml:space="preserve"> Đại lý cho Kho bạc Nhà nước</w:t>
      </w:r>
    </w:p>
    <w:p w14:paraId="46D4B8F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Ngân hàng Nhà nước làm đại lý cho Kho bạc Nhà nước trong việc tổ chức đấu thầu, phát hành, lưu ký và thanh toán tín phiếu kho bạc, trái phiếu kho bạc.</w:t>
      </w:r>
    </w:p>
    <w:p w14:paraId="69C8792D" w14:textId="77777777" w:rsidR="00917107" w:rsidRPr="00917107" w:rsidRDefault="00917107" w:rsidP="00917107">
      <w:pPr>
        <w:jc w:val="center"/>
        <w:rPr>
          <w:rFonts w:ascii="Arial" w:hAnsi="Arial" w:cs="Arial"/>
          <w:b/>
          <w:sz w:val="20"/>
          <w:szCs w:val="20"/>
        </w:rPr>
      </w:pPr>
    </w:p>
    <w:p w14:paraId="4ADD9BF2" w14:textId="77777777" w:rsidR="00917107" w:rsidRDefault="00917107" w:rsidP="00917107">
      <w:pPr>
        <w:jc w:val="center"/>
        <w:rPr>
          <w:rFonts w:ascii="Arial" w:hAnsi="Arial" w:cs="Arial"/>
          <w:b/>
          <w:sz w:val="20"/>
          <w:szCs w:val="20"/>
        </w:rPr>
      </w:pPr>
      <w:r w:rsidRPr="00917107">
        <w:rPr>
          <w:rFonts w:ascii="Arial" w:hAnsi="Arial" w:cs="Arial"/>
          <w:b/>
          <w:sz w:val="20"/>
          <w:szCs w:val="20"/>
        </w:rPr>
        <w:t>Mục 5</w:t>
      </w:r>
      <w:r w:rsidRPr="00917107">
        <w:rPr>
          <w:rFonts w:ascii="Arial" w:hAnsi="Arial" w:cs="Arial"/>
          <w:b/>
          <w:sz w:val="20"/>
          <w:szCs w:val="20"/>
        </w:rPr>
        <w:br/>
        <w:t>QUẢN LÝ NGOẠI HỐI VÀ HOẠT ĐỘNG NGOẠI HỐI</w:t>
      </w:r>
    </w:p>
    <w:p w14:paraId="32B482A2" w14:textId="77777777" w:rsidR="00917107" w:rsidRPr="00917107" w:rsidRDefault="00917107" w:rsidP="00917107">
      <w:pPr>
        <w:jc w:val="center"/>
        <w:rPr>
          <w:rFonts w:ascii="Arial" w:hAnsi="Arial" w:cs="Arial"/>
          <w:b/>
          <w:sz w:val="20"/>
          <w:szCs w:val="20"/>
        </w:rPr>
      </w:pPr>
    </w:p>
    <w:p w14:paraId="5204540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31. </w:t>
      </w:r>
      <w:r w:rsidRPr="00917107">
        <w:rPr>
          <w:rFonts w:ascii="Arial" w:hAnsi="Arial" w:cs="Arial"/>
          <w:sz w:val="20"/>
          <w:szCs w:val="20"/>
        </w:rPr>
        <w:t>Nhiệm vụ, quyền hạn của Ngân hàng Nhà nước về quản lý ngoại hối và hoạt động ngoại hối</w:t>
      </w:r>
    </w:p>
    <w:p w14:paraId="0B18357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Quản lý ngoại hối và sử dụng ngoại hối trên lãnh thổ Việt Nam theo quy định của pháp luật.</w:t>
      </w:r>
    </w:p>
    <w:p w14:paraId="3AC89E9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lastRenderedPageBreak/>
        <w:t>2. Tổ chức và phát triển thị trường ngoại tệ.</w:t>
      </w:r>
    </w:p>
    <w:p w14:paraId="3D786703"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Cấp, thu hồi giấy phép hoạt động ngoại hối cho tổ chức tín dụng, các tổ chức khác có hoạt động ngoại hối.</w:t>
      </w:r>
    </w:p>
    <w:p w14:paraId="4F14B05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4. Trình Thủ tướng Chính phủ quyết định biện pháp hạn chế giao dịch ngoại hối để bảo đảm an ninh tài chính, tiền tệ quốc gia.</w:t>
      </w:r>
    </w:p>
    <w:p w14:paraId="67BEA431"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5. Tổ chức, quản lý, tham gia thị trường ngoại tệ liên ngân hàng.</w:t>
      </w:r>
    </w:p>
    <w:p w14:paraId="17ADE5C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6. Nhiệm vụ, quyền hạn khác về quản lý ngoại hối và hoạt động ngoại hối theo quy định của pháp luật.</w:t>
      </w:r>
    </w:p>
    <w:p w14:paraId="05551EC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32.</w:t>
      </w:r>
      <w:r w:rsidRPr="00917107">
        <w:rPr>
          <w:rFonts w:ascii="Arial" w:hAnsi="Arial" w:cs="Arial"/>
          <w:sz w:val="20"/>
          <w:szCs w:val="20"/>
        </w:rPr>
        <w:t xml:space="preserve"> Quản lý Dự trữ ngoại hối nhà nước</w:t>
      </w:r>
    </w:p>
    <w:p w14:paraId="2D8A41B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Dự trữ ngoại hối nhà nước bao gồm:</w:t>
      </w:r>
    </w:p>
    <w:p w14:paraId="2C089EC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a) Ngoại tệ tiền mặt, tiền gửi bằng ngoại tệ ở nước ngoài;</w:t>
      </w:r>
    </w:p>
    <w:p w14:paraId="61C08EE3"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b) Chứng khoán, giấy tờ có giá khác bằng ngoại tệ do Chính phủ, tổ chức nước ngoài, tổ chức quốc tế phát hành;</w:t>
      </w:r>
    </w:p>
    <w:p w14:paraId="33367CB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c) Quyền rút vốn đặc biệt, dự trữ tại Quỹ tiền tệ quốc tế;</w:t>
      </w:r>
    </w:p>
    <w:p w14:paraId="4C5A978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d) Vàng do Ngân hàng Nhà nước quản lý;</w:t>
      </w:r>
    </w:p>
    <w:p w14:paraId="4A73C7D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đ) Các loại ngoại hối khác của Nhà nước.</w:t>
      </w:r>
    </w:p>
    <w:p w14:paraId="56C787D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quản lý Dự trữ ngoại hối nhà nước theo quy định của pháp luật về ngoại hối nhằm thực hiện chính sách tiền tệ quốc gia, bảo đảm khả năng thanh toán quốc tế và bảo toàn Dự trữ ngoại hối nhà nước.</w:t>
      </w:r>
    </w:p>
    <w:p w14:paraId="3FB2DDB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3. Thủ tướng Chính phủ quyết định việc sử dụng Dự trữ ngoại hối nhà nước cho nhu cầu đột xuất, cấp bách của Nhà nước; trường hợp sử dụng Dự trữ ngoại hối nhà nước dẫn đến thay đổi dự toán ngân sách thì thực hiện theo quy định của Luật ngân sách nhà nước. </w:t>
      </w:r>
    </w:p>
    <w:p w14:paraId="4BF02EB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4. Ngân hàng Nhà nước báo cáo Thủ tướng Chính phủ theo định kỳ và đột xuất về quản lý Dự trữ ngoại hối nhà nước.</w:t>
      </w:r>
    </w:p>
    <w:p w14:paraId="583DD52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5. Bộ Tài chính kiểm tra việc quản lý Dự trữ ngoại hối nhà nước do Ngân hàng Nhà nước thực hiện theo quy định của Chính phủ.</w:t>
      </w:r>
    </w:p>
    <w:p w14:paraId="57277131"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33. </w:t>
      </w:r>
      <w:r w:rsidRPr="00917107">
        <w:rPr>
          <w:rFonts w:ascii="Arial" w:hAnsi="Arial" w:cs="Arial"/>
          <w:sz w:val="20"/>
          <w:szCs w:val="20"/>
        </w:rPr>
        <w:t>Hoạt động ngoại hối của Ngân hàng Nhà nước</w:t>
      </w:r>
    </w:p>
    <w:p w14:paraId="1F2E42D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Ngân hàng Nhà nước thực hiện việc mua, bán ngoại hối trên thị trường trong nước vì mục tiêu chính sách tiền tệ quốc gia; mua, bán ngoại hối trên thị trường quốc tế và thực hiện giao dịch ngoại hối khác theo quy định của Thủ tướng Chính phủ.</w:t>
      </w:r>
    </w:p>
    <w:p w14:paraId="4CC6E40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34. </w:t>
      </w:r>
      <w:r w:rsidRPr="00917107">
        <w:rPr>
          <w:rFonts w:ascii="Arial" w:hAnsi="Arial" w:cs="Arial"/>
          <w:sz w:val="20"/>
          <w:szCs w:val="20"/>
        </w:rPr>
        <w:t>Mua, bán ngoại tệ giữa Dự trữ ngoại hối nhà nước với ngân sách nhà nước</w:t>
      </w:r>
    </w:p>
    <w:p w14:paraId="0525F98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Thủ tướng Chính phủ quy định mức ngoại tệ Bộ Tài chính được giữ lại từ nguồn thu ngân sách để chi các khoản chi ngoại tệ thường xuyên của ngân sách nhà nước. Số ngoại tệ còn lại Bộ Tài chính bán cho Dự trữ ngoại hối nhà nước tập trung tại Ngân hàng Nhà nước.</w:t>
      </w:r>
    </w:p>
    <w:p w14:paraId="1CE22029" w14:textId="77777777" w:rsidR="00917107" w:rsidRPr="00917107" w:rsidRDefault="00917107" w:rsidP="00917107">
      <w:pPr>
        <w:jc w:val="center"/>
        <w:rPr>
          <w:rFonts w:ascii="Arial" w:hAnsi="Arial" w:cs="Arial"/>
          <w:b/>
          <w:sz w:val="20"/>
          <w:szCs w:val="20"/>
        </w:rPr>
      </w:pPr>
    </w:p>
    <w:p w14:paraId="29F88B41"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Mục 6</w:t>
      </w:r>
    </w:p>
    <w:p w14:paraId="3F030598" w14:textId="77777777" w:rsidR="00917107" w:rsidRDefault="00917107" w:rsidP="00917107">
      <w:pPr>
        <w:jc w:val="center"/>
        <w:rPr>
          <w:rFonts w:ascii="Arial" w:hAnsi="Arial" w:cs="Arial"/>
          <w:b/>
          <w:sz w:val="20"/>
          <w:szCs w:val="20"/>
        </w:rPr>
      </w:pPr>
      <w:r w:rsidRPr="00917107">
        <w:rPr>
          <w:rFonts w:ascii="Arial" w:hAnsi="Arial" w:cs="Arial"/>
          <w:b/>
          <w:sz w:val="20"/>
          <w:szCs w:val="20"/>
        </w:rPr>
        <w:t>HOẠT ĐỘNG THÔNG TIN, BÁO CÁO</w:t>
      </w:r>
    </w:p>
    <w:p w14:paraId="71FA6EE8" w14:textId="77777777" w:rsidR="00917107" w:rsidRPr="00917107" w:rsidRDefault="00917107" w:rsidP="00917107">
      <w:pPr>
        <w:jc w:val="center"/>
        <w:rPr>
          <w:rFonts w:ascii="Arial" w:hAnsi="Arial" w:cs="Arial"/>
          <w:b/>
          <w:sz w:val="20"/>
          <w:szCs w:val="20"/>
        </w:rPr>
      </w:pPr>
    </w:p>
    <w:p w14:paraId="2F7DC08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35.</w:t>
      </w:r>
      <w:r w:rsidRPr="00917107">
        <w:rPr>
          <w:rFonts w:ascii="Arial" w:hAnsi="Arial" w:cs="Arial"/>
          <w:sz w:val="20"/>
          <w:szCs w:val="20"/>
        </w:rPr>
        <w:t xml:space="preserve"> Trách nhiệm cung cấp thông tin cho Ngân hàng Nhà nước</w:t>
      </w:r>
    </w:p>
    <w:p w14:paraId="0650CE3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1. Tổ chức, cá nhân có trách nhiệm cung cấp thông tin cho Ngân hàng Nhà nước để xây dựng Bảng cân đối tiền tệ, xây dựng cán cân thanh toán của Việt Nam và đánh giá, dự báo xu hướng phát triển của thị trường tiền tệ nhằm phục vụ việc xây dựng và điều hành chính sách tiền tệ quốc gia, công tác quản lý ngoại hối. </w:t>
      </w:r>
    </w:p>
    <w:p w14:paraId="6505056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Các tổ chức tín dụng có trách nhiệm cung cấp thông tin, số liệu thống kê theo yêu cầu của Ngân hàng Nhà nước để đánh giá, thanh tra, giám sát tình hình hoạt động của hệ thống các tổ chức tín dụng và của từng tổ chức tín dụng.</w:t>
      </w:r>
    </w:p>
    <w:p w14:paraId="0CAC2073"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3. Thống đốc Ngân hàng Nhà nước quy định đối tượng, quy trình, phạm vi, loại thông tin, kỳ hạn và phương thức cung cấp thông tin quy định tại khoản 1 và khoản 2 Điều này. </w:t>
      </w:r>
    </w:p>
    <w:p w14:paraId="426596D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36. </w:t>
      </w:r>
      <w:r w:rsidRPr="00917107">
        <w:rPr>
          <w:rFonts w:ascii="Arial" w:hAnsi="Arial" w:cs="Arial"/>
          <w:sz w:val="20"/>
          <w:szCs w:val="20"/>
        </w:rPr>
        <w:t>Nguyên tắc cung cấp thông tin</w:t>
      </w:r>
    </w:p>
    <w:p w14:paraId="4E57D53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Thông tin do tổ chức, cá nhân cung cấp cho Ngân hàng Nhà nước phải bảo đảm chính xác, trung thực, đầy đủ, kịp thời.</w:t>
      </w:r>
    </w:p>
    <w:p w14:paraId="1A9BCAD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37.</w:t>
      </w:r>
      <w:r w:rsidRPr="00917107">
        <w:rPr>
          <w:rFonts w:ascii="Arial" w:hAnsi="Arial" w:cs="Arial"/>
          <w:sz w:val="20"/>
          <w:szCs w:val="20"/>
        </w:rPr>
        <w:t xml:space="preserve"> Nhiệm vụ của Ngân hàng Nhà nước về hoạt động thông tin </w:t>
      </w:r>
    </w:p>
    <w:p w14:paraId="65C2745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Trong hoạt động thông tin, Ngân hàng Nhà nước có các nhiệm vụ sau đây:</w:t>
      </w:r>
    </w:p>
    <w:p w14:paraId="6FF6620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a) Tổ chức thu nhận, sử dụng, lưu trữ, cung cấp và công bố thông tin phù hợp với quy định của pháp luật;</w:t>
      </w:r>
    </w:p>
    <w:p w14:paraId="5A1BB5B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b) Tổ chức, giám sát việc cung cấp thông tin tín dụng của khách hàng có quan hệ với tổ chức tín dụng cho tổ chức tín dụng; </w:t>
      </w:r>
    </w:p>
    <w:p w14:paraId="7417A54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c) Hướng dẫn việc cung cấp thông tin và đôn đốc, kiểm tra việc thực hiện cung cấp thông tin của tổ chức, cá nhân theo quy định của pháp luật.</w:t>
      </w:r>
    </w:p>
    <w:p w14:paraId="4A2C15D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có trách nhiệm công bố theo thẩm quyền các thông tin sau đây:</w:t>
      </w:r>
    </w:p>
    <w:p w14:paraId="184EC7E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a) Chủ trương, chính sách, pháp luật về tiền tệ và ngân hàng;</w:t>
      </w:r>
    </w:p>
    <w:p w14:paraId="21589B6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b) Quyết định điều hành của Thống đốc Ngân hàng Nhà nước về tiền tệ và ngân hàng;</w:t>
      </w:r>
    </w:p>
    <w:p w14:paraId="5F4D884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c) Tình hình diễn biến tiền tệ và ngân hàng;</w:t>
      </w:r>
    </w:p>
    <w:p w14:paraId="3C71831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d) Thông báo liên quan đến việc thành lập, mua, bán, chia, tách, hợp nhất, sáp nhập, phá sản hoặc giải thể tổ chức tín dụng;</w:t>
      </w:r>
    </w:p>
    <w:p w14:paraId="69BF539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đ) Kết quả tài chính và hoạt động của Ngân hàng Nhà nước theo quy định của pháp luật.</w:t>
      </w:r>
    </w:p>
    <w:p w14:paraId="6BF684D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38. </w:t>
      </w:r>
      <w:r w:rsidRPr="00917107">
        <w:rPr>
          <w:rFonts w:ascii="Arial" w:hAnsi="Arial" w:cs="Arial"/>
          <w:sz w:val="20"/>
          <w:szCs w:val="20"/>
        </w:rPr>
        <w:t>Bảo vệ bí mật thông tin</w:t>
      </w:r>
    </w:p>
    <w:p w14:paraId="6B534D2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Ngân hàng Nhà nước có trách nhiệm lập danh mục, thay đổi độ mật, giải mật bí mật nhà nước về lĩnh vực tiền tệ và ngân hàng gửi cơ quan nhà nước có thẩm quyền quyết định; bảo vệ bí mật của Ngân hàng Nhà nước và của tổ chức, cá nhân theo quy định của pháp luật.</w:t>
      </w:r>
    </w:p>
    <w:p w14:paraId="75C2ABC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được quyền từ chối yêu cầu của tổ chức, cá nhân về việc cung cấp thông tin mật về tiền tệ và ngân hàng, trừ trường hợp theo yêu cầu của cơ quan nhà nước có thẩm quyền theo quy định của pháp luật.</w:t>
      </w:r>
    </w:p>
    <w:p w14:paraId="4845B5F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3. Cán bộ, công chức Ngân hàng Nhà nước phải giữ bí mật thông tin hoạt động nghiệp vụ của Ngân hàng Nhà nước, của các tổ chức tín dụng và bí mật tiền gửi của tổ chức, cá nhân theo quy định của pháp luật. </w:t>
      </w:r>
    </w:p>
    <w:p w14:paraId="356253C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39. </w:t>
      </w:r>
      <w:r w:rsidRPr="00917107">
        <w:rPr>
          <w:rFonts w:ascii="Arial" w:hAnsi="Arial" w:cs="Arial"/>
          <w:sz w:val="20"/>
          <w:szCs w:val="20"/>
        </w:rPr>
        <w:t xml:space="preserve">Thống kê, phân tích, dự báo tiền tệ  </w:t>
      </w:r>
    </w:p>
    <w:p w14:paraId="183559C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Ngân hàng Nhà nước tổ chức thống kê, thu thập thông tin về kinh tế, tiền tệ và ngân hàng trong nước và nước ngoài phục vụ việc nghiên cứu, phân tích và dự báo diễn biến tiền tệ để xây dựng và điều hành chính sách tiền tệ quốc gia. </w:t>
      </w:r>
    </w:p>
    <w:p w14:paraId="51C208A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40.  </w:t>
      </w:r>
      <w:r w:rsidRPr="00917107">
        <w:rPr>
          <w:rFonts w:ascii="Arial" w:hAnsi="Arial" w:cs="Arial"/>
          <w:sz w:val="20"/>
          <w:szCs w:val="20"/>
        </w:rPr>
        <w:t>Hoạt động báo cáo</w:t>
      </w:r>
    </w:p>
    <w:p w14:paraId="1BD1BA1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Thủ tướng Chính phủ báo cáo hoặc ủy quyền cho Thống đốc Ngân hàng Nhà nước báo cáo Quốc hội kết quả thực hiện chính sách tiền tệ quốc gia hằng năm, báo cáo và giải trình về vấn đề được nêu ra trước Quốc hội, Ủy ban thường vụ Quốc hội và các cơ quan của Quốc hội; cung cấp kịp thời thông tin, tài liệu cần thiết cho cơ quan của Quốc hội khi được yêu cầu để giám sát thực hiện chính sách tiền tệ quốc gia.</w:t>
      </w:r>
    </w:p>
    <w:p w14:paraId="57DCE7A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báo cáo Chính phủ các nội dung sau đây:</w:t>
      </w:r>
    </w:p>
    <w:p w14:paraId="50AF258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a) Tình hình diễn biến tiền tệ và ngân hàng theo định kỳ 06 tháng và hằng năm;</w:t>
      </w:r>
    </w:p>
    <w:p w14:paraId="6A400A5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b) Báo cáo tài chính hằng năm đã được kiểm toán.</w:t>
      </w:r>
    </w:p>
    <w:p w14:paraId="35DA1C2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Ngân hàng Nhà nước cung cấp cho các bộ, cơ quan ngang bộ các báo cáo theo quy định của pháp luật.</w:t>
      </w:r>
    </w:p>
    <w:p w14:paraId="0B75D40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41. </w:t>
      </w:r>
      <w:r w:rsidRPr="00917107">
        <w:rPr>
          <w:rFonts w:ascii="Arial" w:hAnsi="Arial" w:cs="Arial"/>
          <w:sz w:val="20"/>
          <w:szCs w:val="20"/>
        </w:rPr>
        <w:t>Hoạt động xuất bản</w:t>
      </w:r>
    </w:p>
    <w:p w14:paraId="42534F81"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Ngân hàng Nhà nước tổ chức xuất bản các ấn phẩm về tiền tệ và ngân hàng theo quy định của pháp luật.</w:t>
      </w:r>
    </w:p>
    <w:p w14:paraId="111DEE98" w14:textId="77777777" w:rsidR="00917107" w:rsidRPr="00917107" w:rsidRDefault="00917107" w:rsidP="00917107">
      <w:pPr>
        <w:jc w:val="center"/>
        <w:rPr>
          <w:rFonts w:ascii="Arial" w:hAnsi="Arial" w:cs="Arial"/>
          <w:b/>
          <w:sz w:val="20"/>
          <w:szCs w:val="20"/>
        </w:rPr>
      </w:pPr>
    </w:p>
    <w:p w14:paraId="4456F1D2"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CHƯƠNG IV</w:t>
      </w:r>
      <w:r w:rsidRPr="00917107">
        <w:rPr>
          <w:rFonts w:ascii="Arial" w:hAnsi="Arial" w:cs="Arial"/>
          <w:b/>
          <w:sz w:val="20"/>
          <w:szCs w:val="20"/>
        </w:rPr>
        <w:br/>
        <w:t>TÀI CHÍNH, KẾ TOÁN CỦA NGÂN HÀNG NHÀ NƯỚC</w:t>
      </w:r>
    </w:p>
    <w:p w14:paraId="5687CC65" w14:textId="77777777" w:rsidR="00917107" w:rsidRPr="00917107" w:rsidRDefault="00917107" w:rsidP="00917107">
      <w:pPr>
        <w:jc w:val="center"/>
        <w:rPr>
          <w:rFonts w:ascii="Arial" w:hAnsi="Arial" w:cs="Arial"/>
          <w:b/>
          <w:sz w:val="20"/>
          <w:szCs w:val="20"/>
        </w:rPr>
      </w:pPr>
    </w:p>
    <w:p w14:paraId="32B926F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42. </w:t>
      </w:r>
      <w:r w:rsidRPr="00917107">
        <w:rPr>
          <w:rFonts w:ascii="Arial" w:hAnsi="Arial" w:cs="Arial"/>
          <w:sz w:val="20"/>
          <w:szCs w:val="20"/>
        </w:rPr>
        <w:t xml:space="preserve">Vốn pháp định </w:t>
      </w:r>
    </w:p>
    <w:p w14:paraId="0419B21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Vốn pháp định của Ngân hàng Nhà nước do ngân sách nhà nước cấp. Mức vốn pháp định của Ngân hàng Nhà nước do Thủ tướng Chính phủ quyết định. </w:t>
      </w:r>
    </w:p>
    <w:p w14:paraId="68D30C8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43.</w:t>
      </w:r>
      <w:r w:rsidRPr="00917107">
        <w:rPr>
          <w:rFonts w:ascii="Arial" w:hAnsi="Arial" w:cs="Arial"/>
          <w:sz w:val="20"/>
          <w:szCs w:val="20"/>
        </w:rPr>
        <w:t xml:space="preserve"> Thu, chi tài chính</w:t>
      </w:r>
    </w:p>
    <w:p w14:paraId="03956D6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Thu, chi tài chính của Ngân hàng Nhà nước về nguyên tắc thực hiện theo quy định của Luật ngân sách nhà nước. Thủ tướng Chính phủ quy định những nội dung thu, chi tài chính phù hợp với hoạt động nghiệp vụ đặc thù của Ngân hàng Nhà nước.</w:t>
      </w:r>
    </w:p>
    <w:p w14:paraId="16926BF3"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44.</w:t>
      </w:r>
      <w:r w:rsidRPr="00917107">
        <w:rPr>
          <w:rFonts w:ascii="Arial" w:hAnsi="Arial" w:cs="Arial"/>
          <w:sz w:val="20"/>
          <w:szCs w:val="20"/>
        </w:rPr>
        <w:t xml:space="preserve"> Kết quả tài chính </w:t>
      </w:r>
    </w:p>
    <w:p w14:paraId="0A43FBD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Kết quả tài chính hằng năm của Ngân hàng Nhà nước được xác định bằng nguồn thu về hoạt động nghiệp vụ ngân hàng và các nguồn thu khác, sau khi trừ chi phí hoạt động và các khoản dự phòng rủi ro. </w:t>
      </w:r>
    </w:p>
    <w:p w14:paraId="6D21CB5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45.</w:t>
      </w:r>
      <w:r w:rsidRPr="00917107">
        <w:rPr>
          <w:rFonts w:ascii="Arial" w:hAnsi="Arial" w:cs="Arial"/>
          <w:sz w:val="20"/>
          <w:szCs w:val="20"/>
        </w:rPr>
        <w:t xml:space="preserve"> Các quỹ </w:t>
      </w:r>
    </w:p>
    <w:p w14:paraId="448286B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Ngân hàng Nhà nước được trích từ kết quả tài chính hằng năm để lập các quỹ sau đây:</w:t>
      </w:r>
    </w:p>
    <w:p w14:paraId="5E773103"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a) Quỹ thực hiện chính sách tiền tệ quốc gia;</w:t>
      </w:r>
    </w:p>
    <w:p w14:paraId="1DA016B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b) Quỹ dự phòng tài chính;</w:t>
      </w:r>
    </w:p>
    <w:p w14:paraId="2193F6B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c) Quỹ khác do Thủ tướng Chính phủ quyết định.</w:t>
      </w:r>
    </w:p>
    <w:p w14:paraId="446BD571"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Mức trích lập và việc sử dụng các quỹ tại khoản 1 Điều này thực hiện theo quy định của Thủ tướng Chính phủ.</w:t>
      </w:r>
    </w:p>
    <w:p w14:paraId="77E8348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Kết quả tài chính của Ngân hàng Nhà nước sau khi trích lập các quỹ tại khoản 1 Điều này được nộp vào ngân sách nhà nước.</w:t>
      </w:r>
    </w:p>
    <w:p w14:paraId="22340F23"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46. </w:t>
      </w:r>
      <w:r w:rsidRPr="00917107">
        <w:rPr>
          <w:rFonts w:ascii="Arial" w:hAnsi="Arial" w:cs="Arial"/>
          <w:sz w:val="20"/>
          <w:szCs w:val="20"/>
        </w:rPr>
        <w:t xml:space="preserve">Hạch toán kế toán </w:t>
      </w:r>
    </w:p>
    <w:p w14:paraId="4235815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Ngân hàng Nhà nước thực hiện hạch toán kế toán theo các chuẩn mực kế toán của Việt Nam và theo chế độ kế toán đặc thù của Ngân hàng trung ương theo quy định của Thủ tướng Chính phủ.</w:t>
      </w:r>
    </w:p>
    <w:p w14:paraId="19B0A9D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47. </w:t>
      </w:r>
      <w:r w:rsidRPr="00917107">
        <w:rPr>
          <w:rFonts w:ascii="Arial" w:hAnsi="Arial" w:cs="Arial"/>
          <w:sz w:val="20"/>
          <w:szCs w:val="20"/>
        </w:rPr>
        <w:t>Kiểm toán</w:t>
      </w:r>
    </w:p>
    <w:p w14:paraId="2970B43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Báo cáo tài chính hằng năm của Ngân hàng Nhà nước được Kiểm toán Nhà nước kiểm toán và xác nhận.</w:t>
      </w:r>
    </w:p>
    <w:p w14:paraId="63BF49C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48. </w:t>
      </w:r>
      <w:r w:rsidRPr="00917107">
        <w:rPr>
          <w:rFonts w:ascii="Arial" w:hAnsi="Arial" w:cs="Arial"/>
          <w:sz w:val="20"/>
          <w:szCs w:val="20"/>
        </w:rPr>
        <w:t>Năm tài chính</w:t>
      </w:r>
    </w:p>
    <w:p w14:paraId="3C7EF57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 Năm tài chính của Ngân hàng Nhà nước bắt đầu từ ngày 01 tháng 01 và kết thúc vào ngày 31 tháng 12 năm dương lịch.</w:t>
      </w:r>
    </w:p>
    <w:p w14:paraId="6D9AE430" w14:textId="77777777" w:rsidR="00917107" w:rsidRPr="00917107" w:rsidRDefault="00917107" w:rsidP="00917107">
      <w:pPr>
        <w:spacing w:after="120"/>
        <w:ind w:firstLine="720"/>
        <w:jc w:val="both"/>
        <w:rPr>
          <w:rFonts w:ascii="Arial" w:hAnsi="Arial" w:cs="Arial"/>
          <w:sz w:val="20"/>
          <w:szCs w:val="20"/>
        </w:rPr>
      </w:pPr>
    </w:p>
    <w:p w14:paraId="6A30F41B" w14:textId="77777777" w:rsidR="00917107" w:rsidRDefault="00917107" w:rsidP="00917107">
      <w:pPr>
        <w:jc w:val="center"/>
        <w:rPr>
          <w:rFonts w:ascii="Arial" w:hAnsi="Arial" w:cs="Arial"/>
          <w:b/>
          <w:sz w:val="20"/>
          <w:szCs w:val="20"/>
        </w:rPr>
      </w:pPr>
      <w:r w:rsidRPr="00917107">
        <w:rPr>
          <w:rFonts w:ascii="Arial" w:hAnsi="Arial" w:cs="Arial"/>
          <w:b/>
          <w:sz w:val="20"/>
          <w:szCs w:val="20"/>
        </w:rPr>
        <w:t>CHƯƠNG V</w:t>
      </w:r>
      <w:r w:rsidRPr="00917107">
        <w:rPr>
          <w:rFonts w:ascii="Arial" w:hAnsi="Arial" w:cs="Arial"/>
          <w:b/>
          <w:sz w:val="20"/>
          <w:szCs w:val="20"/>
        </w:rPr>
        <w:br/>
        <w:t>THANH TRA, GIÁM SÁT NGÂN HÀNG</w:t>
      </w:r>
    </w:p>
    <w:p w14:paraId="73119496" w14:textId="77777777" w:rsidR="00917107" w:rsidRPr="00917107" w:rsidRDefault="00917107" w:rsidP="00917107">
      <w:pPr>
        <w:jc w:val="center"/>
        <w:rPr>
          <w:rFonts w:ascii="Arial" w:hAnsi="Arial" w:cs="Arial"/>
          <w:b/>
          <w:sz w:val="20"/>
          <w:szCs w:val="20"/>
        </w:rPr>
      </w:pPr>
    </w:p>
    <w:p w14:paraId="047E241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49.</w:t>
      </w:r>
      <w:r w:rsidRPr="00917107">
        <w:rPr>
          <w:rFonts w:ascii="Arial" w:hAnsi="Arial" w:cs="Arial"/>
          <w:sz w:val="20"/>
          <w:szCs w:val="20"/>
        </w:rPr>
        <w:t xml:space="preserve"> Cơ quan Thanh tra, giám sát ngân hàng</w:t>
      </w:r>
    </w:p>
    <w:p w14:paraId="763B923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1. Cơ quan Thanh tra, giám sát ngân hàng là đơn vị thuộc cơ cấu tổ chức của Ngân hàng Nhà nước, thực hiện nhiệm vụ thanh tra, giám sát ngân hàng, phòng, chống rửa tiền. </w:t>
      </w:r>
    </w:p>
    <w:p w14:paraId="6666597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Thủ tướng Chính phủ quy định cụ thể về tổ chức, nhiệm vụ, quyền hạn của Cơ quan Thanh tra, giám sát ngân hàng.</w:t>
      </w:r>
    </w:p>
    <w:p w14:paraId="7F824D3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50. </w:t>
      </w:r>
      <w:r w:rsidRPr="00917107">
        <w:rPr>
          <w:rFonts w:ascii="Arial" w:hAnsi="Arial" w:cs="Arial"/>
          <w:sz w:val="20"/>
          <w:szCs w:val="20"/>
        </w:rPr>
        <w:t>Mục đích thanh tra, giám sát ngân hàng</w:t>
      </w:r>
    </w:p>
    <w:p w14:paraId="44DA33C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Thanh tra, giám sát ngân hàng nhằm góp phần bảo đảm sự phát triển an toàn, lành mạnh của hệ thống các tổ chức tín dụng và hệ thống tài chính; bảo vệ quyền và lợi ích hợp pháp của người gửi tiền và khách hàng của tổ chức tín dụng; duy trì và nâng cao lòng tin của công chúng đối với hệ thống các tổ chức tín dụng; bảo đảm việc chấp hành chính sách, pháp luật về tiền tệ và ngân hàng; góp phần nâng cao hiệu quả và hiệu lực quản lý nhà nước trong lĩnh vực tiền tệ và ngân hàng.</w:t>
      </w:r>
    </w:p>
    <w:p w14:paraId="0200C3F1"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51. </w:t>
      </w:r>
      <w:r w:rsidRPr="00917107">
        <w:rPr>
          <w:rFonts w:ascii="Arial" w:hAnsi="Arial" w:cs="Arial"/>
          <w:sz w:val="20"/>
          <w:szCs w:val="20"/>
        </w:rPr>
        <w:t>Nguyên tắc thanh tra, giám sát ngân hàng</w:t>
      </w:r>
    </w:p>
    <w:p w14:paraId="7269B0F1"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Thanh tra, giám sát ngân hàng phải tuân theo pháp luật; bảo đảm chính xác, khách quan, trung thực, công khai, dân chủ, kịp thời; không làm cản trở hoạt động bình thường của cơ quan, tổ chức, cá nhân là đối tượng thanh tra, giám sát ngân hàng.</w:t>
      </w:r>
    </w:p>
    <w:p w14:paraId="5BB5F6D3"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2. Kết hợp thanh tra, giám sát việc chấp hành chính sách, pháp luật về tiền tệ và ngân hàng với thanh tra, giám sát rủi ro trong hoạt động của đối tượng thanh tra, giám sát ngân hàng.  </w:t>
      </w:r>
    </w:p>
    <w:p w14:paraId="6ECAF55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3. Thanh tra, giám sát ngân hàng được thực hiện theo nguyên tắc thanh tra, giám sát toàn bộ hoạt động của tổ chức tín dụng. </w:t>
      </w:r>
    </w:p>
    <w:p w14:paraId="7B33BC2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4. Thanh tra, giám sát ngân hàng được thực hiện theo quy định của Luật này và các quy định khác của pháp luật có liên quan; trường hợp có sự khác nhau giữa quy định về thanh tra, giám sát ngân hàng của Luật này với quy định của luật khác thì thực hiện theo quy định của Luật này.</w:t>
      </w:r>
    </w:p>
    <w:p w14:paraId="0AC666E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 5. Thống đốc Ngân hàng Nhà nước quy định trình tự, thủ tục thanh tra, giám sát ngân hàng.</w:t>
      </w:r>
    </w:p>
    <w:p w14:paraId="7866AF6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52. </w:t>
      </w:r>
      <w:r w:rsidRPr="00917107">
        <w:rPr>
          <w:rFonts w:ascii="Arial" w:hAnsi="Arial" w:cs="Arial"/>
          <w:sz w:val="20"/>
          <w:szCs w:val="20"/>
        </w:rPr>
        <w:t xml:space="preserve">Đối tượng thanh tra ngân hàng </w:t>
      </w:r>
    </w:p>
    <w:p w14:paraId="16646D3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Ngân hàng Nhà nước thanh tra các đối tượng sau đây:</w:t>
      </w:r>
    </w:p>
    <w:p w14:paraId="25BFC78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Tổ chức tín dụng, chi nhánh ngân hàng nước ngoài, văn phòng đại diện của tổ chức tín dụng nước ngoài, tổ chức nước ngoài khác có hoạt động ngân hàng. Trong trường hợp cần thiết, Ngân hàng Nhà nước yêu cầu cơ quan nhà nước có thẩm quyền thanh tra hoặc phối hợp thanh tra công ty con, công ty liên kết của tổ chức tín dụng;</w:t>
      </w:r>
    </w:p>
    <w:p w14:paraId="495758D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2. Tổ chức có hoạt động ngoại hối, hoạt động kinh doanh vàng; tổ chức hoạt động thông tin tín dụng; tổ chức cung ứng dịch vụ trung gian thanh toán không phải là ngân hàng; </w:t>
      </w:r>
    </w:p>
    <w:p w14:paraId="36F9250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Cơ quan, tổ chức, cá nhân Việt Nam và cơ quan, tổ chức, cá nhân nước ngoài tại Việt Nam trong việc thực hiện các quy định của pháp luật về tiền tệ và ngân hàng thuộc phạm vi quản lý nhà nước của Ngân hàng Nhà nước.</w:t>
      </w:r>
    </w:p>
    <w:p w14:paraId="0F0E31F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53.</w:t>
      </w:r>
      <w:r w:rsidRPr="00917107">
        <w:rPr>
          <w:rFonts w:ascii="Arial" w:hAnsi="Arial" w:cs="Arial"/>
          <w:sz w:val="20"/>
          <w:szCs w:val="20"/>
        </w:rPr>
        <w:t xml:space="preserve"> Quyền, nghĩa vụ của đối tượng thanh tra ngân hàng </w:t>
      </w:r>
    </w:p>
    <w:p w14:paraId="2EA0BCC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Thực hiện kết luận thanh tra.</w:t>
      </w:r>
    </w:p>
    <w:p w14:paraId="67781B6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Thực hiện các quyền, nghĩa vụ theo quy định của pháp luật.</w:t>
      </w:r>
    </w:p>
    <w:p w14:paraId="05BF2B5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54. </w:t>
      </w:r>
      <w:r w:rsidRPr="00917107">
        <w:rPr>
          <w:rFonts w:ascii="Arial" w:hAnsi="Arial" w:cs="Arial"/>
          <w:sz w:val="20"/>
          <w:szCs w:val="20"/>
        </w:rPr>
        <w:t xml:space="preserve">Căn cứ ra quyết định thanh tra    </w:t>
      </w:r>
    </w:p>
    <w:p w14:paraId="11EE469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Việc ra quyết định thanh tra phải trên cơ sở một trong các căn cứ sau đây:</w:t>
      </w:r>
    </w:p>
    <w:p w14:paraId="7D16686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1. Chương trình, kế hoạch thanh tra; </w:t>
      </w:r>
    </w:p>
    <w:p w14:paraId="5FB0A3B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Yêu cầu của Thống đốc Ngân hàng Nhà nước;</w:t>
      </w:r>
    </w:p>
    <w:p w14:paraId="168685F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Khi phát hiện có dấu hiệu vi phạm pháp luật;</w:t>
      </w:r>
    </w:p>
    <w:p w14:paraId="41CE3BA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4. Khi có dấu hiệu rủi ro đe dọa sự an toàn hoạt động của tổ chức tín dụng.</w:t>
      </w:r>
    </w:p>
    <w:p w14:paraId="1FD4721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55. </w:t>
      </w:r>
      <w:r w:rsidRPr="00917107">
        <w:rPr>
          <w:rFonts w:ascii="Arial" w:hAnsi="Arial" w:cs="Arial"/>
          <w:sz w:val="20"/>
          <w:szCs w:val="20"/>
        </w:rPr>
        <w:t xml:space="preserve">Nội dung thanh tra ngân hàng </w:t>
      </w:r>
    </w:p>
    <w:p w14:paraId="34294A6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Thanh tra việc chấp hành pháp luật về tiền tệ và ngân hàng, việc thực hiện các quy định trong giấy phép do Ngân hàng Nhà nước cấp.</w:t>
      </w:r>
    </w:p>
    <w:p w14:paraId="2F1707F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Xem xét, đánh giá mức độ rủi ro, năng lực quản trị rủi ro và tình hình tài chính của đối tượng thanh tra ngân hàng.</w:t>
      </w:r>
    </w:p>
    <w:p w14:paraId="21984B7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Kiến nghị cơ quan nhà nước có thẩm quyền sửa đổi, bổ sung, huỷ bỏ hoặc ban hành văn bản quy phạm pháp luật đáp ứng yêu cầu quản lý nhà nước về tiền tệ và ngân hàng.</w:t>
      </w:r>
    </w:p>
    <w:p w14:paraId="6A9406C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4. Kiến nghị, yêu cầu đối tượng thanh tra ngân hàng có biện pháp hạn chế, giảm thiểu và xử lý rủi ro để bảo đảm an toàn hoạt động ngân hàng và phòng ngừa, ngăn chặn hành động dẫn đến vi phạm pháp luật.</w:t>
      </w:r>
    </w:p>
    <w:p w14:paraId="4BD58F88"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5. Phát hiện, ngăn chặn và xử lý theo thẩm quyền; kiến nghị cơ quan nhà nước có thẩm quyền xử lý vi phạm pháp luật về tiền tệ và ngân hàng.</w:t>
      </w:r>
    </w:p>
    <w:p w14:paraId="5AF042E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56. </w:t>
      </w:r>
      <w:r w:rsidRPr="00917107">
        <w:rPr>
          <w:rFonts w:ascii="Arial" w:hAnsi="Arial" w:cs="Arial"/>
          <w:sz w:val="20"/>
          <w:szCs w:val="20"/>
        </w:rPr>
        <w:t>Đối tượng giám sát ngân hàng</w:t>
      </w:r>
    </w:p>
    <w:p w14:paraId="4E4454DD"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Ngân hàng Nhà nước thực hiện việc giám sát ngân hàng đối với mọi hoạt động của tổ chức tín dụng, chi nhánh ngân hàng nước ngoài. Trong trường hợp cần thiết, Ngân hàng Nhà nước yêu cầu cơ quan nhà nước có thẩm quyền giám sát hoặc phối hợp giám sát công ty con, công ty liên kết của tổ chức tín dụng.</w:t>
      </w:r>
    </w:p>
    <w:p w14:paraId="2E78892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57. </w:t>
      </w:r>
      <w:r w:rsidRPr="00917107">
        <w:rPr>
          <w:rFonts w:ascii="Arial" w:hAnsi="Arial" w:cs="Arial"/>
          <w:sz w:val="20"/>
          <w:szCs w:val="20"/>
        </w:rPr>
        <w:t xml:space="preserve">Quyền, nghĩa vụ của đối tượng giám sát ngân hàng </w:t>
      </w:r>
    </w:p>
    <w:p w14:paraId="6132D2C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Cung cấp kịp thời, đầy đủ, chính xác thông tin, tài liệu theo yêu cầu của Cơ quan Thanh tra, giám sát ngân hàng; chịu trách nhiệm trước pháp luật về tính chính xác, trung thực của thông tin, tài liệu đã cung cấp.</w:t>
      </w:r>
    </w:p>
    <w:p w14:paraId="75CD9AF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Báo cáo, giải trình đối với khuyến nghị, cảnh báo rủi ro và an toàn hoạt động của Cơ quan Thanh tra, giám sát ngân hàng.</w:t>
      </w:r>
    </w:p>
    <w:p w14:paraId="6BBF2B81"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Thực hiện khuyến nghị, cảnh báo rủi ro và an toàn hoạt động của Cơ quan Thanh tra, giám sát ngân hàng.</w:t>
      </w:r>
    </w:p>
    <w:p w14:paraId="1FF4E72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58. </w:t>
      </w:r>
      <w:r w:rsidRPr="00917107">
        <w:rPr>
          <w:rFonts w:ascii="Arial" w:hAnsi="Arial" w:cs="Arial"/>
          <w:sz w:val="20"/>
          <w:szCs w:val="20"/>
        </w:rPr>
        <w:t xml:space="preserve">Nội dung giám sát ngân hàng </w:t>
      </w:r>
    </w:p>
    <w:p w14:paraId="1155982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Thu thập, tổng hợp và xử lý tài liệu, thông tin, dữ liệu theo yêu cầu giám sát ngân hàng.</w:t>
      </w:r>
    </w:p>
    <w:p w14:paraId="1BBB75E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Xem xét, theo dõi tình hình chấp hành các quy định về an toàn hoạt động ngân hàng và các quy định khác của pháp luật về tiền tệ và ngân hàng; việc thực hiện kết luận, kiến nghị, quyết định xử lý về thanh tra</w:t>
      </w:r>
      <w:r w:rsidRPr="00917107" w:rsidDel="0008028F">
        <w:rPr>
          <w:rFonts w:ascii="Arial" w:hAnsi="Arial" w:cs="Arial"/>
          <w:sz w:val="20"/>
          <w:szCs w:val="20"/>
        </w:rPr>
        <w:t xml:space="preserve"> </w:t>
      </w:r>
      <w:r w:rsidRPr="00917107">
        <w:rPr>
          <w:rFonts w:ascii="Arial" w:hAnsi="Arial" w:cs="Arial"/>
          <w:sz w:val="20"/>
          <w:szCs w:val="20"/>
        </w:rPr>
        <w:t>và khuyến nghị, cảnh báo về giám sát ngân hàng.</w:t>
      </w:r>
    </w:p>
    <w:p w14:paraId="01A6CEF3"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Phân tích, đánh giá tình hình tài chính, hoạt động, quản trị, điều hành và mức độ rủi ro của tổ chức tín dụng; xếp hạng các tổ chức tín dụng hằng năm.</w:t>
      </w:r>
    </w:p>
    <w:p w14:paraId="775E044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4. Phát hiện, cảnh báo rủi ro gây mất an toàn hoạt động ngân hàng và nguy cơ dẫn đến vi phạm pháp luật về tiền tệ và ngân hàng.</w:t>
      </w:r>
    </w:p>
    <w:p w14:paraId="6CD8483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5. Kiến nghị, đề xuất biện pháp phòng ngừa, ngăn chặn và xử lý rủi ro, vi phạm pháp luật.</w:t>
      </w:r>
    </w:p>
    <w:p w14:paraId="4056E1D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59. </w:t>
      </w:r>
      <w:r w:rsidRPr="00917107">
        <w:rPr>
          <w:rFonts w:ascii="Arial" w:hAnsi="Arial" w:cs="Arial"/>
          <w:sz w:val="20"/>
          <w:szCs w:val="20"/>
        </w:rPr>
        <w:t xml:space="preserve">Xử lý đối tượng thanh tra, giám sát ngân hàng </w:t>
      </w:r>
    </w:p>
    <w:p w14:paraId="60238F35"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1. Đối tượng thanh tra, giám sát ngân hàng vi phạm pháp luật về tiền tệ và ngân hàng thì tuỳ theo tính chất, mức độ vi phạm mà bị xử lý kỷ luật, xử phạt vi phạm hành chính hoặc truy cứu trách nhiệm hình sự, nếu gây thiệt hại thì phải bồi thường theo quy định của pháp luật. </w:t>
      </w:r>
    </w:p>
    <w:p w14:paraId="4F39DFB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2. Tuỳ theo tính chất, mức độ rủi ro, Ngân hàng Nhà nước còn áp dụng các biện pháp xử lý sau đây đối với đối tượng thanh tra, giám sát ngân hàng: </w:t>
      </w:r>
    </w:p>
    <w:p w14:paraId="7A49165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a) Hạn chế chia cổ tức, chuyển nhượng cổ phần, chuyển nhượng tài sản;</w:t>
      </w:r>
    </w:p>
    <w:p w14:paraId="60EA3EA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b) Hạn chế việc mở rộng phạm vi, quy mô và địa bàn hoạt động;</w:t>
      </w:r>
    </w:p>
    <w:p w14:paraId="15715D4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c) Hạn chế, đình chỉ, tạm đình chỉ một hoặc một số hoạt động ngân hàng;</w:t>
      </w:r>
    </w:p>
    <w:p w14:paraId="3913A4B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d) Yêu cầu tổ chức tín dụng phải tăng vốn điều lệ để đáp ứng các yêu cầu bảo đảm an toàn trong hoạt động ngân hàng;</w:t>
      </w:r>
    </w:p>
    <w:p w14:paraId="41A2BDFF"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đ) Yêu cầu tổ chức tín dụng phải chuyển nhượng vốn điều lệ hoặc vốn cổ phần; cổ đông lớn, cổ đông nắm quyền kiểm soát, chi phối phải chuyển nhượng cổ phần;</w:t>
      </w:r>
    </w:p>
    <w:p w14:paraId="1B5FBE59"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e) Quyết định giới hạn tăng trưởng tín dụng đối với tổ chức tín dụng trong những trường hợp cần thiết bảo đảm an toàn cho tổ chức tín dụng và hệ thống các tổ chức tín dụng; </w:t>
      </w:r>
    </w:p>
    <w:p w14:paraId="4316269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g) Áp dụng một hoặc một số tỷ lệ an toàn cao hơn mức quy định.</w:t>
      </w:r>
    </w:p>
    <w:p w14:paraId="43D3228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60. </w:t>
      </w:r>
      <w:r w:rsidRPr="00917107">
        <w:rPr>
          <w:rFonts w:ascii="Arial" w:hAnsi="Arial" w:cs="Arial"/>
          <w:sz w:val="20"/>
          <w:szCs w:val="20"/>
        </w:rPr>
        <w:t>Phối hợp giữa Ngân hàng Nhà nước với bộ, cơ quan ngang bộ trong hoạt động thanh tra, giám sát ngân hàng</w:t>
      </w:r>
    </w:p>
    <w:p w14:paraId="15E1882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Ngân hàng Nhà nước phối hợp với bộ, cơ quan ngang bộ có liên quan trao đổi thông tin về hoạt động thanh tra, giám sát trong lĩnh vực tài chính, ngân hàng thuộc thẩm quyền quản lý.</w:t>
      </w:r>
    </w:p>
    <w:p w14:paraId="0831804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Ngân hàng Nhà nước chủ trì, phối hợp với cơ quan nhà nước có thẩm quyền thanh tra, giám sát tổ chức tín dụng; phối hợp với cơ quan nhà nước có thẩm quyền thanh tra, giám sát công ty con, công ty liên kết của tổ chức tín dụng theo quy định tại Điều 52 và Điều 56 của Luật này.</w:t>
      </w:r>
    </w:p>
    <w:p w14:paraId="6E133FD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61.</w:t>
      </w:r>
      <w:r w:rsidRPr="00917107">
        <w:rPr>
          <w:rFonts w:ascii="Arial" w:hAnsi="Arial" w:cs="Arial"/>
          <w:sz w:val="20"/>
          <w:szCs w:val="20"/>
        </w:rPr>
        <w:t xml:space="preserve"> Phối hợp thanh tra, giám sát ngân hàng giữa Ngân hàng Nhà nước với cơ quan có thẩm quyền thanh tra, giám sát ngân hàng của nước ngoài</w:t>
      </w:r>
    </w:p>
    <w:p w14:paraId="73860F3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1. Ngân hàng Nhà nước trao đổi thông tin và phối hợp với cơ quan có thẩm quyền thanh tra, giám sát ngân hàng của nước ngoài trong việc thanh tra, giám sát đối tượng thanh tra, giám sát ngân hàng nước ngoài hoạt động trên lãnh thổ Việt Nam và đối tượng thanh tra, giám sát ngân hàng của Việt Nam hoạt động ở nước ngoài. </w:t>
      </w:r>
    </w:p>
    <w:p w14:paraId="7901F29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 xml:space="preserve">2. Ngân hàng Nhà nước thỏa thuận với cơ quan có thẩm quyền thanh tra, giám sát ngân hàng của nước ngoài về hình thức, nội dung, cơ chế trao đổi thông tin và phối hợp thanh tra, giám sát phù hợp với quy định của pháp luật Việt Nam. </w:t>
      </w:r>
    </w:p>
    <w:p w14:paraId="5AC372D3" w14:textId="77777777" w:rsidR="00917107" w:rsidRPr="00917107" w:rsidRDefault="00917107" w:rsidP="00917107">
      <w:pPr>
        <w:jc w:val="center"/>
        <w:rPr>
          <w:rFonts w:ascii="Arial" w:hAnsi="Arial" w:cs="Arial"/>
          <w:b/>
          <w:sz w:val="20"/>
          <w:szCs w:val="20"/>
        </w:rPr>
      </w:pPr>
    </w:p>
    <w:p w14:paraId="1718F3E1"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 xml:space="preserve">CHƯƠNG VI </w:t>
      </w:r>
      <w:r w:rsidRPr="00917107">
        <w:rPr>
          <w:rFonts w:ascii="Arial" w:hAnsi="Arial" w:cs="Arial"/>
          <w:b/>
          <w:sz w:val="20"/>
          <w:szCs w:val="20"/>
        </w:rPr>
        <w:br/>
        <w:t xml:space="preserve">KIỂM TOÁN NỘI BỘ </w:t>
      </w:r>
    </w:p>
    <w:p w14:paraId="3350AF71"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62. </w:t>
      </w:r>
      <w:r w:rsidRPr="00917107">
        <w:rPr>
          <w:rFonts w:ascii="Arial" w:hAnsi="Arial" w:cs="Arial"/>
          <w:sz w:val="20"/>
          <w:szCs w:val="20"/>
        </w:rPr>
        <w:t>Kiểm toán nội bộ</w:t>
      </w:r>
    </w:p>
    <w:p w14:paraId="39675E7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Kiểm toán nội bộ là đơn vị thuộc cơ cấu tổ chức của Ngân hàng Nhà nước, thực hiện kiểm toán nội bộ và kiểm soát nội bộ Ngân hàng Nhà nước.</w:t>
      </w:r>
    </w:p>
    <w:p w14:paraId="4D9EC71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Quy chế kiểm toán nội bộ, kiểm soát nội bộ do Thống đốc Ngân hàng Nhà nước ban hành.</w:t>
      </w:r>
    </w:p>
    <w:p w14:paraId="5F49172C"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63. </w:t>
      </w:r>
      <w:r w:rsidRPr="00917107">
        <w:rPr>
          <w:rFonts w:ascii="Arial" w:hAnsi="Arial" w:cs="Arial"/>
          <w:sz w:val="20"/>
          <w:szCs w:val="20"/>
        </w:rPr>
        <w:t>Đối tượng, mục tiêu và nguyên tắc hoạt động của Kiểm toán nội bộ</w:t>
      </w:r>
    </w:p>
    <w:p w14:paraId="120ACDF3"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Đối tượng của Kiểm toán nội bộ là các đơn vị thuộc hệ thống Ngân hàng Nhà nước.</w:t>
      </w:r>
    </w:p>
    <w:p w14:paraId="438BAA6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Mục tiêu của Kiểm toán nội bộ là đánh giá về hiệu quả hoạt động kiểm soát nội bộ nhằm bảo đảm độ tin cậy của báo cáo tài chính, hiệu lực của các hoạt động, tuân thủ pháp luật, quy định, quy trình của Ngân hàng Nhà nước, bảo đảm an toàn tài sản.</w:t>
      </w:r>
    </w:p>
    <w:p w14:paraId="601459E6"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3. Hoạt động của Kiểm toán nội bộ được thực hiện theo các nguyên tắc sau đây:</w:t>
      </w:r>
    </w:p>
    <w:p w14:paraId="07C9C6C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a) Tuân thủ pháp luật, quy định, quy trình, kế hoạch đã được Thống đốc Ngân hàng Nhà nước phê duyệt;</w:t>
      </w:r>
    </w:p>
    <w:p w14:paraId="62DB0A7E"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b) Bảo đảm tính độc lập, trung thực, khách quan, giữ bí mật nhà nước và bí mật của đơn vị được kiểm toán;</w:t>
      </w:r>
    </w:p>
    <w:p w14:paraId="082E73F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c) Không làm cản trở hoạt động bình thường của đơn vị được kiểm toán;</w:t>
      </w:r>
    </w:p>
    <w:p w14:paraId="7922BB2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d) Kiểm toán nội bộ được tiếp cận tài liệu, hồ sơ, giao dịch và các tài liệu cần thiết khác của đối tượng kiểm toán để thực hiện mục tiêu kiểm toán.</w:t>
      </w:r>
    </w:p>
    <w:p w14:paraId="44733990"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64. </w:t>
      </w:r>
      <w:r w:rsidRPr="00917107">
        <w:rPr>
          <w:rFonts w:ascii="Arial" w:hAnsi="Arial" w:cs="Arial"/>
          <w:sz w:val="20"/>
          <w:szCs w:val="20"/>
        </w:rPr>
        <w:t>Nhiệm vụ, quyền hạn của Kiểm toán nội bộ</w:t>
      </w:r>
    </w:p>
    <w:p w14:paraId="1374142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Thực hiện kiểm toán tất cả các đơn vị thuộc hệ thống Ngân hàng Nhà nước phù hợp với kế hoạch kiểm toán đã được phê duyệt hoặc theo yêu cầu của Thống đốc Ngân hàng Nhà nước.</w:t>
      </w:r>
    </w:p>
    <w:p w14:paraId="67367AB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Thực hiện kiểm toán tài chính, kiểm toán hoạt động và các nhiệm vụ khác của Ngân hàng Nhà nước.</w:t>
      </w:r>
    </w:p>
    <w:p w14:paraId="300E375D" w14:textId="77777777" w:rsidR="00917107" w:rsidRPr="00917107" w:rsidRDefault="00917107" w:rsidP="00917107">
      <w:pPr>
        <w:jc w:val="center"/>
        <w:rPr>
          <w:rFonts w:ascii="Arial" w:hAnsi="Arial" w:cs="Arial"/>
          <w:b/>
          <w:sz w:val="20"/>
          <w:szCs w:val="20"/>
        </w:rPr>
      </w:pPr>
    </w:p>
    <w:p w14:paraId="2C6EBACF" w14:textId="77777777" w:rsidR="00917107" w:rsidRDefault="00917107" w:rsidP="00917107">
      <w:pPr>
        <w:jc w:val="center"/>
        <w:rPr>
          <w:rFonts w:ascii="Arial" w:hAnsi="Arial" w:cs="Arial"/>
          <w:b/>
          <w:sz w:val="20"/>
          <w:szCs w:val="20"/>
        </w:rPr>
      </w:pPr>
      <w:r w:rsidRPr="00917107">
        <w:rPr>
          <w:rFonts w:ascii="Arial" w:hAnsi="Arial" w:cs="Arial"/>
          <w:b/>
          <w:sz w:val="20"/>
          <w:szCs w:val="20"/>
        </w:rPr>
        <w:t xml:space="preserve">CHƯƠNG VII </w:t>
      </w:r>
      <w:r w:rsidRPr="00917107">
        <w:rPr>
          <w:rFonts w:ascii="Arial" w:hAnsi="Arial" w:cs="Arial"/>
          <w:b/>
          <w:sz w:val="20"/>
          <w:szCs w:val="20"/>
        </w:rPr>
        <w:br/>
        <w:t>ĐIỀU KHOẢN THI HÀNH</w:t>
      </w:r>
    </w:p>
    <w:p w14:paraId="2F0170BD" w14:textId="77777777" w:rsidR="00917107" w:rsidRPr="00917107" w:rsidRDefault="00917107" w:rsidP="00917107">
      <w:pPr>
        <w:jc w:val="center"/>
        <w:rPr>
          <w:rFonts w:ascii="Arial" w:hAnsi="Arial" w:cs="Arial"/>
          <w:b/>
          <w:sz w:val="20"/>
          <w:szCs w:val="20"/>
        </w:rPr>
      </w:pPr>
    </w:p>
    <w:p w14:paraId="654EDED2"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Điều 65.</w:t>
      </w:r>
      <w:r w:rsidRPr="00917107">
        <w:rPr>
          <w:rFonts w:ascii="Arial" w:hAnsi="Arial" w:cs="Arial"/>
          <w:sz w:val="20"/>
          <w:szCs w:val="20"/>
        </w:rPr>
        <w:t xml:space="preserve"> Hiệu lực thi hành</w:t>
      </w:r>
    </w:p>
    <w:p w14:paraId="1DC7082A"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1. Luật này có hiệu lực thi hành từ ngày 01 tháng 01 năm 2011.</w:t>
      </w:r>
    </w:p>
    <w:p w14:paraId="7790FFFB"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2. Luật Ngân hàng Nhà nước Việt Nam số 01/1997/QH10 và Luật sửa đổi, bổ sung một số điều của Luật Ngân hàng Nhà nước Việt Nam số 10/2003/QH11 hết hiệu lực kể từ ngày Luật này có hiệu lực.</w:t>
      </w:r>
    </w:p>
    <w:p w14:paraId="10B94064"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b/>
          <w:sz w:val="20"/>
          <w:szCs w:val="20"/>
        </w:rPr>
        <w:t xml:space="preserve">Điều 66. </w:t>
      </w:r>
      <w:r w:rsidRPr="00917107">
        <w:rPr>
          <w:rFonts w:ascii="Arial" w:hAnsi="Arial" w:cs="Arial"/>
          <w:sz w:val="20"/>
          <w:szCs w:val="20"/>
        </w:rPr>
        <w:t>Quy định chi tiết và hướng dẫn thi hành</w:t>
      </w:r>
    </w:p>
    <w:p w14:paraId="2DE7E7B7" w14:textId="77777777" w:rsidR="00917107" w:rsidRPr="00917107" w:rsidRDefault="00917107" w:rsidP="00917107">
      <w:pPr>
        <w:spacing w:after="120"/>
        <w:ind w:firstLine="720"/>
        <w:jc w:val="both"/>
        <w:rPr>
          <w:rFonts w:ascii="Arial" w:hAnsi="Arial" w:cs="Arial"/>
          <w:sz w:val="20"/>
          <w:szCs w:val="20"/>
        </w:rPr>
      </w:pPr>
      <w:r w:rsidRPr="00917107">
        <w:rPr>
          <w:rFonts w:ascii="Arial" w:hAnsi="Arial" w:cs="Arial"/>
          <w:sz w:val="20"/>
          <w:szCs w:val="20"/>
        </w:rPr>
        <w:t>Chính phủ quy định chi tiết và hướng dẫn thi hành các điều, khoản được giao trong Luật; hướng dẫn những nội dung cần thiết khác của Luật này để đáp ứng yêu cầu quản lý nhà nước.</w:t>
      </w:r>
    </w:p>
    <w:p w14:paraId="34B1117A" w14:textId="77777777" w:rsidR="00917107" w:rsidRPr="00917107" w:rsidRDefault="00917107" w:rsidP="00917107">
      <w:pPr>
        <w:rPr>
          <w:rFonts w:ascii="Arial" w:hAnsi="Arial" w:cs="Arial"/>
          <w:sz w:val="20"/>
          <w:szCs w:val="20"/>
        </w:rPr>
      </w:pPr>
    </w:p>
    <w:p w14:paraId="07F83F6E" w14:textId="77777777" w:rsidR="00917107" w:rsidRDefault="00917107" w:rsidP="00917107">
      <w:pPr>
        <w:rPr>
          <w:rFonts w:ascii="Arial" w:hAnsi="Arial" w:cs="Arial"/>
          <w:sz w:val="20"/>
          <w:szCs w:val="20"/>
        </w:rPr>
      </w:pPr>
      <w:r w:rsidRPr="00917107">
        <w:rPr>
          <w:rFonts w:ascii="Arial" w:hAnsi="Arial" w:cs="Arial"/>
          <w:sz w:val="20"/>
          <w:szCs w:val="20"/>
        </w:rPr>
        <w:pict w14:anchorId="6561E2B0">
          <v:line id="_x0000_s1028" style="position:absolute;z-index:251657728" from="9pt,7.5pt" to="459pt,7.5pt"/>
        </w:pict>
      </w:r>
    </w:p>
    <w:p w14:paraId="59A604B9" w14:textId="77777777" w:rsidR="00917107" w:rsidRPr="00917107" w:rsidRDefault="00917107" w:rsidP="00917107">
      <w:pPr>
        <w:ind w:firstLine="720"/>
        <w:jc w:val="both"/>
        <w:rPr>
          <w:rFonts w:ascii="Arial" w:hAnsi="Arial" w:cs="Arial"/>
          <w:i/>
          <w:sz w:val="20"/>
          <w:szCs w:val="20"/>
        </w:rPr>
      </w:pPr>
      <w:r w:rsidRPr="00917107">
        <w:rPr>
          <w:rFonts w:ascii="Arial" w:hAnsi="Arial" w:cs="Arial"/>
          <w:i/>
          <w:sz w:val="20"/>
          <w:szCs w:val="20"/>
        </w:rPr>
        <w:t xml:space="preserve">Luật này đã được Quốc hội nước Cộng hòa xã hội chủ nghĩa Việt Nam khóa XII, kỳ họp thứ 7 thông qua ngày 16 tháng 6 năm 2010. </w:t>
      </w:r>
    </w:p>
    <w:p w14:paraId="51101C06" w14:textId="77777777" w:rsidR="00917107" w:rsidRPr="00917107" w:rsidRDefault="00917107" w:rsidP="00917107">
      <w:pPr>
        <w:rPr>
          <w:rFonts w:ascii="Arial" w:hAnsi="Arial" w:cs="Arial"/>
          <w:sz w:val="20"/>
          <w:szCs w:val="20"/>
        </w:rPr>
      </w:pPr>
      <w:r w:rsidRPr="00917107">
        <w:rPr>
          <w:rFonts w:ascii="Arial" w:hAnsi="Arial" w:cs="Arial"/>
          <w:sz w:val="20"/>
          <w:szCs w:val="20"/>
        </w:rPr>
        <w:t xml:space="preserve">        </w:t>
      </w:r>
    </w:p>
    <w:p w14:paraId="721004D1" w14:textId="77777777" w:rsidR="00917107" w:rsidRPr="00917107" w:rsidRDefault="00917107" w:rsidP="00917107">
      <w:pPr>
        <w:rPr>
          <w:rFonts w:ascii="Arial" w:hAnsi="Arial" w:cs="Arial"/>
          <w:sz w:val="20"/>
          <w:szCs w:val="20"/>
        </w:rPr>
      </w:pPr>
      <w:r w:rsidRPr="00917107">
        <w:rPr>
          <w:rFonts w:ascii="Arial" w:hAnsi="Arial" w:cs="Arial"/>
          <w:sz w:val="20"/>
          <w:szCs w:val="20"/>
        </w:rPr>
        <w:t xml:space="preserve">   </w:t>
      </w:r>
    </w:p>
    <w:tbl>
      <w:tblPr>
        <w:tblW w:w="0" w:type="auto"/>
        <w:tblInd w:w="108" w:type="dxa"/>
        <w:tblLook w:val="01E0" w:firstRow="1" w:lastRow="1" w:firstColumn="1" w:lastColumn="1" w:noHBand="0" w:noVBand="0"/>
      </w:tblPr>
      <w:tblGrid>
        <w:gridCol w:w="4428"/>
        <w:gridCol w:w="4608"/>
      </w:tblGrid>
      <w:tr w:rsidR="00917107" w14:paraId="04C05C35" w14:textId="77777777" w:rsidTr="00917107">
        <w:tc>
          <w:tcPr>
            <w:tcW w:w="4428" w:type="dxa"/>
          </w:tcPr>
          <w:p w14:paraId="6B95C2AE" w14:textId="77777777" w:rsidR="00917107" w:rsidRDefault="00917107" w:rsidP="00917107">
            <w:pPr>
              <w:rPr>
                <w:rFonts w:ascii="Arial" w:hAnsi="Arial" w:cs="Arial"/>
                <w:sz w:val="20"/>
                <w:szCs w:val="20"/>
              </w:rPr>
            </w:pPr>
          </w:p>
        </w:tc>
        <w:tc>
          <w:tcPr>
            <w:tcW w:w="4608" w:type="dxa"/>
          </w:tcPr>
          <w:p w14:paraId="6B5A77AF" w14:textId="77777777" w:rsidR="00917107" w:rsidRDefault="00917107" w:rsidP="00917107">
            <w:pPr>
              <w:jc w:val="center"/>
              <w:rPr>
                <w:rFonts w:ascii="Arial" w:hAnsi="Arial" w:cs="Arial"/>
                <w:b/>
                <w:sz w:val="20"/>
                <w:szCs w:val="20"/>
              </w:rPr>
            </w:pPr>
            <w:r w:rsidRPr="00917107">
              <w:rPr>
                <w:rFonts w:ascii="Arial" w:hAnsi="Arial" w:cs="Arial"/>
                <w:b/>
                <w:sz w:val="20"/>
                <w:szCs w:val="20"/>
              </w:rPr>
              <w:t>CHỦ TỊCH QUỐC HỘI</w:t>
            </w:r>
          </w:p>
          <w:p w14:paraId="08AE52C3" w14:textId="77777777" w:rsidR="00917107" w:rsidRDefault="00917107" w:rsidP="00917107">
            <w:pPr>
              <w:jc w:val="center"/>
              <w:rPr>
                <w:rFonts w:ascii="Arial" w:hAnsi="Arial" w:cs="Arial"/>
                <w:b/>
                <w:sz w:val="20"/>
                <w:szCs w:val="20"/>
              </w:rPr>
            </w:pPr>
          </w:p>
          <w:p w14:paraId="22A9C2C1" w14:textId="77777777" w:rsidR="00917107" w:rsidRDefault="00917107" w:rsidP="00917107">
            <w:pPr>
              <w:jc w:val="center"/>
              <w:rPr>
                <w:rFonts w:ascii="Arial" w:hAnsi="Arial" w:cs="Arial"/>
                <w:b/>
                <w:sz w:val="20"/>
                <w:szCs w:val="20"/>
              </w:rPr>
            </w:pPr>
          </w:p>
          <w:p w14:paraId="65A13DA1" w14:textId="77777777" w:rsidR="00917107" w:rsidRDefault="00917107" w:rsidP="00917107">
            <w:pPr>
              <w:jc w:val="center"/>
              <w:rPr>
                <w:rFonts w:ascii="Arial" w:hAnsi="Arial" w:cs="Arial"/>
                <w:b/>
                <w:sz w:val="20"/>
                <w:szCs w:val="20"/>
              </w:rPr>
            </w:pPr>
          </w:p>
          <w:p w14:paraId="75C62952" w14:textId="77777777" w:rsidR="00917107" w:rsidRDefault="00917107" w:rsidP="00917107">
            <w:pPr>
              <w:jc w:val="center"/>
              <w:rPr>
                <w:rFonts w:ascii="Arial" w:hAnsi="Arial" w:cs="Arial"/>
                <w:b/>
                <w:sz w:val="20"/>
                <w:szCs w:val="20"/>
              </w:rPr>
            </w:pPr>
          </w:p>
          <w:p w14:paraId="4E2C14D7" w14:textId="77777777" w:rsidR="00917107" w:rsidRPr="00917107" w:rsidRDefault="00917107" w:rsidP="00917107">
            <w:pPr>
              <w:jc w:val="center"/>
              <w:rPr>
                <w:rFonts w:ascii="Arial" w:hAnsi="Arial" w:cs="Arial"/>
                <w:b/>
                <w:sz w:val="20"/>
                <w:szCs w:val="20"/>
              </w:rPr>
            </w:pPr>
          </w:p>
          <w:p w14:paraId="0C28653C" w14:textId="77777777" w:rsidR="00917107" w:rsidRPr="00917107" w:rsidRDefault="00917107" w:rsidP="00917107">
            <w:pPr>
              <w:jc w:val="center"/>
              <w:rPr>
                <w:rFonts w:ascii="Arial" w:hAnsi="Arial" w:cs="Arial"/>
                <w:b/>
                <w:sz w:val="20"/>
                <w:szCs w:val="20"/>
              </w:rPr>
            </w:pPr>
            <w:r w:rsidRPr="00917107">
              <w:rPr>
                <w:rFonts w:ascii="Arial" w:hAnsi="Arial" w:cs="Arial"/>
                <w:b/>
                <w:sz w:val="20"/>
                <w:szCs w:val="20"/>
              </w:rPr>
              <w:t>Nguyễn Phú Trọng</w:t>
            </w:r>
          </w:p>
        </w:tc>
      </w:tr>
    </w:tbl>
    <w:p w14:paraId="629E1393" w14:textId="77777777" w:rsidR="00917107" w:rsidRPr="00917107" w:rsidRDefault="00917107" w:rsidP="00917107">
      <w:r w:rsidRPr="00917107">
        <w:t xml:space="preserve">        </w:t>
      </w:r>
    </w:p>
    <w:sectPr w:rsidR="00917107" w:rsidRPr="00917107" w:rsidSect="00917107">
      <w:headerReference w:type="even" r:id="rId7"/>
      <w:headerReference w:type="default" r:id="rId8"/>
      <w:footerReference w:type="default" r:id="rId9"/>
      <w:footerReference w:type="first" r:id="rId10"/>
      <w:pgSz w:w="12240" w:h="15840" w:code="1"/>
      <w:pgMar w:top="1440" w:right="144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D8D3B" w14:textId="77777777" w:rsidR="004A518A" w:rsidRDefault="004A518A">
      <w:r>
        <w:separator/>
      </w:r>
    </w:p>
  </w:endnote>
  <w:endnote w:type="continuationSeparator" w:id="0">
    <w:p w14:paraId="79F167DC" w14:textId="77777777" w:rsidR="004A518A" w:rsidRDefault="004A5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6CF55" w14:textId="77777777" w:rsidR="00917107" w:rsidRPr="00A761FF" w:rsidRDefault="00917107" w:rsidP="009171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FEC29" w14:textId="77777777" w:rsidR="00917107" w:rsidRPr="00A761FF" w:rsidRDefault="00917107">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A8EF5" w14:textId="77777777" w:rsidR="004A518A" w:rsidRDefault="004A518A">
      <w:r>
        <w:separator/>
      </w:r>
    </w:p>
  </w:footnote>
  <w:footnote w:type="continuationSeparator" w:id="0">
    <w:p w14:paraId="57487450" w14:textId="77777777" w:rsidR="004A518A" w:rsidRDefault="004A5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41B19" w14:textId="77777777" w:rsidR="00917107" w:rsidRDefault="00917107" w:rsidP="009171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05E8E" w14:textId="77777777" w:rsidR="00917107" w:rsidRDefault="00917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1ACD7" w14:textId="77777777" w:rsidR="00917107" w:rsidRDefault="00917107" w:rsidP="0091710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00079DC" w14:textId="77777777" w:rsidR="00917107" w:rsidRDefault="009171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388A7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5272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2FA47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7D6B17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7A4AA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824E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8C82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2405A4"/>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4FA28E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EE2D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0493F"/>
    <w:multiLevelType w:val="hybridMultilevel"/>
    <w:tmpl w:val="75C69A4E"/>
    <w:lvl w:ilvl="0" w:tplc="04090001">
      <w:start w:val="1"/>
      <w:numFmt w:val="bullet"/>
      <w:lvlText w:val=""/>
      <w:lvlJc w:val="left"/>
      <w:pPr>
        <w:tabs>
          <w:tab w:val="num" w:pos="1158"/>
        </w:tabs>
        <w:ind w:left="1158" w:hanging="360"/>
      </w:pPr>
      <w:rPr>
        <w:rFonts w:ascii="Symbol" w:hAnsi="Symbol" w:cs="Symbol"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1" w15:restartNumberingAfterBreak="0">
    <w:nsid w:val="0B3F2CAC"/>
    <w:multiLevelType w:val="hybridMultilevel"/>
    <w:tmpl w:val="B7E4398C"/>
    <w:lvl w:ilvl="0" w:tplc="04090017">
      <w:start w:val="1"/>
      <w:numFmt w:val="lowerLetter"/>
      <w:lvlText w:val="%1)"/>
      <w:lvlJc w:val="left"/>
      <w:pPr>
        <w:tabs>
          <w:tab w:val="num" w:pos="720"/>
        </w:tabs>
        <w:ind w:left="720" w:hanging="360"/>
      </w:pPr>
    </w:lvl>
    <w:lvl w:ilvl="1" w:tplc="06D4478A">
      <w:start w:val="1"/>
      <w:numFmt w:val="decimal"/>
      <w:lvlText w:val="%2."/>
      <w:lvlJc w:val="left"/>
      <w:pPr>
        <w:tabs>
          <w:tab w:val="num" w:pos="900"/>
        </w:tabs>
        <w:ind w:left="900" w:hanging="360"/>
      </w:pPr>
      <w:rPr>
        <w:rFonts w:hint="default"/>
        <w:b w:val="0"/>
        <w:bCs w:val="0"/>
      </w:rPr>
    </w:lvl>
    <w:lvl w:ilvl="2" w:tplc="0CAA1E7E">
      <w:start w:val="1"/>
      <w:numFmt w:val="decimal"/>
      <w:lvlText w:val="%3-"/>
      <w:lvlJc w:val="left"/>
      <w:pPr>
        <w:tabs>
          <w:tab w:val="num" w:pos="3045"/>
        </w:tabs>
        <w:ind w:left="3045" w:hanging="1065"/>
      </w:pPr>
      <w:rPr>
        <w:rFonts w:ascii="Times New Roman" w:eastAsia="Times New Roman" w:hAnsi="Times New Roman"/>
      </w:r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1F5F2CBF"/>
    <w:multiLevelType w:val="hybridMultilevel"/>
    <w:tmpl w:val="8230FDAC"/>
    <w:lvl w:ilvl="0" w:tplc="AD3E9AE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3" w15:restartNumberingAfterBreak="0">
    <w:nsid w:val="30CD5915"/>
    <w:multiLevelType w:val="hybridMultilevel"/>
    <w:tmpl w:val="A9521B9A"/>
    <w:lvl w:ilvl="0" w:tplc="DF94BE5A">
      <w:start w:val="1"/>
      <w:numFmt w:val="lowerLetter"/>
      <w:lvlText w:val="%1)"/>
      <w:lvlJc w:val="left"/>
      <w:pPr>
        <w:tabs>
          <w:tab w:val="num" w:pos="1440"/>
        </w:tabs>
        <w:ind w:left="1440" w:hanging="360"/>
      </w:pPr>
      <w:rPr>
        <w:rFonts w:hint="default"/>
      </w:rPr>
    </w:lvl>
    <w:lvl w:ilvl="1" w:tplc="2D323E50">
      <w:start w:val="1"/>
      <w:numFmt w:val="decimal"/>
      <w:lvlText w:val="%2."/>
      <w:lvlJc w:val="left"/>
      <w:pPr>
        <w:tabs>
          <w:tab w:val="num" w:pos="2805"/>
        </w:tabs>
        <w:ind w:left="2805" w:hanging="1005"/>
      </w:pPr>
      <w:rPr>
        <w:rFonts w:ascii="Times New Roman" w:eastAsia="Times New Roman" w:hAnsi="Times New Roman"/>
      </w:r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4" w15:restartNumberingAfterBreak="0">
    <w:nsid w:val="35DC7CC6"/>
    <w:multiLevelType w:val="hybridMultilevel"/>
    <w:tmpl w:val="5D06429E"/>
    <w:lvl w:ilvl="0" w:tplc="06A065A4">
      <w:start w:val="1"/>
      <w:numFmt w:val="decimal"/>
      <w:lvlText w:val="%1."/>
      <w:lvlJc w:val="left"/>
      <w:pPr>
        <w:tabs>
          <w:tab w:val="num" w:pos="1440"/>
        </w:tabs>
        <w:ind w:left="1440" w:hanging="360"/>
      </w:pPr>
      <w:rPr>
        <w:rFonts w:ascii="Times New Roman" w:eastAsia="Times New Roman" w:hAnsi="Times New Roman"/>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7E3C1092"/>
    <w:multiLevelType w:val="hybridMultilevel"/>
    <w:tmpl w:val="38408170"/>
    <w:lvl w:ilvl="0" w:tplc="9AA075A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16cid:durableId="1144933654">
    <w:abstractNumId w:val="7"/>
  </w:num>
  <w:num w:numId="2" w16cid:durableId="161971059">
    <w:abstractNumId w:val="14"/>
  </w:num>
  <w:num w:numId="3" w16cid:durableId="1064991879">
    <w:abstractNumId w:val="11"/>
  </w:num>
  <w:num w:numId="4" w16cid:durableId="664557582">
    <w:abstractNumId w:val="10"/>
  </w:num>
  <w:num w:numId="5" w16cid:durableId="1516729232">
    <w:abstractNumId w:val="12"/>
  </w:num>
  <w:num w:numId="6" w16cid:durableId="849025732">
    <w:abstractNumId w:val="13"/>
  </w:num>
  <w:num w:numId="7" w16cid:durableId="283344422">
    <w:abstractNumId w:val="15"/>
  </w:num>
  <w:num w:numId="8" w16cid:durableId="1085609594">
    <w:abstractNumId w:val="9"/>
  </w:num>
  <w:num w:numId="9" w16cid:durableId="135995121">
    <w:abstractNumId w:val="6"/>
  </w:num>
  <w:num w:numId="10" w16cid:durableId="1185708840">
    <w:abstractNumId w:val="5"/>
  </w:num>
  <w:num w:numId="11" w16cid:durableId="2031949859">
    <w:abstractNumId w:val="4"/>
  </w:num>
  <w:num w:numId="12" w16cid:durableId="512500264">
    <w:abstractNumId w:val="8"/>
  </w:num>
  <w:num w:numId="13" w16cid:durableId="71895496">
    <w:abstractNumId w:val="3"/>
  </w:num>
  <w:num w:numId="14" w16cid:durableId="1840537337">
    <w:abstractNumId w:val="2"/>
  </w:num>
  <w:num w:numId="15" w16cid:durableId="1361665291">
    <w:abstractNumId w:val="1"/>
  </w:num>
  <w:num w:numId="16" w16cid:durableId="1040664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7107"/>
    <w:rsid w:val="004A518A"/>
    <w:rsid w:val="00917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33281C"/>
  <w15:chartTrackingRefBased/>
  <w15:docId w15:val="{5B47D380-3175-40C5-B8B0-455BA691C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7107"/>
    <w:rPr>
      <w:sz w:val="28"/>
      <w:szCs w:val="28"/>
      <w:lang w:eastAsia="en-US"/>
    </w:rPr>
  </w:style>
  <w:style w:type="paragraph" w:styleId="Heading2">
    <w:name w:val="heading 2"/>
    <w:basedOn w:val="Normal"/>
    <w:next w:val="Normal"/>
    <w:link w:val="Heading2Char"/>
    <w:qFormat/>
    <w:rsid w:val="00917107"/>
    <w:pPr>
      <w:keepNext/>
      <w:spacing w:before="120" w:after="120" w:line="288" w:lineRule="auto"/>
      <w:jc w:val="center"/>
      <w:outlineLvl w:val="1"/>
    </w:pPr>
    <w:rPr>
      <w:b/>
      <w:bCs/>
      <w:color w:val="00000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2Char">
    <w:name w:val="Heading 2 Char"/>
    <w:basedOn w:val="DefaultParagraphFont"/>
    <w:link w:val="Heading2"/>
    <w:semiHidden/>
    <w:rsid w:val="00917107"/>
    <w:rPr>
      <w:b/>
      <w:bCs/>
      <w:color w:val="000000"/>
      <w:sz w:val="28"/>
      <w:szCs w:val="28"/>
      <w:lang w:val="en-US" w:eastAsia="en-US" w:bidi="ar-SA"/>
    </w:rPr>
  </w:style>
  <w:style w:type="paragraph" w:styleId="FootnoteText">
    <w:name w:val="footnote text"/>
    <w:basedOn w:val="Normal"/>
    <w:link w:val="FootnoteTextChar"/>
    <w:semiHidden/>
    <w:rsid w:val="00917107"/>
    <w:rPr>
      <w:sz w:val="20"/>
      <w:szCs w:val="20"/>
    </w:rPr>
  </w:style>
  <w:style w:type="character" w:customStyle="1" w:styleId="FootnoteTextChar">
    <w:name w:val="Footnote Text Char"/>
    <w:basedOn w:val="DefaultParagraphFont"/>
    <w:link w:val="FootnoteText"/>
    <w:semiHidden/>
    <w:rsid w:val="00917107"/>
    <w:rPr>
      <w:lang w:val="en-US" w:eastAsia="en-US" w:bidi="ar-SA"/>
    </w:rPr>
  </w:style>
  <w:style w:type="paragraph" w:styleId="Footer">
    <w:name w:val="footer"/>
    <w:basedOn w:val="Normal"/>
    <w:link w:val="FooterChar"/>
    <w:rsid w:val="00917107"/>
    <w:pPr>
      <w:tabs>
        <w:tab w:val="center" w:pos="4320"/>
        <w:tab w:val="right" w:pos="8640"/>
      </w:tabs>
    </w:pPr>
  </w:style>
  <w:style w:type="character" w:customStyle="1" w:styleId="FooterChar">
    <w:name w:val="Footer Char"/>
    <w:basedOn w:val="DefaultParagraphFont"/>
    <w:link w:val="Footer"/>
    <w:semiHidden/>
    <w:rsid w:val="00917107"/>
    <w:rPr>
      <w:sz w:val="28"/>
      <w:szCs w:val="28"/>
      <w:lang w:val="en-US" w:eastAsia="en-US" w:bidi="ar-SA"/>
    </w:rPr>
  </w:style>
  <w:style w:type="character" w:styleId="PageNumber">
    <w:name w:val="page number"/>
    <w:basedOn w:val="DefaultParagraphFont"/>
    <w:rsid w:val="00917107"/>
  </w:style>
  <w:style w:type="paragraph" w:styleId="Header">
    <w:name w:val="header"/>
    <w:basedOn w:val="Normal"/>
    <w:link w:val="HeaderChar"/>
    <w:rsid w:val="00917107"/>
    <w:pPr>
      <w:tabs>
        <w:tab w:val="center" w:pos="4320"/>
        <w:tab w:val="right" w:pos="8640"/>
      </w:tabs>
    </w:pPr>
  </w:style>
  <w:style w:type="character" w:customStyle="1" w:styleId="HeaderChar">
    <w:name w:val="Header Char"/>
    <w:basedOn w:val="DefaultParagraphFont"/>
    <w:link w:val="Header"/>
    <w:semiHidden/>
    <w:rsid w:val="00917107"/>
    <w:rPr>
      <w:sz w:val="28"/>
      <w:szCs w:val="28"/>
      <w:lang w:val="en-US" w:eastAsia="en-US" w:bidi="ar-SA"/>
    </w:rPr>
  </w:style>
  <w:style w:type="paragraph" w:styleId="BodyTextIndent">
    <w:name w:val="Body Text Indent"/>
    <w:basedOn w:val="Normal"/>
    <w:link w:val="BodyTextIndentChar"/>
    <w:rsid w:val="00917107"/>
    <w:pPr>
      <w:ind w:firstLine="720"/>
      <w:jc w:val="both"/>
    </w:pPr>
    <w:rPr>
      <w:rFonts w:ascii=".VnTime" w:hAnsi=".VnTime" w:cs=".VnTime"/>
      <w:spacing w:val="-6"/>
    </w:rPr>
  </w:style>
  <w:style w:type="character" w:customStyle="1" w:styleId="BodyTextIndentChar">
    <w:name w:val="Body Text Indent Char"/>
    <w:basedOn w:val="DefaultParagraphFont"/>
    <w:link w:val="BodyTextIndent"/>
    <w:semiHidden/>
    <w:rsid w:val="00917107"/>
    <w:rPr>
      <w:rFonts w:ascii=".VnTime" w:hAnsi=".VnTime" w:cs=".VnTime"/>
      <w:spacing w:val="-6"/>
      <w:sz w:val="28"/>
      <w:szCs w:val="28"/>
      <w:lang w:val="en-US" w:eastAsia="en-US" w:bidi="ar-SA"/>
    </w:rPr>
  </w:style>
  <w:style w:type="paragraph" w:customStyle="1" w:styleId="PWCListBullet2">
    <w:name w:val="PWCList Bullet2"/>
    <w:basedOn w:val="ListBullet2"/>
    <w:rsid w:val="00917107"/>
    <w:pPr>
      <w:spacing w:after="220"/>
      <w:jc w:val="both"/>
    </w:pPr>
    <w:rPr>
      <w:rFonts w:eastAsia="Times New Roman"/>
      <w:sz w:val="22"/>
      <w:szCs w:val="22"/>
      <w:lang w:val="en-GB" w:eastAsia="en-US"/>
    </w:rPr>
  </w:style>
  <w:style w:type="paragraph" w:styleId="ListBullet2">
    <w:name w:val="List Bullet 2"/>
    <w:basedOn w:val="Normal"/>
    <w:autoRedefine/>
    <w:rsid w:val="00917107"/>
    <w:pPr>
      <w:numPr>
        <w:numId w:val="3"/>
      </w:numPr>
      <w:tabs>
        <w:tab w:val="num" w:pos="1080"/>
      </w:tabs>
      <w:ind w:left="1080"/>
    </w:pPr>
    <w:rPr>
      <w:rFonts w:eastAsia="MS Mincho"/>
      <w:sz w:val="24"/>
      <w:szCs w:val="24"/>
      <w:lang w:eastAsia="ja-JP"/>
    </w:rPr>
  </w:style>
  <w:style w:type="paragraph" w:styleId="BodyText">
    <w:name w:val="Body Text"/>
    <w:basedOn w:val="Normal"/>
    <w:link w:val="BodyTextChar"/>
    <w:rsid w:val="00917107"/>
    <w:pPr>
      <w:spacing w:before="120"/>
      <w:jc w:val="both"/>
    </w:pPr>
    <w:rPr>
      <w:rFonts w:ascii=".VnTime" w:hAnsi=".VnTime" w:cs=".VnTime"/>
    </w:rPr>
  </w:style>
  <w:style w:type="character" w:customStyle="1" w:styleId="BodyTextChar">
    <w:name w:val="Body Text Char"/>
    <w:basedOn w:val="DefaultParagraphFont"/>
    <w:link w:val="BodyText"/>
    <w:semiHidden/>
    <w:rsid w:val="00917107"/>
    <w:rPr>
      <w:rFonts w:ascii=".VnTime" w:hAnsi=".VnTime" w:cs=".VnTime"/>
      <w:sz w:val="28"/>
      <w:szCs w:val="28"/>
      <w:lang w:val="en-US" w:eastAsia="en-US" w:bidi="ar-SA"/>
    </w:rPr>
  </w:style>
  <w:style w:type="paragraph" w:styleId="BodyTextIndent2">
    <w:name w:val="Body Text Indent 2"/>
    <w:basedOn w:val="Normal"/>
    <w:link w:val="BodyTextIndent2Char"/>
    <w:rsid w:val="00917107"/>
    <w:pPr>
      <w:ind w:left="1080"/>
      <w:jc w:val="both"/>
    </w:pPr>
    <w:rPr>
      <w:rFonts w:ascii=".VnTime" w:hAnsi=".VnTime" w:cs=".VnTime"/>
    </w:rPr>
  </w:style>
  <w:style w:type="character" w:customStyle="1" w:styleId="BodyTextIndent2Char">
    <w:name w:val="Body Text Indent 2 Char"/>
    <w:basedOn w:val="DefaultParagraphFont"/>
    <w:link w:val="BodyTextIndent2"/>
    <w:semiHidden/>
    <w:rsid w:val="00917107"/>
    <w:rPr>
      <w:rFonts w:ascii=".VnTime" w:hAnsi=".VnTime" w:cs=".VnTime"/>
      <w:sz w:val="28"/>
      <w:szCs w:val="28"/>
      <w:lang w:val="en-US" w:eastAsia="en-US" w:bidi="ar-SA"/>
    </w:rPr>
  </w:style>
  <w:style w:type="character" w:customStyle="1" w:styleId="CharChar">
    <w:name w:val="Char Char"/>
    <w:basedOn w:val="DefaultParagraphFont"/>
    <w:rsid w:val="00917107"/>
    <w:rPr>
      <w:rFonts w:ascii=".VnTime" w:hAnsi=".VnTime" w:cs=".VnTime"/>
      <w:sz w:val="28"/>
      <w:szCs w:val="28"/>
      <w:lang w:val="en-US" w:eastAsia="en-US"/>
    </w:rPr>
  </w:style>
  <w:style w:type="paragraph" w:styleId="BalloonText">
    <w:name w:val="Balloon Text"/>
    <w:basedOn w:val="Normal"/>
    <w:link w:val="BalloonTextChar"/>
    <w:semiHidden/>
    <w:rsid w:val="00917107"/>
    <w:rPr>
      <w:rFonts w:ascii="Tahoma" w:hAnsi="Tahoma" w:cs="Tahoma"/>
      <w:sz w:val="16"/>
      <w:szCs w:val="16"/>
    </w:rPr>
  </w:style>
  <w:style w:type="character" w:customStyle="1" w:styleId="BalloonTextChar">
    <w:name w:val="Balloon Text Char"/>
    <w:basedOn w:val="DefaultParagraphFont"/>
    <w:link w:val="BalloonText"/>
    <w:semiHidden/>
    <w:rsid w:val="00917107"/>
    <w:rPr>
      <w:rFonts w:ascii="Tahoma" w:hAnsi="Tahoma" w:cs="Tahoma"/>
      <w:sz w:val="16"/>
      <w:szCs w:val="16"/>
      <w:lang w:val="en-US" w:eastAsia="en-US" w:bidi="ar-SA"/>
    </w:rPr>
  </w:style>
  <w:style w:type="paragraph" w:styleId="BodyTextIndent3">
    <w:name w:val="Body Text Indent 3"/>
    <w:basedOn w:val="Normal"/>
    <w:link w:val="BodyTextIndent3Char"/>
    <w:rsid w:val="00917107"/>
    <w:pPr>
      <w:overflowPunct w:val="0"/>
      <w:autoSpaceDE w:val="0"/>
      <w:autoSpaceDN w:val="0"/>
      <w:adjustRightInd w:val="0"/>
      <w:spacing w:before="120" w:after="120"/>
      <w:ind w:firstLine="720"/>
      <w:jc w:val="both"/>
    </w:pPr>
    <w:rPr>
      <w:spacing w:val="2"/>
      <w:kern w:val="2"/>
      <w:position w:val="2"/>
      <w:sz w:val="26"/>
      <w:szCs w:val="26"/>
      <w:lang w:val="vi-VN"/>
    </w:rPr>
  </w:style>
  <w:style w:type="character" w:customStyle="1" w:styleId="BodyTextIndent3Char">
    <w:name w:val="Body Text Indent 3 Char"/>
    <w:basedOn w:val="DefaultParagraphFont"/>
    <w:link w:val="BodyTextIndent3"/>
    <w:semiHidden/>
    <w:rsid w:val="00917107"/>
    <w:rPr>
      <w:spacing w:val="2"/>
      <w:kern w:val="2"/>
      <w:position w:val="2"/>
      <w:sz w:val="26"/>
      <w:szCs w:val="26"/>
      <w:lang w:val="vi-VN" w:eastAsia="en-US" w:bidi="ar-SA"/>
    </w:rPr>
  </w:style>
  <w:style w:type="paragraph" w:styleId="BodyText2">
    <w:name w:val="Body Text 2"/>
    <w:basedOn w:val="Normal"/>
    <w:link w:val="BodyText2Char"/>
    <w:rsid w:val="00917107"/>
    <w:pPr>
      <w:spacing w:after="120" w:line="480" w:lineRule="auto"/>
    </w:pPr>
  </w:style>
  <w:style w:type="character" w:customStyle="1" w:styleId="BodyText2Char">
    <w:name w:val="Body Text 2 Char"/>
    <w:basedOn w:val="DefaultParagraphFont"/>
    <w:link w:val="BodyText2"/>
    <w:semiHidden/>
    <w:rsid w:val="00917107"/>
    <w:rPr>
      <w:sz w:val="28"/>
      <w:szCs w:val="28"/>
      <w:lang w:val="en-US" w:eastAsia="en-US" w:bidi="ar-SA"/>
    </w:rPr>
  </w:style>
  <w:style w:type="paragraph" w:customStyle="1" w:styleId="Char">
    <w:name w:val="Char"/>
    <w:basedOn w:val="Normal"/>
    <w:rsid w:val="00917107"/>
    <w:pPr>
      <w:spacing w:after="160" w:line="240" w:lineRule="exact"/>
    </w:pPr>
    <w:rPr>
      <w:sz w:val="20"/>
      <w:szCs w:val="20"/>
      <w:lang w:val="en-AU"/>
    </w:rPr>
  </w:style>
  <w:style w:type="paragraph" w:customStyle="1" w:styleId="Char1">
    <w:name w:val="Char1"/>
    <w:basedOn w:val="Normal"/>
    <w:rsid w:val="00917107"/>
    <w:pPr>
      <w:spacing w:after="160" w:line="240" w:lineRule="exact"/>
    </w:pPr>
    <w:rPr>
      <w:sz w:val="20"/>
      <w:szCs w:val="20"/>
      <w:lang w:val="en-AU"/>
    </w:rPr>
  </w:style>
  <w:style w:type="character" w:styleId="Emphasis">
    <w:name w:val="Emphasis"/>
    <w:basedOn w:val="DefaultParagraphFont"/>
    <w:qFormat/>
    <w:rsid w:val="00917107"/>
    <w:rPr>
      <w:i/>
      <w:iCs/>
    </w:rPr>
  </w:style>
  <w:style w:type="character" w:styleId="Strong">
    <w:name w:val="Strong"/>
    <w:basedOn w:val="DefaultParagraphFont"/>
    <w:qFormat/>
    <w:rsid w:val="00917107"/>
    <w:rPr>
      <w:b/>
      <w:bCs/>
    </w:rPr>
  </w:style>
  <w:style w:type="table" w:styleId="TableGrid">
    <w:name w:val="Table Grid"/>
    <w:basedOn w:val="TableNormal"/>
    <w:rsid w:val="00917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5520</Words>
  <Characters>31466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36913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vietlaw</dc:creator>
  <cp:keywords/>
  <dc:description/>
  <cp:lastModifiedBy>HoangNam</cp:lastModifiedBy>
  <cp:revision>2</cp:revision>
  <dcterms:created xsi:type="dcterms:W3CDTF">2025-10-16T19:20:00Z</dcterms:created>
  <dcterms:modified xsi:type="dcterms:W3CDTF">2025-10-16T19:20:00Z</dcterms:modified>
</cp:coreProperties>
</file>