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ook w:val="0000" w:firstRow="0" w:lastRow="0" w:firstColumn="0" w:lastColumn="0" w:noHBand="0" w:noVBand="0"/>
      </w:tblPr>
      <w:tblGrid>
        <w:gridCol w:w="3780"/>
        <w:gridCol w:w="5220"/>
      </w:tblGrid>
      <w:tr w:rsidR="00596DD4" w:rsidRPr="00F85081" w14:paraId="16FA1B17" w14:textId="77777777" w:rsidTr="00F85081">
        <w:trPr>
          <w:trHeight w:val="915"/>
        </w:trPr>
        <w:tc>
          <w:tcPr>
            <w:tcW w:w="3780" w:type="dxa"/>
          </w:tcPr>
          <w:p w14:paraId="02AD6F1F" w14:textId="77777777" w:rsidR="00596DD4" w:rsidRPr="00F85081" w:rsidRDefault="00596DD4" w:rsidP="00F85081">
            <w:pPr>
              <w:jc w:val="center"/>
              <w:rPr>
                <w:rFonts w:ascii="Arial" w:hAnsi="Arial" w:cs="Arial"/>
                <w:sz w:val="20"/>
                <w:szCs w:val="20"/>
              </w:rPr>
            </w:pPr>
            <w:r w:rsidRPr="00F85081">
              <w:rPr>
                <w:rFonts w:ascii="Arial" w:hAnsi="Arial" w:cs="Arial"/>
                <w:b/>
                <w:bCs/>
                <w:sz w:val="20"/>
                <w:szCs w:val="20"/>
              </w:rPr>
              <w:t xml:space="preserve">QUỐC HỘI </w:t>
            </w:r>
            <w:r w:rsidRPr="00F85081">
              <w:rPr>
                <w:rFonts w:ascii="Arial" w:hAnsi="Arial" w:cs="Arial"/>
                <w:b/>
                <w:bCs/>
                <w:sz w:val="20"/>
                <w:szCs w:val="20"/>
              </w:rPr>
              <w:br/>
              <w:t>---------------</w:t>
            </w:r>
          </w:p>
          <w:p w14:paraId="528CB939" w14:textId="77777777" w:rsidR="00596DD4" w:rsidRPr="00F85081" w:rsidRDefault="00596DD4" w:rsidP="00F85081">
            <w:pPr>
              <w:jc w:val="center"/>
              <w:rPr>
                <w:rFonts w:ascii="Arial" w:hAnsi="Arial" w:cs="Arial"/>
                <w:sz w:val="20"/>
                <w:szCs w:val="20"/>
              </w:rPr>
            </w:pPr>
            <w:r w:rsidRPr="00F85081">
              <w:rPr>
                <w:rFonts w:ascii="Arial" w:hAnsi="Arial" w:cs="Arial"/>
                <w:sz w:val="20"/>
                <w:szCs w:val="20"/>
              </w:rPr>
              <w:t>Luật số: 57/2010/QH12</w:t>
            </w:r>
          </w:p>
        </w:tc>
        <w:tc>
          <w:tcPr>
            <w:tcW w:w="5220" w:type="dxa"/>
          </w:tcPr>
          <w:p w14:paraId="7BAAAC0D" w14:textId="77777777" w:rsidR="00596DD4" w:rsidRPr="00F85081" w:rsidRDefault="00596DD4" w:rsidP="00F85081">
            <w:pPr>
              <w:jc w:val="center"/>
              <w:rPr>
                <w:rFonts w:ascii="Arial" w:hAnsi="Arial" w:cs="Arial"/>
                <w:sz w:val="20"/>
                <w:szCs w:val="20"/>
              </w:rPr>
            </w:pPr>
            <w:r w:rsidRPr="00F85081">
              <w:rPr>
                <w:rFonts w:ascii="Arial" w:hAnsi="Arial" w:cs="Arial"/>
                <w:b/>
                <w:bCs/>
                <w:sz w:val="20"/>
                <w:szCs w:val="20"/>
              </w:rPr>
              <w:t>CỘNG HÒA XÃ HỘI CHỦ NGHĨA VIỆT NAM</w:t>
            </w:r>
            <w:r w:rsidRPr="00F85081">
              <w:rPr>
                <w:rFonts w:ascii="Arial" w:hAnsi="Arial" w:cs="Arial"/>
                <w:b/>
                <w:bCs/>
                <w:sz w:val="20"/>
                <w:szCs w:val="20"/>
              </w:rPr>
              <w:br/>
              <w:t>Độc lập – Tự do – Hạnh phúc</w:t>
            </w:r>
            <w:r w:rsidRPr="00F85081">
              <w:rPr>
                <w:rFonts w:ascii="Arial" w:hAnsi="Arial" w:cs="Arial"/>
                <w:b/>
                <w:bCs/>
                <w:sz w:val="20"/>
                <w:szCs w:val="20"/>
              </w:rPr>
              <w:br/>
              <w:t>------------------------</w:t>
            </w:r>
          </w:p>
          <w:p w14:paraId="5D977897" w14:textId="77777777" w:rsidR="00596DD4" w:rsidRPr="00F85081" w:rsidRDefault="00596DD4" w:rsidP="00F85081">
            <w:pPr>
              <w:jc w:val="center"/>
              <w:rPr>
                <w:rFonts w:ascii="Arial" w:hAnsi="Arial" w:cs="Arial"/>
                <w:sz w:val="20"/>
                <w:szCs w:val="20"/>
              </w:rPr>
            </w:pPr>
          </w:p>
        </w:tc>
      </w:tr>
    </w:tbl>
    <w:p w14:paraId="13EDF9DB" w14:textId="77777777" w:rsidR="00596DD4" w:rsidRDefault="00596DD4" w:rsidP="00596DD4">
      <w:pPr>
        <w:jc w:val="center"/>
        <w:rPr>
          <w:rFonts w:ascii="Arial" w:hAnsi="Arial" w:cs="Arial"/>
          <w:sz w:val="20"/>
          <w:szCs w:val="20"/>
        </w:rPr>
      </w:pPr>
      <w:r w:rsidRPr="00596DD4">
        <w:rPr>
          <w:rFonts w:ascii="Arial" w:hAnsi="Arial" w:cs="Arial"/>
          <w:sz w:val="20"/>
          <w:szCs w:val="20"/>
        </w:rPr>
        <w:t> </w:t>
      </w:r>
    </w:p>
    <w:p w14:paraId="2B96F863" w14:textId="77777777" w:rsidR="00596DD4" w:rsidRPr="00596DD4" w:rsidRDefault="00596DD4" w:rsidP="00596DD4">
      <w:pPr>
        <w:jc w:val="center"/>
        <w:rPr>
          <w:rFonts w:ascii="Arial" w:hAnsi="Arial" w:cs="Arial"/>
          <w:sz w:val="20"/>
          <w:szCs w:val="20"/>
        </w:rPr>
      </w:pPr>
    </w:p>
    <w:p w14:paraId="59C3BFC9" w14:textId="77777777" w:rsidR="00596DD4" w:rsidRPr="00596DD4" w:rsidRDefault="00596DD4" w:rsidP="00596DD4">
      <w:pPr>
        <w:jc w:val="center"/>
        <w:rPr>
          <w:rFonts w:ascii="Arial" w:hAnsi="Arial" w:cs="Arial"/>
          <w:sz w:val="20"/>
          <w:szCs w:val="20"/>
        </w:rPr>
      </w:pPr>
      <w:r w:rsidRPr="00596DD4">
        <w:rPr>
          <w:rFonts w:ascii="Arial" w:hAnsi="Arial" w:cs="Arial"/>
          <w:b/>
          <w:bCs/>
          <w:sz w:val="20"/>
          <w:szCs w:val="20"/>
        </w:rPr>
        <w:t>LUẬT</w:t>
      </w:r>
    </w:p>
    <w:p w14:paraId="45A16958" w14:textId="77777777" w:rsidR="00596DD4" w:rsidRPr="00596DD4" w:rsidRDefault="00596DD4" w:rsidP="00596DD4">
      <w:pPr>
        <w:jc w:val="center"/>
        <w:rPr>
          <w:rFonts w:ascii="Arial" w:hAnsi="Arial" w:cs="Arial"/>
          <w:b/>
          <w:sz w:val="20"/>
          <w:szCs w:val="20"/>
        </w:rPr>
      </w:pPr>
      <w:r w:rsidRPr="00596DD4">
        <w:rPr>
          <w:rFonts w:ascii="Arial" w:hAnsi="Arial" w:cs="Arial"/>
          <w:b/>
          <w:sz w:val="20"/>
          <w:szCs w:val="20"/>
        </w:rPr>
        <w:t xml:space="preserve">THUẾ BẢO VỆ MÔI TRƯỜNG </w:t>
      </w:r>
    </w:p>
    <w:p w14:paraId="5C534150" w14:textId="77777777" w:rsidR="00596DD4" w:rsidRDefault="00596DD4" w:rsidP="00596DD4">
      <w:pPr>
        <w:jc w:val="center"/>
        <w:rPr>
          <w:rFonts w:ascii="Arial" w:hAnsi="Arial" w:cs="Arial"/>
          <w:sz w:val="20"/>
          <w:szCs w:val="20"/>
        </w:rPr>
      </w:pPr>
    </w:p>
    <w:p w14:paraId="00FD8CEF" w14:textId="77777777" w:rsidR="00596DD4" w:rsidRPr="00596DD4" w:rsidRDefault="00596DD4" w:rsidP="00596DD4">
      <w:pPr>
        <w:jc w:val="center"/>
        <w:rPr>
          <w:rFonts w:ascii="Arial" w:hAnsi="Arial" w:cs="Arial"/>
          <w:sz w:val="20"/>
          <w:szCs w:val="20"/>
        </w:rPr>
      </w:pPr>
    </w:p>
    <w:p w14:paraId="1A144B66" w14:textId="77777777" w:rsidR="00596DD4" w:rsidRDefault="00596DD4" w:rsidP="00596DD4">
      <w:pPr>
        <w:spacing w:after="120"/>
        <w:ind w:firstLine="720"/>
        <w:rPr>
          <w:rFonts w:ascii="Arial" w:hAnsi="Arial" w:cs="Arial"/>
          <w:i/>
          <w:iCs/>
          <w:sz w:val="20"/>
          <w:szCs w:val="20"/>
        </w:rPr>
      </w:pPr>
      <w:r w:rsidRPr="00596DD4">
        <w:rPr>
          <w:rFonts w:ascii="Arial" w:hAnsi="Arial" w:cs="Arial"/>
          <w:i/>
          <w:iCs/>
          <w:sz w:val="20"/>
          <w:szCs w:val="20"/>
        </w:rPr>
        <w:t>Căn cứ Hiến pháp nước Cộng hòa xã hội chủ nghĩa Việt Nam năm 1992 đã được sửa đổi, bổ sung một số điều theo Nghị quyết số 51/2001/QH10;</w:t>
      </w:r>
    </w:p>
    <w:p w14:paraId="179D3FBB" w14:textId="77777777" w:rsidR="00596DD4" w:rsidRDefault="00596DD4" w:rsidP="00596DD4">
      <w:pPr>
        <w:spacing w:after="120"/>
        <w:ind w:firstLine="720"/>
        <w:rPr>
          <w:rFonts w:ascii="Arial" w:hAnsi="Arial" w:cs="Arial"/>
          <w:i/>
          <w:iCs/>
          <w:sz w:val="20"/>
          <w:szCs w:val="20"/>
        </w:rPr>
      </w:pPr>
      <w:r w:rsidRPr="00596DD4">
        <w:rPr>
          <w:rFonts w:ascii="Arial" w:hAnsi="Arial" w:cs="Arial"/>
          <w:i/>
          <w:iCs/>
          <w:sz w:val="20"/>
          <w:szCs w:val="20"/>
        </w:rPr>
        <w:t>Quốc hội ban hành Luật thuế bảo vệ môi trường,</w:t>
      </w:r>
    </w:p>
    <w:p w14:paraId="06A2A657" w14:textId="77777777" w:rsidR="00596DD4" w:rsidRDefault="00596DD4" w:rsidP="00596DD4">
      <w:pPr>
        <w:jc w:val="center"/>
        <w:rPr>
          <w:rFonts w:ascii="Arial" w:hAnsi="Arial" w:cs="Arial"/>
          <w:i/>
          <w:iCs/>
          <w:sz w:val="20"/>
          <w:szCs w:val="20"/>
        </w:rPr>
      </w:pPr>
    </w:p>
    <w:p w14:paraId="28D418AF" w14:textId="77777777" w:rsidR="00596DD4" w:rsidRPr="00596DD4" w:rsidRDefault="00596DD4" w:rsidP="00596DD4">
      <w:pPr>
        <w:jc w:val="center"/>
        <w:rPr>
          <w:rFonts w:ascii="Arial" w:hAnsi="Arial" w:cs="Arial"/>
          <w:sz w:val="20"/>
          <w:szCs w:val="20"/>
        </w:rPr>
      </w:pPr>
    </w:p>
    <w:p w14:paraId="6BC3AED3" w14:textId="77777777" w:rsidR="00596DD4" w:rsidRPr="00596DD4" w:rsidRDefault="00596DD4" w:rsidP="00596DD4">
      <w:pPr>
        <w:ind w:firstLine="720"/>
        <w:jc w:val="center"/>
        <w:rPr>
          <w:rFonts w:ascii="Arial" w:hAnsi="Arial" w:cs="Arial"/>
          <w:sz w:val="20"/>
          <w:szCs w:val="20"/>
        </w:rPr>
      </w:pPr>
      <w:r w:rsidRPr="00596DD4">
        <w:rPr>
          <w:rFonts w:ascii="Arial" w:hAnsi="Arial" w:cs="Arial"/>
          <w:b/>
          <w:bCs/>
          <w:sz w:val="20"/>
          <w:szCs w:val="20"/>
        </w:rPr>
        <w:t>Chương 1.</w:t>
      </w:r>
    </w:p>
    <w:p w14:paraId="4D16D484" w14:textId="77777777" w:rsidR="00596DD4" w:rsidRDefault="00596DD4" w:rsidP="00596DD4">
      <w:pPr>
        <w:ind w:firstLine="720"/>
        <w:jc w:val="center"/>
        <w:rPr>
          <w:rFonts w:ascii="Arial" w:hAnsi="Arial" w:cs="Arial"/>
          <w:b/>
          <w:bCs/>
          <w:sz w:val="20"/>
          <w:szCs w:val="20"/>
        </w:rPr>
      </w:pPr>
      <w:r w:rsidRPr="00596DD4">
        <w:rPr>
          <w:rFonts w:ascii="Arial" w:hAnsi="Arial" w:cs="Arial"/>
          <w:b/>
          <w:bCs/>
          <w:sz w:val="20"/>
          <w:szCs w:val="20"/>
        </w:rPr>
        <w:t>NHỮNG QUY ĐỊNH CHUNG</w:t>
      </w:r>
    </w:p>
    <w:p w14:paraId="7FE3B7EC" w14:textId="77777777" w:rsidR="00596DD4" w:rsidRPr="00596DD4" w:rsidRDefault="00596DD4" w:rsidP="00596DD4">
      <w:pPr>
        <w:ind w:firstLine="720"/>
        <w:jc w:val="center"/>
        <w:rPr>
          <w:rFonts w:ascii="Arial" w:hAnsi="Arial" w:cs="Arial"/>
          <w:sz w:val="20"/>
          <w:szCs w:val="20"/>
        </w:rPr>
      </w:pPr>
    </w:p>
    <w:p w14:paraId="5E13CF1F"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1. Phạm vi điều chỉnh</w:t>
      </w:r>
    </w:p>
    <w:p w14:paraId="38FDB1CD"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Luật này quy định về đối tượng chịu thuế, đối tượng không chịu thuế, người nộp thuế, căn cứ tính thuế, khai thuế, tính thuế, nộp thuế và hoàn thuế bảo vệ môi trường.</w:t>
      </w:r>
    </w:p>
    <w:p w14:paraId="779AE1A2"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2. Giải thích từ ngữ</w:t>
      </w:r>
    </w:p>
    <w:p w14:paraId="0BCEEDBB"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Trong Luật này, các từ ngữ dưới đây được hiểu như sau:</w:t>
      </w:r>
    </w:p>
    <w:p w14:paraId="1C82C560"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 xml:space="preserve">1. </w:t>
      </w:r>
      <w:r w:rsidRPr="00596DD4">
        <w:rPr>
          <w:rFonts w:ascii="Arial" w:hAnsi="Arial" w:cs="Arial"/>
          <w:i/>
          <w:iCs/>
          <w:sz w:val="20"/>
          <w:szCs w:val="20"/>
        </w:rPr>
        <w:t xml:space="preserve">Thuế bảo vệ môi trường </w:t>
      </w:r>
      <w:r w:rsidRPr="00596DD4">
        <w:rPr>
          <w:rFonts w:ascii="Arial" w:hAnsi="Arial" w:cs="Arial"/>
          <w:sz w:val="20"/>
          <w:szCs w:val="20"/>
        </w:rPr>
        <w:t>là loại thuế gián thu, thu vào sản phẩm, hàng hóa (sau đây gọi chung là hàng hóa) khi sử dụng gây tác động xấu đến môi trường.</w:t>
      </w:r>
    </w:p>
    <w:p w14:paraId="5FDAAE5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 xml:space="preserve">2. </w:t>
      </w:r>
      <w:r w:rsidRPr="00596DD4">
        <w:rPr>
          <w:rFonts w:ascii="Arial" w:hAnsi="Arial" w:cs="Arial"/>
          <w:i/>
          <w:iCs/>
          <w:sz w:val="20"/>
          <w:szCs w:val="20"/>
        </w:rPr>
        <w:t xml:space="preserve">Mức thuế tuyệt đối </w:t>
      </w:r>
      <w:r w:rsidRPr="00596DD4">
        <w:rPr>
          <w:rFonts w:ascii="Arial" w:hAnsi="Arial" w:cs="Arial"/>
          <w:sz w:val="20"/>
          <w:szCs w:val="20"/>
        </w:rPr>
        <w:t>là mức thuế được quy định bằng số tiền tính trên một đơn vị hàng hóa chịu thuế.</w:t>
      </w:r>
    </w:p>
    <w:p w14:paraId="635E4D57"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 xml:space="preserve">3. </w:t>
      </w:r>
      <w:r w:rsidRPr="00596DD4">
        <w:rPr>
          <w:rFonts w:ascii="Arial" w:hAnsi="Arial" w:cs="Arial"/>
          <w:i/>
          <w:iCs/>
          <w:sz w:val="20"/>
          <w:szCs w:val="20"/>
        </w:rPr>
        <w:t xml:space="preserve">Túi ni lông thuộc diện chịu thuế </w:t>
      </w:r>
      <w:r w:rsidRPr="00596DD4">
        <w:rPr>
          <w:rFonts w:ascii="Arial" w:hAnsi="Arial" w:cs="Arial"/>
          <w:sz w:val="20"/>
          <w:szCs w:val="20"/>
        </w:rPr>
        <w:t>là loại túi, bao bì được làm từ màng nhựa đơn polyetylen, tên kỹ thuật là túi nhựa xốp.</w:t>
      </w:r>
    </w:p>
    <w:p w14:paraId="33C9DC5F"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 xml:space="preserve">4. </w:t>
      </w:r>
      <w:r w:rsidRPr="00596DD4">
        <w:rPr>
          <w:rFonts w:ascii="Arial" w:hAnsi="Arial" w:cs="Arial"/>
          <w:i/>
          <w:iCs/>
          <w:sz w:val="20"/>
          <w:szCs w:val="20"/>
        </w:rPr>
        <w:t xml:space="preserve">Dung dịch hydro-chloro-fluoro-carbon </w:t>
      </w:r>
      <w:r w:rsidRPr="00596DD4">
        <w:rPr>
          <w:rFonts w:ascii="Arial" w:hAnsi="Arial" w:cs="Arial"/>
          <w:sz w:val="20"/>
          <w:szCs w:val="20"/>
        </w:rPr>
        <w:t>(HCFC) là nhóm chất gây suy giảm tầng ô dôn dùng làm môi chất lạnh.</w:t>
      </w:r>
    </w:p>
    <w:p w14:paraId="6217F337"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3. Đối tượng chịu thuế</w:t>
      </w:r>
    </w:p>
    <w:p w14:paraId="4BDA627E"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Xăng, dầu, mỡ nhờn, bao gồm:</w:t>
      </w:r>
    </w:p>
    <w:p w14:paraId="140149A0"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a) Xăng, trừ etanol;</w:t>
      </w:r>
    </w:p>
    <w:p w14:paraId="10724E67"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b) Nhiên liệu bay;</w:t>
      </w:r>
    </w:p>
    <w:p w14:paraId="0C367FA4" w14:textId="77777777" w:rsidR="00596DD4" w:rsidRPr="00596DD4" w:rsidRDefault="00596DD4" w:rsidP="00596DD4">
      <w:pPr>
        <w:spacing w:after="120"/>
        <w:ind w:firstLine="720"/>
        <w:jc w:val="both"/>
        <w:rPr>
          <w:rFonts w:ascii="Arial" w:hAnsi="Arial" w:cs="Arial"/>
          <w:sz w:val="20"/>
          <w:szCs w:val="20"/>
          <w:lang w:val="nl-NL"/>
        </w:rPr>
      </w:pPr>
      <w:r w:rsidRPr="00596DD4">
        <w:rPr>
          <w:rFonts w:ascii="Arial" w:hAnsi="Arial" w:cs="Arial"/>
          <w:sz w:val="20"/>
          <w:szCs w:val="20"/>
          <w:lang w:val="nl-NL"/>
        </w:rPr>
        <w:t>c) Dầu diezel;</w:t>
      </w:r>
    </w:p>
    <w:p w14:paraId="21CB6F3A" w14:textId="77777777" w:rsidR="00596DD4" w:rsidRPr="00596DD4" w:rsidRDefault="00596DD4" w:rsidP="00596DD4">
      <w:pPr>
        <w:spacing w:after="120"/>
        <w:ind w:firstLine="720"/>
        <w:jc w:val="both"/>
        <w:rPr>
          <w:rFonts w:ascii="Arial" w:hAnsi="Arial" w:cs="Arial"/>
          <w:sz w:val="20"/>
          <w:szCs w:val="20"/>
          <w:lang w:val="nl-NL"/>
        </w:rPr>
      </w:pPr>
      <w:r w:rsidRPr="00596DD4">
        <w:rPr>
          <w:rFonts w:ascii="Arial" w:hAnsi="Arial" w:cs="Arial"/>
          <w:sz w:val="20"/>
          <w:szCs w:val="20"/>
          <w:lang w:val="nl-NL"/>
        </w:rPr>
        <w:t>d) Dầu hỏa;</w:t>
      </w:r>
    </w:p>
    <w:p w14:paraId="1476C3D6" w14:textId="77777777" w:rsidR="00596DD4" w:rsidRPr="00596DD4" w:rsidRDefault="00596DD4" w:rsidP="00596DD4">
      <w:pPr>
        <w:spacing w:after="120"/>
        <w:ind w:firstLine="720"/>
        <w:jc w:val="both"/>
        <w:rPr>
          <w:rFonts w:ascii="Arial" w:hAnsi="Arial" w:cs="Arial"/>
          <w:sz w:val="20"/>
          <w:szCs w:val="20"/>
          <w:lang w:val="nl-NL"/>
        </w:rPr>
      </w:pPr>
      <w:r w:rsidRPr="00596DD4">
        <w:rPr>
          <w:rFonts w:ascii="Arial" w:hAnsi="Arial" w:cs="Arial"/>
          <w:sz w:val="20"/>
          <w:szCs w:val="20"/>
          <w:lang w:val="nl-NL"/>
        </w:rPr>
        <w:t>đ) Dầu mazut;</w:t>
      </w:r>
    </w:p>
    <w:p w14:paraId="2B43B253" w14:textId="77777777" w:rsidR="00596DD4" w:rsidRPr="00596DD4" w:rsidRDefault="00596DD4" w:rsidP="00596DD4">
      <w:pPr>
        <w:spacing w:after="120"/>
        <w:ind w:firstLine="720"/>
        <w:jc w:val="both"/>
        <w:rPr>
          <w:rFonts w:ascii="Arial" w:hAnsi="Arial" w:cs="Arial"/>
          <w:sz w:val="20"/>
          <w:szCs w:val="20"/>
          <w:lang w:val="nl-NL"/>
        </w:rPr>
      </w:pPr>
      <w:r w:rsidRPr="00596DD4">
        <w:rPr>
          <w:rFonts w:ascii="Arial" w:hAnsi="Arial" w:cs="Arial"/>
          <w:sz w:val="20"/>
          <w:szCs w:val="20"/>
          <w:lang w:val="nl-NL"/>
        </w:rPr>
        <w:t>e) Dầu nhờn;</w:t>
      </w:r>
    </w:p>
    <w:p w14:paraId="5F1CDBDD"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g) Mỡ nhờn.</w:t>
      </w:r>
    </w:p>
    <w:p w14:paraId="712B9296"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Than đá, bao gồm:</w:t>
      </w:r>
    </w:p>
    <w:p w14:paraId="2FA37483"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a) Than nâu;</w:t>
      </w:r>
    </w:p>
    <w:p w14:paraId="2CB98E59"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b) Than an-tra-xít (antraxit);</w:t>
      </w:r>
    </w:p>
    <w:p w14:paraId="6596AE1E"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c) Than mỡ;</w:t>
      </w:r>
    </w:p>
    <w:p w14:paraId="60A2A12B"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lastRenderedPageBreak/>
        <w:t>d) Than đá khác.</w:t>
      </w:r>
    </w:p>
    <w:p w14:paraId="5A0DDA84"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3. Dung dịch hydro-chloro-fluoro-carbon (HCFC).</w:t>
      </w:r>
    </w:p>
    <w:p w14:paraId="6084E95F"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4. Túi ni lông thuộc diện chịu thuế.</w:t>
      </w:r>
    </w:p>
    <w:p w14:paraId="65F9BF2C"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5. Thuốc diệt cỏ thuộc loại hạn chế sử dụng.</w:t>
      </w:r>
    </w:p>
    <w:p w14:paraId="3927D6C6"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6. Thuốc trừ mối thuộc loại hạn chế sử dụng.</w:t>
      </w:r>
    </w:p>
    <w:p w14:paraId="486730F6"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7. Thuốc bảo quản lâm sản thuộc loại hạn chế sử dụng.</w:t>
      </w:r>
    </w:p>
    <w:p w14:paraId="39CE2EB3"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8. Thuốc khử trùng kho thuộc loại hạn chế sử dụng.</w:t>
      </w:r>
    </w:p>
    <w:p w14:paraId="35E260FE"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9. Trường hợp xét thấy cần thiết phải bổ sung đối tượng chịu thuế khác cho phù hợp với từng thời kỳ thì Ủy ban thường vụ Quốc hội xem xét, quy định.</w:t>
      </w:r>
    </w:p>
    <w:p w14:paraId="48AFD38E"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Chính phủ quy định chi tiết Điều này.</w:t>
      </w:r>
    </w:p>
    <w:p w14:paraId="1C53BBEA"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 xml:space="preserve">Điều 4. Đối tượng không chịu thuế </w:t>
      </w:r>
    </w:p>
    <w:p w14:paraId="535CC4DE"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Hàng hóa không quy định tại Điều 3 của Luật này không thuộc đối tượng chịu thuế bảo vệ môi trường.</w:t>
      </w:r>
    </w:p>
    <w:p w14:paraId="28F94FB8"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Hàng hóa quy định tại Điều 3 của Luật này không chịu thuế bảo vệ môi trường trong các trường hợp sau:</w:t>
      </w:r>
    </w:p>
    <w:p w14:paraId="7F73FBDD"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a) Hàng hóa vận chuyển quá cảnh hoặc chuyển khẩu qua cửa khẩu, biên giới Việt Nam theo quy định của pháp luật, bao gồm hàng hóa được vận chuyển từ nước xuất khẩu đến nước nhập khẩu qua cửa khẩu Việt Nam nhưng không làm thủ tục nhập khẩu vào Việt Nam và không làm thủ tục xuất khẩu ra khỏi Việt Nam; hàng hóa quá cảnh qua cửa khẩu, biên giới Việt Nam trên cơ sở Hiệp định ký kết giữa Chính phủ Việt Nam và Chính phủ nước ngoài hoặc thỏa thuận giữa cơ quan, người đại diện được Chính phủ Việt Nam và Chính phủ nước ngoài ủy quyền theo quy định của pháp luật;</w:t>
      </w:r>
    </w:p>
    <w:p w14:paraId="1F924C1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b) Hàng hóa tạm nhập khẩu, tái xuất khẩu trong thời hạn theo quy định của pháp luật;</w:t>
      </w:r>
    </w:p>
    <w:p w14:paraId="4A7CE88A"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c) Hàng hóa do cơ sở sản xuất trực tiếp xuất khẩu hoặc ủy thác cho cơ sở kinh doanh xuất khẩu để xuất khẩu, trừ trường hợp tổ chức, hộ gia đình, cá nhân mua hàng hóa thuộc đối tượng chịu thuế bảo vệ môi trường để xuất khẩu.</w:t>
      </w:r>
    </w:p>
    <w:p w14:paraId="34F1D119"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 xml:space="preserve">Điều 5. Người nộp thuế </w:t>
      </w:r>
    </w:p>
    <w:p w14:paraId="3BEF733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Người nộp thuế bảo vệ môi trường là tổ chức, hộ gia đình, cá nhân sản xuất, nhập khẩu hàng hóa thuộc đối tượng chịu thuế quy định tại Điều 3 của Luật này.</w:t>
      </w:r>
    </w:p>
    <w:p w14:paraId="6C22E0BC"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Người nộp thuế bảo vệ môi trường trong một số trường hợp cụ thể được quy định như sau:</w:t>
      </w:r>
    </w:p>
    <w:p w14:paraId="11148682"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a) Trường hợp ủy thác nhập khẩu hàng hóa thì người nhận ủy thác nhập khẩu là người nộp thuế;</w:t>
      </w:r>
    </w:p>
    <w:p w14:paraId="5B78E697" w14:textId="77777777" w:rsid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b) Trường hợp tổ chức, hộ gia đình, cá nhân làm đầu mối thu mua than khai thác nhỏ, lẻ mà không xuất trình được chứng từ chứng minh hàng hóa đã được nộp thuế bảo vệ môi trường thì tổ chức, hộ gia đình, cá nhân làm đầu mối thu mua là người nộp thuế.</w:t>
      </w:r>
    </w:p>
    <w:p w14:paraId="483325FE" w14:textId="77777777" w:rsidR="00596DD4" w:rsidRPr="00596DD4" w:rsidRDefault="00596DD4" w:rsidP="00596DD4">
      <w:pPr>
        <w:spacing w:after="120"/>
        <w:ind w:firstLine="720"/>
        <w:jc w:val="both"/>
        <w:rPr>
          <w:rFonts w:ascii="Arial" w:hAnsi="Arial" w:cs="Arial"/>
          <w:sz w:val="20"/>
          <w:szCs w:val="20"/>
        </w:rPr>
      </w:pPr>
    </w:p>
    <w:p w14:paraId="6D4553C4" w14:textId="77777777" w:rsidR="00596DD4" w:rsidRPr="00596DD4" w:rsidRDefault="00596DD4" w:rsidP="00596DD4">
      <w:pPr>
        <w:ind w:firstLine="720"/>
        <w:jc w:val="center"/>
        <w:rPr>
          <w:rFonts w:ascii="Arial" w:hAnsi="Arial" w:cs="Arial"/>
          <w:sz w:val="20"/>
          <w:szCs w:val="20"/>
        </w:rPr>
      </w:pPr>
      <w:r w:rsidRPr="00596DD4">
        <w:rPr>
          <w:rFonts w:ascii="Arial" w:hAnsi="Arial" w:cs="Arial"/>
          <w:b/>
          <w:bCs/>
          <w:sz w:val="20"/>
          <w:szCs w:val="20"/>
        </w:rPr>
        <w:t>Chương 2.</w:t>
      </w:r>
    </w:p>
    <w:p w14:paraId="17AB85E2" w14:textId="77777777" w:rsidR="00596DD4" w:rsidRDefault="00596DD4" w:rsidP="00596DD4">
      <w:pPr>
        <w:ind w:firstLine="720"/>
        <w:jc w:val="center"/>
        <w:rPr>
          <w:rFonts w:ascii="Arial" w:hAnsi="Arial" w:cs="Arial"/>
          <w:b/>
          <w:bCs/>
          <w:sz w:val="20"/>
          <w:szCs w:val="20"/>
        </w:rPr>
      </w:pPr>
      <w:r w:rsidRPr="00596DD4">
        <w:rPr>
          <w:rFonts w:ascii="Arial" w:hAnsi="Arial" w:cs="Arial"/>
          <w:b/>
          <w:bCs/>
          <w:sz w:val="20"/>
          <w:szCs w:val="20"/>
        </w:rPr>
        <w:t>CĂN CỨ TÍNH THUẾ</w:t>
      </w:r>
    </w:p>
    <w:p w14:paraId="2A3BF65C" w14:textId="77777777" w:rsidR="00596DD4" w:rsidRPr="00596DD4" w:rsidRDefault="00596DD4" w:rsidP="00596DD4">
      <w:pPr>
        <w:ind w:firstLine="720"/>
        <w:jc w:val="center"/>
        <w:rPr>
          <w:rFonts w:ascii="Arial" w:hAnsi="Arial" w:cs="Arial"/>
          <w:sz w:val="20"/>
          <w:szCs w:val="20"/>
        </w:rPr>
      </w:pPr>
    </w:p>
    <w:p w14:paraId="5966F74B"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6. Căn cứ tính thuế</w:t>
      </w:r>
    </w:p>
    <w:p w14:paraId="5E29EA36"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Căn cứ tính thuế bảo vệ môi trường là số lượng hàng hóa tính thuế và mức thuế tuyệt đối.</w:t>
      </w:r>
    </w:p>
    <w:p w14:paraId="090AFE06"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Số lượng hàng hóa tính thuế được quy định như sau:</w:t>
      </w:r>
    </w:p>
    <w:p w14:paraId="05BFEEF2"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lastRenderedPageBreak/>
        <w:t>a) Đối với hàng hóa sản xuất trong nước, số lượng hàng hóa tính thuế là số lượng hàng hóa sản xuất bán ra, trao đổi, tiêu dùng nội bộ, tặng cho;</w:t>
      </w:r>
    </w:p>
    <w:p w14:paraId="2F3E6752"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b) Đối với hàng hóa nhập khẩu, số lượng hàng hóa tính thuế là số lượng hàng hóa nhập khẩu.</w:t>
      </w:r>
    </w:p>
    <w:p w14:paraId="080E917B"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3. Mức thuế tuyệt đối để tính thuế được quy định tại Điều 8 của Luật này.</w:t>
      </w:r>
    </w:p>
    <w:p w14:paraId="31EFC33F"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7. Phương pháp tính thuế</w:t>
      </w:r>
    </w:p>
    <w:p w14:paraId="56221E2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Số thuế bảo vệ môi trường phải nộp bằng số lượng đơn vị hàng hóa chịu thuế nhân với mức thuế tuyệt đối quy định trên một đơn vị hàng hóa.</w:t>
      </w:r>
    </w:p>
    <w:p w14:paraId="75EAB472"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8. Biểu khung thuế</w:t>
      </w:r>
    </w:p>
    <w:p w14:paraId="48197F29"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Mức thuế tuyệt đối được quy định theo Biểu khung thuế dưới đây:</w:t>
      </w:r>
    </w:p>
    <w:tbl>
      <w:tblPr>
        <w:tblW w:w="9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7"/>
        <w:gridCol w:w="4703"/>
        <w:gridCol w:w="1345"/>
        <w:gridCol w:w="1718"/>
      </w:tblGrid>
      <w:tr w:rsidR="00596DD4" w:rsidRPr="00F85081" w14:paraId="4AE2810D" w14:textId="77777777" w:rsidTr="00F85081">
        <w:tc>
          <w:tcPr>
            <w:tcW w:w="1237" w:type="dxa"/>
          </w:tcPr>
          <w:p w14:paraId="15302A94"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Số thứ tự</w:t>
            </w:r>
          </w:p>
        </w:tc>
        <w:tc>
          <w:tcPr>
            <w:tcW w:w="4703" w:type="dxa"/>
          </w:tcPr>
          <w:p w14:paraId="73DE2BB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Hàng hóa</w:t>
            </w:r>
          </w:p>
        </w:tc>
        <w:tc>
          <w:tcPr>
            <w:tcW w:w="1345" w:type="dxa"/>
          </w:tcPr>
          <w:p w14:paraId="2D3FA49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Đơn vị tính</w:t>
            </w:r>
          </w:p>
        </w:tc>
        <w:tc>
          <w:tcPr>
            <w:tcW w:w="1718" w:type="dxa"/>
          </w:tcPr>
          <w:p w14:paraId="7D99BC4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Mức thuế</w:t>
            </w:r>
          </w:p>
          <w:p w14:paraId="0DD8A299"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(đồng/1 đơn vị hàng hóa)</w:t>
            </w:r>
          </w:p>
        </w:tc>
      </w:tr>
      <w:tr w:rsidR="00596DD4" w:rsidRPr="00F85081" w14:paraId="04D4384D" w14:textId="77777777" w:rsidTr="00F85081">
        <w:tc>
          <w:tcPr>
            <w:tcW w:w="1237" w:type="dxa"/>
          </w:tcPr>
          <w:p w14:paraId="6E7DB5C6"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I</w:t>
            </w:r>
          </w:p>
        </w:tc>
        <w:tc>
          <w:tcPr>
            <w:tcW w:w="4703" w:type="dxa"/>
          </w:tcPr>
          <w:p w14:paraId="67B355E7"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Xăng, dầu, mỡ nhờn</w:t>
            </w:r>
          </w:p>
        </w:tc>
        <w:tc>
          <w:tcPr>
            <w:tcW w:w="1345" w:type="dxa"/>
          </w:tcPr>
          <w:p w14:paraId="65F36B30"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w:t>
            </w:r>
          </w:p>
        </w:tc>
        <w:tc>
          <w:tcPr>
            <w:tcW w:w="1718" w:type="dxa"/>
          </w:tcPr>
          <w:p w14:paraId="4663FC56"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w:t>
            </w:r>
          </w:p>
        </w:tc>
      </w:tr>
      <w:tr w:rsidR="00596DD4" w:rsidRPr="00F85081" w14:paraId="635A7E67" w14:textId="77777777" w:rsidTr="00F85081">
        <w:tc>
          <w:tcPr>
            <w:tcW w:w="1237" w:type="dxa"/>
          </w:tcPr>
          <w:p w14:paraId="5C80994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w:t>
            </w:r>
          </w:p>
        </w:tc>
        <w:tc>
          <w:tcPr>
            <w:tcW w:w="4703" w:type="dxa"/>
          </w:tcPr>
          <w:p w14:paraId="4C84C7D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Xăng, trừ etanol</w:t>
            </w:r>
          </w:p>
        </w:tc>
        <w:tc>
          <w:tcPr>
            <w:tcW w:w="1345" w:type="dxa"/>
          </w:tcPr>
          <w:p w14:paraId="1CF3E398"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Lít</w:t>
            </w:r>
          </w:p>
        </w:tc>
        <w:tc>
          <w:tcPr>
            <w:tcW w:w="1718" w:type="dxa"/>
          </w:tcPr>
          <w:p w14:paraId="536EF930"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1.000-4.000</w:t>
            </w:r>
          </w:p>
        </w:tc>
      </w:tr>
      <w:tr w:rsidR="00596DD4" w:rsidRPr="00F85081" w14:paraId="73A131F1" w14:textId="77777777" w:rsidTr="00F85081">
        <w:tc>
          <w:tcPr>
            <w:tcW w:w="1237" w:type="dxa"/>
          </w:tcPr>
          <w:p w14:paraId="21B018B3"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2</w:t>
            </w:r>
          </w:p>
        </w:tc>
        <w:tc>
          <w:tcPr>
            <w:tcW w:w="4703" w:type="dxa"/>
          </w:tcPr>
          <w:p w14:paraId="7BB0585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Nhiên liệu bay</w:t>
            </w:r>
          </w:p>
        </w:tc>
        <w:tc>
          <w:tcPr>
            <w:tcW w:w="1345" w:type="dxa"/>
          </w:tcPr>
          <w:p w14:paraId="373A5FEB"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xml:space="preserve">Lít </w:t>
            </w:r>
          </w:p>
        </w:tc>
        <w:tc>
          <w:tcPr>
            <w:tcW w:w="1718" w:type="dxa"/>
          </w:tcPr>
          <w:p w14:paraId="557E9183"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1.000-3.000</w:t>
            </w:r>
          </w:p>
        </w:tc>
      </w:tr>
      <w:tr w:rsidR="00596DD4" w:rsidRPr="00F85081" w14:paraId="1A0AAC2A" w14:textId="77777777" w:rsidTr="00F85081">
        <w:tc>
          <w:tcPr>
            <w:tcW w:w="1237" w:type="dxa"/>
          </w:tcPr>
          <w:p w14:paraId="0A05E536"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3</w:t>
            </w:r>
          </w:p>
        </w:tc>
        <w:tc>
          <w:tcPr>
            <w:tcW w:w="4703" w:type="dxa"/>
          </w:tcPr>
          <w:p w14:paraId="1F37096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Dầu diezel</w:t>
            </w:r>
          </w:p>
        </w:tc>
        <w:tc>
          <w:tcPr>
            <w:tcW w:w="1345" w:type="dxa"/>
          </w:tcPr>
          <w:p w14:paraId="1D719F5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xml:space="preserve">Lít </w:t>
            </w:r>
          </w:p>
        </w:tc>
        <w:tc>
          <w:tcPr>
            <w:tcW w:w="1718" w:type="dxa"/>
          </w:tcPr>
          <w:p w14:paraId="2AFBD442"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500-2.000</w:t>
            </w:r>
          </w:p>
        </w:tc>
      </w:tr>
      <w:tr w:rsidR="00596DD4" w:rsidRPr="00F85081" w14:paraId="71463766" w14:textId="77777777" w:rsidTr="00F85081">
        <w:tc>
          <w:tcPr>
            <w:tcW w:w="1237" w:type="dxa"/>
          </w:tcPr>
          <w:p w14:paraId="267B85F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4</w:t>
            </w:r>
          </w:p>
        </w:tc>
        <w:tc>
          <w:tcPr>
            <w:tcW w:w="4703" w:type="dxa"/>
          </w:tcPr>
          <w:p w14:paraId="6BCF7C91"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Dầu hỏa</w:t>
            </w:r>
          </w:p>
        </w:tc>
        <w:tc>
          <w:tcPr>
            <w:tcW w:w="1345" w:type="dxa"/>
          </w:tcPr>
          <w:p w14:paraId="11EAC216"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xml:space="preserve">Lít </w:t>
            </w:r>
          </w:p>
        </w:tc>
        <w:tc>
          <w:tcPr>
            <w:tcW w:w="1718" w:type="dxa"/>
          </w:tcPr>
          <w:p w14:paraId="76247FC2"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300-2.000</w:t>
            </w:r>
          </w:p>
        </w:tc>
      </w:tr>
      <w:tr w:rsidR="00596DD4" w:rsidRPr="00F85081" w14:paraId="06CF30B3" w14:textId="77777777" w:rsidTr="00F85081">
        <w:tc>
          <w:tcPr>
            <w:tcW w:w="1237" w:type="dxa"/>
          </w:tcPr>
          <w:p w14:paraId="2DC8430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5</w:t>
            </w:r>
          </w:p>
        </w:tc>
        <w:tc>
          <w:tcPr>
            <w:tcW w:w="4703" w:type="dxa"/>
          </w:tcPr>
          <w:p w14:paraId="76C16BC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Dầu mazut</w:t>
            </w:r>
          </w:p>
        </w:tc>
        <w:tc>
          <w:tcPr>
            <w:tcW w:w="1345" w:type="dxa"/>
          </w:tcPr>
          <w:p w14:paraId="75512050"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xml:space="preserve">Lít </w:t>
            </w:r>
          </w:p>
        </w:tc>
        <w:tc>
          <w:tcPr>
            <w:tcW w:w="1718" w:type="dxa"/>
          </w:tcPr>
          <w:p w14:paraId="445187A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300-2.000</w:t>
            </w:r>
          </w:p>
        </w:tc>
      </w:tr>
      <w:tr w:rsidR="00596DD4" w:rsidRPr="00F85081" w14:paraId="5CF4BA62" w14:textId="77777777" w:rsidTr="00F85081">
        <w:tc>
          <w:tcPr>
            <w:tcW w:w="1237" w:type="dxa"/>
          </w:tcPr>
          <w:p w14:paraId="558BFAA0"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6</w:t>
            </w:r>
          </w:p>
        </w:tc>
        <w:tc>
          <w:tcPr>
            <w:tcW w:w="4703" w:type="dxa"/>
          </w:tcPr>
          <w:p w14:paraId="761A9D6B"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Dầu nhờn</w:t>
            </w:r>
          </w:p>
        </w:tc>
        <w:tc>
          <w:tcPr>
            <w:tcW w:w="1345" w:type="dxa"/>
          </w:tcPr>
          <w:p w14:paraId="76161524"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xml:space="preserve">Lít </w:t>
            </w:r>
          </w:p>
        </w:tc>
        <w:tc>
          <w:tcPr>
            <w:tcW w:w="1718" w:type="dxa"/>
          </w:tcPr>
          <w:p w14:paraId="48360F46"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300-2.000</w:t>
            </w:r>
          </w:p>
        </w:tc>
      </w:tr>
      <w:tr w:rsidR="00596DD4" w:rsidRPr="00F85081" w14:paraId="3BBC7AB8" w14:textId="77777777" w:rsidTr="00F85081">
        <w:tc>
          <w:tcPr>
            <w:tcW w:w="1237" w:type="dxa"/>
          </w:tcPr>
          <w:p w14:paraId="339F2628"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7</w:t>
            </w:r>
          </w:p>
        </w:tc>
        <w:tc>
          <w:tcPr>
            <w:tcW w:w="4703" w:type="dxa"/>
          </w:tcPr>
          <w:p w14:paraId="7B879D3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Mỡ nhờn</w:t>
            </w:r>
          </w:p>
        </w:tc>
        <w:tc>
          <w:tcPr>
            <w:tcW w:w="1345" w:type="dxa"/>
          </w:tcPr>
          <w:p w14:paraId="1CA7ABF7"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xml:space="preserve">Kg </w:t>
            </w:r>
          </w:p>
        </w:tc>
        <w:tc>
          <w:tcPr>
            <w:tcW w:w="1718" w:type="dxa"/>
          </w:tcPr>
          <w:p w14:paraId="677CD9CD"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300-2.000</w:t>
            </w:r>
          </w:p>
        </w:tc>
      </w:tr>
      <w:tr w:rsidR="00596DD4" w:rsidRPr="00F85081" w14:paraId="4E7C0AFC" w14:textId="77777777" w:rsidTr="00F85081">
        <w:tc>
          <w:tcPr>
            <w:tcW w:w="1237" w:type="dxa"/>
          </w:tcPr>
          <w:p w14:paraId="48BCB83D"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II</w:t>
            </w:r>
          </w:p>
        </w:tc>
        <w:tc>
          <w:tcPr>
            <w:tcW w:w="4703" w:type="dxa"/>
          </w:tcPr>
          <w:p w14:paraId="0AF4DC5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Than đá</w:t>
            </w:r>
          </w:p>
        </w:tc>
        <w:tc>
          <w:tcPr>
            <w:tcW w:w="1345" w:type="dxa"/>
          </w:tcPr>
          <w:p w14:paraId="6EB6E4AD"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w:t>
            </w:r>
          </w:p>
        </w:tc>
        <w:tc>
          <w:tcPr>
            <w:tcW w:w="1718" w:type="dxa"/>
          </w:tcPr>
          <w:p w14:paraId="796FBB94"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 </w:t>
            </w:r>
          </w:p>
        </w:tc>
      </w:tr>
      <w:tr w:rsidR="00596DD4" w:rsidRPr="00F85081" w14:paraId="7ADB046B" w14:textId="77777777" w:rsidTr="00F85081">
        <w:tc>
          <w:tcPr>
            <w:tcW w:w="1237" w:type="dxa"/>
          </w:tcPr>
          <w:p w14:paraId="07BE46E2"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w:t>
            </w:r>
          </w:p>
        </w:tc>
        <w:tc>
          <w:tcPr>
            <w:tcW w:w="4703" w:type="dxa"/>
          </w:tcPr>
          <w:p w14:paraId="29B1FDB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Than nâu</w:t>
            </w:r>
          </w:p>
        </w:tc>
        <w:tc>
          <w:tcPr>
            <w:tcW w:w="1345" w:type="dxa"/>
          </w:tcPr>
          <w:p w14:paraId="2C5EC5AC"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Tấn</w:t>
            </w:r>
          </w:p>
        </w:tc>
        <w:tc>
          <w:tcPr>
            <w:tcW w:w="1718" w:type="dxa"/>
          </w:tcPr>
          <w:p w14:paraId="4AD224C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10.000-30.000</w:t>
            </w:r>
          </w:p>
        </w:tc>
      </w:tr>
      <w:tr w:rsidR="00596DD4" w:rsidRPr="00F85081" w14:paraId="429B8FF6" w14:textId="77777777" w:rsidTr="00F85081">
        <w:tc>
          <w:tcPr>
            <w:tcW w:w="1237" w:type="dxa"/>
          </w:tcPr>
          <w:p w14:paraId="3F457A4D"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2</w:t>
            </w:r>
          </w:p>
        </w:tc>
        <w:tc>
          <w:tcPr>
            <w:tcW w:w="4703" w:type="dxa"/>
          </w:tcPr>
          <w:p w14:paraId="6771B882"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Than an-tra-xít (antraxit)</w:t>
            </w:r>
          </w:p>
        </w:tc>
        <w:tc>
          <w:tcPr>
            <w:tcW w:w="1345" w:type="dxa"/>
          </w:tcPr>
          <w:p w14:paraId="10C0399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Tấn</w:t>
            </w:r>
          </w:p>
        </w:tc>
        <w:tc>
          <w:tcPr>
            <w:tcW w:w="1718" w:type="dxa"/>
          </w:tcPr>
          <w:p w14:paraId="396DC140"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20.000-50.000</w:t>
            </w:r>
          </w:p>
        </w:tc>
      </w:tr>
      <w:tr w:rsidR="00596DD4" w:rsidRPr="00F85081" w14:paraId="4055ECF5" w14:textId="77777777" w:rsidTr="00F85081">
        <w:tc>
          <w:tcPr>
            <w:tcW w:w="1237" w:type="dxa"/>
          </w:tcPr>
          <w:p w14:paraId="64EEB6CB"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3</w:t>
            </w:r>
          </w:p>
        </w:tc>
        <w:tc>
          <w:tcPr>
            <w:tcW w:w="4703" w:type="dxa"/>
          </w:tcPr>
          <w:p w14:paraId="34E76F33"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Than mỡ</w:t>
            </w:r>
          </w:p>
        </w:tc>
        <w:tc>
          <w:tcPr>
            <w:tcW w:w="1345" w:type="dxa"/>
          </w:tcPr>
          <w:p w14:paraId="2DA1CF1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Tấn</w:t>
            </w:r>
          </w:p>
        </w:tc>
        <w:tc>
          <w:tcPr>
            <w:tcW w:w="1718" w:type="dxa"/>
          </w:tcPr>
          <w:p w14:paraId="339398B3"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10.000-30.000</w:t>
            </w:r>
          </w:p>
        </w:tc>
      </w:tr>
      <w:tr w:rsidR="00596DD4" w:rsidRPr="00F85081" w14:paraId="78FC186C" w14:textId="77777777" w:rsidTr="00F85081">
        <w:tc>
          <w:tcPr>
            <w:tcW w:w="1237" w:type="dxa"/>
          </w:tcPr>
          <w:p w14:paraId="3B705C5B"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4</w:t>
            </w:r>
          </w:p>
        </w:tc>
        <w:tc>
          <w:tcPr>
            <w:tcW w:w="4703" w:type="dxa"/>
          </w:tcPr>
          <w:p w14:paraId="6093D15E"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Than đá khác</w:t>
            </w:r>
          </w:p>
        </w:tc>
        <w:tc>
          <w:tcPr>
            <w:tcW w:w="1345" w:type="dxa"/>
          </w:tcPr>
          <w:p w14:paraId="21D3F9D6"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Tấn</w:t>
            </w:r>
          </w:p>
        </w:tc>
        <w:tc>
          <w:tcPr>
            <w:tcW w:w="1718" w:type="dxa"/>
          </w:tcPr>
          <w:p w14:paraId="5C2455C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10.000-30.000</w:t>
            </w:r>
          </w:p>
        </w:tc>
      </w:tr>
      <w:tr w:rsidR="00596DD4" w:rsidRPr="00F85081" w14:paraId="59292AA6" w14:textId="77777777" w:rsidTr="00F85081">
        <w:tc>
          <w:tcPr>
            <w:tcW w:w="1237" w:type="dxa"/>
          </w:tcPr>
          <w:p w14:paraId="7A41D29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III</w:t>
            </w:r>
          </w:p>
        </w:tc>
        <w:tc>
          <w:tcPr>
            <w:tcW w:w="4703" w:type="dxa"/>
          </w:tcPr>
          <w:p w14:paraId="4A396963"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Dung dịch Hydro-chloro-fluoro-carbon (HCFC)</w:t>
            </w:r>
          </w:p>
        </w:tc>
        <w:tc>
          <w:tcPr>
            <w:tcW w:w="1345" w:type="dxa"/>
          </w:tcPr>
          <w:p w14:paraId="178CD628"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kg</w:t>
            </w:r>
          </w:p>
        </w:tc>
        <w:tc>
          <w:tcPr>
            <w:tcW w:w="1718" w:type="dxa"/>
          </w:tcPr>
          <w:p w14:paraId="1100722F"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1.000-5.000</w:t>
            </w:r>
          </w:p>
        </w:tc>
      </w:tr>
      <w:tr w:rsidR="00596DD4" w:rsidRPr="00F85081" w14:paraId="6A435CEB" w14:textId="77777777" w:rsidTr="00F85081">
        <w:tc>
          <w:tcPr>
            <w:tcW w:w="1237" w:type="dxa"/>
          </w:tcPr>
          <w:p w14:paraId="1B55F747"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IV</w:t>
            </w:r>
          </w:p>
        </w:tc>
        <w:tc>
          <w:tcPr>
            <w:tcW w:w="4703" w:type="dxa"/>
          </w:tcPr>
          <w:p w14:paraId="4BFC118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 xml:space="preserve">Túi ni lông thuộc diện chịu thuế </w:t>
            </w:r>
          </w:p>
        </w:tc>
        <w:tc>
          <w:tcPr>
            <w:tcW w:w="1345" w:type="dxa"/>
          </w:tcPr>
          <w:p w14:paraId="2038F409"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kg</w:t>
            </w:r>
          </w:p>
        </w:tc>
        <w:tc>
          <w:tcPr>
            <w:tcW w:w="1718" w:type="dxa"/>
          </w:tcPr>
          <w:p w14:paraId="43F6B32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30.000-50.000</w:t>
            </w:r>
          </w:p>
        </w:tc>
      </w:tr>
      <w:tr w:rsidR="00596DD4" w:rsidRPr="00F85081" w14:paraId="285B5FB7" w14:textId="77777777" w:rsidTr="00F85081">
        <w:tc>
          <w:tcPr>
            <w:tcW w:w="1237" w:type="dxa"/>
          </w:tcPr>
          <w:p w14:paraId="35509257"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lastRenderedPageBreak/>
              <w:t>V</w:t>
            </w:r>
          </w:p>
        </w:tc>
        <w:tc>
          <w:tcPr>
            <w:tcW w:w="4703" w:type="dxa"/>
          </w:tcPr>
          <w:p w14:paraId="6F0AEDD1"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Thuốc diệt cỏ thuộc loại hạn chế sử dụng</w:t>
            </w:r>
          </w:p>
        </w:tc>
        <w:tc>
          <w:tcPr>
            <w:tcW w:w="1345" w:type="dxa"/>
          </w:tcPr>
          <w:p w14:paraId="11525F71"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kg</w:t>
            </w:r>
          </w:p>
        </w:tc>
        <w:tc>
          <w:tcPr>
            <w:tcW w:w="1718" w:type="dxa"/>
          </w:tcPr>
          <w:p w14:paraId="202436EA"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500-2.000</w:t>
            </w:r>
          </w:p>
        </w:tc>
      </w:tr>
      <w:tr w:rsidR="00596DD4" w:rsidRPr="00F85081" w14:paraId="4BCC6622" w14:textId="77777777" w:rsidTr="00F85081">
        <w:tc>
          <w:tcPr>
            <w:tcW w:w="1237" w:type="dxa"/>
          </w:tcPr>
          <w:p w14:paraId="5473A581"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VI</w:t>
            </w:r>
          </w:p>
        </w:tc>
        <w:tc>
          <w:tcPr>
            <w:tcW w:w="4703" w:type="dxa"/>
          </w:tcPr>
          <w:p w14:paraId="73A11E47"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Thuốc trừ mối thuộc loại hạn chế sử dụng</w:t>
            </w:r>
          </w:p>
        </w:tc>
        <w:tc>
          <w:tcPr>
            <w:tcW w:w="1345" w:type="dxa"/>
          </w:tcPr>
          <w:p w14:paraId="07137086"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kg</w:t>
            </w:r>
          </w:p>
        </w:tc>
        <w:tc>
          <w:tcPr>
            <w:tcW w:w="1718" w:type="dxa"/>
          </w:tcPr>
          <w:p w14:paraId="0FD0795C"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1.000-3.000</w:t>
            </w:r>
          </w:p>
        </w:tc>
      </w:tr>
      <w:tr w:rsidR="00596DD4" w:rsidRPr="00F85081" w14:paraId="16E346A0" w14:textId="77777777" w:rsidTr="00F85081">
        <w:tc>
          <w:tcPr>
            <w:tcW w:w="1237" w:type="dxa"/>
          </w:tcPr>
          <w:p w14:paraId="7B770A87"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VII</w:t>
            </w:r>
          </w:p>
        </w:tc>
        <w:tc>
          <w:tcPr>
            <w:tcW w:w="4703" w:type="dxa"/>
          </w:tcPr>
          <w:p w14:paraId="20DBD7A1"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Thuốc bảo quản lâm sản thuộc loại hạn chế sử dụng</w:t>
            </w:r>
          </w:p>
        </w:tc>
        <w:tc>
          <w:tcPr>
            <w:tcW w:w="1345" w:type="dxa"/>
          </w:tcPr>
          <w:p w14:paraId="2CEBF542"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kg</w:t>
            </w:r>
          </w:p>
        </w:tc>
        <w:tc>
          <w:tcPr>
            <w:tcW w:w="1718" w:type="dxa"/>
          </w:tcPr>
          <w:p w14:paraId="732CC089"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1.000-3.000</w:t>
            </w:r>
          </w:p>
        </w:tc>
      </w:tr>
      <w:tr w:rsidR="00596DD4" w:rsidRPr="00F85081" w14:paraId="0A4E9595" w14:textId="77777777" w:rsidTr="00F85081">
        <w:tc>
          <w:tcPr>
            <w:tcW w:w="1237" w:type="dxa"/>
          </w:tcPr>
          <w:p w14:paraId="28192F89"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VIII</w:t>
            </w:r>
          </w:p>
        </w:tc>
        <w:tc>
          <w:tcPr>
            <w:tcW w:w="4703" w:type="dxa"/>
          </w:tcPr>
          <w:p w14:paraId="69415237"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b/>
                <w:bCs/>
                <w:sz w:val="20"/>
                <w:szCs w:val="20"/>
              </w:rPr>
              <w:t>Thuốc khử trùng kho thuộc loại hạn chế sử dụng</w:t>
            </w:r>
          </w:p>
        </w:tc>
        <w:tc>
          <w:tcPr>
            <w:tcW w:w="1345" w:type="dxa"/>
          </w:tcPr>
          <w:p w14:paraId="09FBF1B5"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kg</w:t>
            </w:r>
          </w:p>
        </w:tc>
        <w:tc>
          <w:tcPr>
            <w:tcW w:w="1718" w:type="dxa"/>
          </w:tcPr>
          <w:p w14:paraId="21746B8C" w14:textId="77777777" w:rsidR="00596DD4" w:rsidRPr="00F85081" w:rsidRDefault="00596DD4" w:rsidP="00F85081">
            <w:pPr>
              <w:spacing w:after="120"/>
              <w:ind w:firstLine="720"/>
              <w:jc w:val="both"/>
              <w:rPr>
                <w:rFonts w:ascii="Arial" w:hAnsi="Arial" w:cs="Arial"/>
                <w:sz w:val="20"/>
                <w:szCs w:val="20"/>
              </w:rPr>
            </w:pPr>
            <w:r w:rsidRPr="00F85081">
              <w:rPr>
                <w:rFonts w:ascii="Arial" w:hAnsi="Arial" w:cs="Arial"/>
                <w:sz w:val="20"/>
                <w:szCs w:val="20"/>
              </w:rPr>
              <w:t>1.000-3.000</w:t>
            </w:r>
          </w:p>
        </w:tc>
      </w:tr>
    </w:tbl>
    <w:p w14:paraId="03CD1FB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Căn cứ vào Biểu khung thuế quy định tại khoản 1 Điều này, Ủy ban thường vụ Quốc hội quy định mức thuế cụ thể đối với từng loại hàng hóa chịu thuế bảo đảm các nguyên tắc sau:</w:t>
      </w:r>
    </w:p>
    <w:p w14:paraId="6F45835E"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a) Mức thuế đối với hàng hóa chịu thuế phù hợp với chính sách phát triển kinh tế - xã hội của Nhà nước trong từng thời kỳ;</w:t>
      </w:r>
    </w:p>
    <w:p w14:paraId="58CDA495" w14:textId="77777777" w:rsid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b) Mức thuế đối với hàng hóa chịu thuế được xác định theo mức độ gây tác động xấu đến môi trường của hàng hóa.</w:t>
      </w:r>
    </w:p>
    <w:p w14:paraId="642FD6A5" w14:textId="77777777" w:rsidR="00596DD4" w:rsidRPr="00596DD4" w:rsidRDefault="00596DD4" w:rsidP="00596DD4">
      <w:pPr>
        <w:spacing w:after="120"/>
        <w:ind w:firstLine="720"/>
        <w:jc w:val="both"/>
        <w:rPr>
          <w:rFonts w:ascii="Arial" w:hAnsi="Arial" w:cs="Arial"/>
          <w:sz w:val="20"/>
          <w:szCs w:val="20"/>
        </w:rPr>
      </w:pPr>
    </w:p>
    <w:p w14:paraId="1A4A7513" w14:textId="77777777" w:rsidR="00596DD4" w:rsidRPr="00596DD4" w:rsidRDefault="00596DD4" w:rsidP="00596DD4">
      <w:pPr>
        <w:ind w:firstLine="720"/>
        <w:jc w:val="center"/>
        <w:rPr>
          <w:rFonts w:ascii="Arial" w:hAnsi="Arial" w:cs="Arial"/>
          <w:sz w:val="20"/>
          <w:szCs w:val="20"/>
        </w:rPr>
      </w:pPr>
      <w:r w:rsidRPr="00596DD4">
        <w:rPr>
          <w:rFonts w:ascii="Arial" w:hAnsi="Arial" w:cs="Arial"/>
          <w:b/>
          <w:bCs/>
          <w:sz w:val="20"/>
          <w:szCs w:val="20"/>
        </w:rPr>
        <w:t>Chương 3.</w:t>
      </w:r>
    </w:p>
    <w:p w14:paraId="357A1A6B" w14:textId="77777777" w:rsidR="00596DD4" w:rsidRDefault="00596DD4" w:rsidP="00596DD4">
      <w:pPr>
        <w:ind w:firstLine="720"/>
        <w:jc w:val="center"/>
        <w:rPr>
          <w:rFonts w:ascii="Arial" w:hAnsi="Arial" w:cs="Arial"/>
          <w:b/>
          <w:bCs/>
          <w:sz w:val="20"/>
          <w:szCs w:val="20"/>
        </w:rPr>
      </w:pPr>
      <w:r w:rsidRPr="00596DD4">
        <w:rPr>
          <w:rFonts w:ascii="Arial" w:hAnsi="Arial" w:cs="Arial"/>
          <w:b/>
          <w:bCs/>
          <w:sz w:val="20"/>
          <w:szCs w:val="20"/>
        </w:rPr>
        <w:t>KHAI THUẾ, TÍNH THUẾ, NỘP THUẾ VÀ HOÀN THUẾ</w:t>
      </w:r>
    </w:p>
    <w:p w14:paraId="28543D69" w14:textId="77777777" w:rsidR="00596DD4" w:rsidRPr="00596DD4" w:rsidRDefault="00596DD4" w:rsidP="00596DD4">
      <w:pPr>
        <w:ind w:firstLine="720"/>
        <w:jc w:val="center"/>
        <w:rPr>
          <w:rFonts w:ascii="Arial" w:hAnsi="Arial" w:cs="Arial"/>
          <w:sz w:val="20"/>
          <w:szCs w:val="20"/>
        </w:rPr>
      </w:pPr>
    </w:p>
    <w:p w14:paraId="42C4A402"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9. Thời điểm tính thuế</w:t>
      </w:r>
    </w:p>
    <w:p w14:paraId="0CD4C9C8"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Đối với hàng hóa sản xuất bán ra, trao đổi, tặng cho, thời điểm tính thuế là thời điểm chuyển giao quyền sở hữu hoặc quyền sử dụng hàng hóa.</w:t>
      </w:r>
    </w:p>
    <w:p w14:paraId="5A4DA418"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Đối với hàng hóa sản xuất đưa vào tiêu dùng nội bộ, thời điểm tính thuế là thời điểm đưa hàng hóa vào sử dụng.</w:t>
      </w:r>
    </w:p>
    <w:p w14:paraId="6F9D0D86"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3. Đối với hàng hóa nhập khẩu, thời điểm tính thuế là thời điểm đăng ký tờ khai hải quan.</w:t>
      </w:r>
    </w:p>
    <w:p w14:paraId="771CC197"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4. Đối với xăng, dầu sản xuất hoặc nhập khẩu để bán, thời điểm tính thuế là thời điểm đầu mối kinh doanh xăng, dầu bán ra.</w:t>
      </w:r>
    </w:p>
    <w:p w14:paraId="253BBE0F"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10. Khai thuế, tính thuế, nộp thuế</w:t>
      </w:r>
    </w:p>
    <w:p w14:paraId="7FF7173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Việc khai thuế, tính thuế, nộp thuế bảo vệ môi trường đối với hàng hóa sản xuất bán ra, trao đổi, tiêu dùng nội bộ, tặng cho được thực hiện theo tháng và theo quy định của pháp luật về quản lý thuế.</w:t>
      </w:r>
    </w:p>
    <w:p w14:paraId="4541B986"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Việc khai thuế, tính thuế, nộp thuế bảo vệ môi trường đối với hàng hóa nhập khẩu được thực hiện cùng thời điểm với khai thuế và nộp thuế nhập khẩu.</w:t>
      </w:r>
    </w:p>
    <w:p w14:paraId="057713F0"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3. Thuế bảo vệ môi trường chỉ nộp một lần đối với hàng hóa sản xuất hoặc nhập khẩu.</w:t>
      </w:r>
    </w:p>
    <w:p w14:paraId="444491E3"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11. Hoàn thuế</w:t>
      </w:r>
    </w:p>
    <w:p w14:paraId="159D980B"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Người nộp thuế bảo vệ môi trường được hoàn thuế đã nộp trong các trường hợp sau:</w:t>
      </w:r>
    </w:p>
    <w:p w14:paraId="59DEAB05"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Hàng hóa nhập khẩu còn lưu kho, lưu bãi tại cửa khẩu và đang chịu sự giám sát của cơ quan Hải quan được tái xuất khẩu ra nước ngoài;</w:t>
      </w:r>
    </w:p>
    <w:p w14:paraId="4E53D487"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Hàng hóa nhập khẩu để giao, bán cho nước ngoài thông qua đại lý tại Việt Nam; xăng, dầu bán cho phương tiện vận tải của hãng nước ngoài trên tuyến đường qua cảng Việt Nam hoặc phương tiện vận tải của Việt Nam trên tuyến đường vận tải quốc tế theo quy định của pháp luật;</w:t>
      </w:r>
    </w:p>
    <w:p w14:paraId="010D2699"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3. Hàng hóa tạm nhập khẩu để tái xuất khẩu theo phương thức kinh doanh hàng tạm nhập, tái xuất.</w:t>
      </w:r>
    </w:p>
    <w:p w14:paraId="708E701B"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4. Hàng hóa nhập khẩu do người nhập khẩu tái xuất khẩu ra nước ngoài;</w:t>
      </w:r>
    </w:p>
    <w:p w14:paraId="236FA250" w14:textId="77777777" w:rsidR="00596DD4" w:rsidRDefault="00596DD4" w:rsidP="00596DD4">
      <w:pPr>
        <w:spacing w:after="120"/>
        <w:ind w:firstLine="720"/>
        <w:jc w:val="both"/>
        <w:rPr>
          <w:rFonts w:ascii="Arial" w:hAnsi="Arial" w:cs="Arial"/>
          <w:sz w:val="20"/>
          <w:szCs w:val="20"/>
        </w:rPr>
      </w:pPr>
      <w:r w:rsidRPr="00596DD4">
        <w:rPr>
          <w:rFonts w:ascii="Arial" w:hAnsi="Arial" w:cs="Arial"/>
          <w:sz w:val="20"/>
          <w:szCs w:val="20"/>
        </w:rPr>
        <w:lastRenderedPageBreak/>
        <w:t>5. Hàng hóa tạm nhập khẩu để tham gia hội chợ, triển lãm, giới thiệu sản phẩm theo quy định của pháp luật khi tái xuất khẩu ra nước ngoài.</w:t>
      </w:r>
    </w:p>
    <w:p w14:paraId="0CB2A8AA" w14:textId="77777777" w:rsidR="00596DD4" w:rsidRPr="00596DD4" w:rsidRDefault="00596DD4" w:rsidP="00596DD4">
      <w:pPr>
        <w:spacing w:after="120"/>
        <w:ind w:firstLine="720"/>
        <w:jc w:val="both"/>
        <w:rPr>
          <w:rFonts w:ascii="Arial" w:hAnsi="Arial" w:cs="Arial"/>
          <w:sz w:val="20"/>
          <w:szCs w:val="20"/>
        </w:rPr>
      </w:pPr>
    </w:p>
    <w:p w14:paraId="3CFD2DD1" w14:textId="77777777" w:rsidR="00596DD4" w:rsidRPr="00596DD4" w:rsidRDefault="00596DD4" w:rsidP="00596DD4">
      <w:pPr>
        <w:ind w:firstLine="720"/>
        <w:jc w:val="center"/>
        <w:rPr>
          <w:rFonts w:ascii="Arial" w:hAnsi="Arial" w:cs="Arial"/>
          <w:sz w:val="20"/>
          <w:szCs w:val="20"/>
        </w:rPr>
      </w:pPr>
      <w:r w:rsidRPr="00596DD4">
        <w:rPr>
          <w:rFonts w:ascii="Arial" w:hAnsi="Arial" w:cs="Arial"/>
          <w:b/>
          <w:bCs/>
          <w:sz w:val="20"/>
          <w:szCs w:val="20"/>
        </w:rPr>
        <w:t>Chương 4.</w:t>
      </w:r>
    </w:p>
    <w:p w14:paraId="57D37D45" w14:textId="77777777" w:rsidR="00596DD4" w:rsidRDefault="00596DD4" w:rsidP="00596DD4">
      <w:pPr>
        <w:ind w:firstLine="720"/>
        <w:jc w:val="center"/>
        <w:rPr>
          <w:rFonts w:ascii="Arial" w:hAnsi="Arial" w:cs="Arial"/>
          <w:b/>
          <w:bCs/>
          <w:sz w:val="20"/>
          <w:szCs w:val="20"/>
        </w:rPr>
      </w:pPr>
      <w:r w:rsidRPr="00596DD4">
        <w:rPr>
          <w:rFonts w:ascii="Arial" w:hAnsi="Arial" w:cs="Arial"/>
          <w:b/>
          <w:bCs/>
          <w:sz w:val="20"/>
          <w:szCs w:val="20"/>
        </w:rPr>
        <w:t>ĐIỀU KHOẢN THI HÀNH</w:t>
      </w:r>
    </w:p>
    <w:p w14:paraId="6779B1CE" w14:textId="77777777" w:rsidR="00596DD4" w:rsidRPr="00596DD4" w:rsidRDefault="00596DD4" w:rsidP="00596DD4">
      <w:pPr>
        <w:ind w:firstLine="720"/>
        <w:jc w:val="center"/>
        <w:rPr>
          <w:rFonts w:ascii="Arial" w:hAnsi="Arial" w:cs="Arial"/>
          <w:sz w:val="20"/>
          <w:szCs w:val="20"/>
        </w:rPr>
      </w:pPr>
    </w:p>
    <w:p w14:paraId="42A721B3"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12. Hiệu lực thi hành</w:t>
      </w:r>
    </w:p>
    <w:p w14:paraId="20C49F27"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1. Luật này có hiệu lực thi hành từ ngày 01 tháng 01 năm 2012.</w:t>
      </w:r>
    </w:p>
    <w:p w14:paraId="321A6DD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2. Các quy định về thu phí xăng, dầu tại Pháp lệnh về phí và lệ phí số 38/2001/PL-UBTVQH10 hết hiệu lực thi hành từ ngày Luật này có hiệu lực.</w:t>
      </w:r>
    </w:p>
    <w:p w14:paraId="3AF3ABD0"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b/>
          <w:bCs/>
          <w:sz w:val="20"/>
          <w:szCs w:val="20"/>
        </w:rPr>
        <w:t>Điều 13. Quy định chi tiết và hướng dẫn thi hành</w:t>
      </w:r>
    </w:p>
    <w:p w14:paraId="31132FF1"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sz w:val="20"/>
          <w:szCs w:val="20"/>
        </w:rPr>
        <w:t>Chính phủ quy định chi tiết và hướng dẫn thi hành các điều, khoản được giao trong Luật; hướng dẫn những nội dung cần thiết khác của Luật này để đáp ứng yêu cầu quản lý nhà nước.</w:t>
      </w:r>
    </w:p>
    <w:p w14:paraId="4823012C" w14:textId="77777777" w:rsidR="00596DD4" w:rsidRPr="00596DD4" w:rsidRDefault="00596DD4" w:rsidP="00596DD4">
      <w:pPr>
        <w:spacing w:after="120"/>
        <w:ind w:firstLine="720"/>
        <w:jc w:val="both"/>
        <w:rPr>
          <w:rFonts w:ascii="Arial" w:hAnsi="Arial" w:cs="Arial"/>
          <w:sz w:val="20"/>
          <w:szCs w:val="20"/>
        </w:rPr>
      </w:pPr>
      <w:r w:rsidRPr="00596DD4">
        <w:rPr>
          <w:rFonts w:ascii="Arial" w:hAnsi="Arial" w:cs="Arial"/>
          <w:i/>
          <w:iCs/>
          <w:sz w:val="20"/>
          <w:szCs w:val="20"/>
        </w:rPr>
        <w:t>Luật này đã được Quốc hội nước Cộng hòa xã hội chủ nghĩa Việt Nam khóa XII, kỳ họp thứ 8 thông qua ngày 15 tháng 11 năm 2010.</w:t>
      </w:r>
    </w:p>
    <w:p w14:paraId="01F0DFE9" w14:textId="77777777" w:rsidR="00596DD4" w:rsidRPr="00596DD4" w:rsidRDefault="00596DD4" w:rsidP="00596DD4">
      <w:pPr>
        <w:rPr>
          <w:rFonts w:ascii="Arial" w:hAnsi="Arial" w:cs="Arial"/>
          <w:sz w:val="20"/>
          <w:szCs w:val="20"/>
        </w:rPr>
      </w:pPr>
      <w:r w:rsidRPr="00596DD4">
        <w:rPr>
          <w:rFonts w:ascii="Arial" w:hAnsi="Arial" w:cs="Arial"/>
          <w:sz w:val="20"/>
          <w:szCs w:val="20"/>
        </w:rPr>
        <w:t> </w:t>
      </w:r>
    </w:p>
    <w:tbl>
      <w:tblPr>
        <w:tblW w:w="0" w:type="auto"/>
        <w:tblInd w:w="108" w:type="dxa"/>
        <w:tblCellMar>
          <w:left w:w="0" w:type="dxa"/>
          <w:right w:w="0" w:type="dxa"/>
        </w:tblCellMar>
        <w:tblLook w:val="0000" w:firstRow="0" w:lastRow="0" w:firstColumn="0" w:lastColumn="0" w:noHBand="0" w:noVBand="0"/>
      </w:tblPr>
      <w:tblGrid>
        <w:gridCol w:w="4428"/>
        <w:gridCol w:w="4572"/>
      </w:tblGrid>
      <w:tr w:rsidR="00596DD4" w:rsidRPr="00596DD4" w14:paraId="4D56A2F4" w14:textId="77777777">
        <w:tc>
          <w:tcPr>
            <w:tcW w:w="4428" w:type="dxa"/>
            <w:tcMar>
              <w:top w:w="0" w:type="dxa"/>
              <w:left w:w="108" w:type="dxa"/>
              <w:bottom w:w="0" w:type="dxa"/>
              <w:right w:w="108" w:type="dxa"/>
            </w:tcMar>
          </w:tcPr>
          <w:p w14:paraId="10CAA8D7" w14:textId="77777777" w:rsidR="00596DD4" w:rsidRPr="00596DD4" w:rsidRDefault="00596DD4" w:rsidP="00596DD4">
            <w:pPr>
              <w:rPr>
                <w:rFonts w:ascii="Arial" w:hAnsi="Arial" w:cs="Arial"/>
                <w:sz w:val="20"/>
                <w:szCs w:val="20"/>
              </w:rPr>
            </w:pPr>
            <w:r w:rsidRPr="00596DD4">
              <w:rPr>
                <w:rFonts w:ascii="Arial" w:hAnsi="Arial" w:cs="Arial"/>
                <w:sz w:val="20"/>
                <w:szCs w:val="20"/>
              </w:rPr>
              <w:t> </w:t>
            </w:r>
          </w:p>
        </w:tc>
        <w:tc>
          <w:tcPr>
            <w:tcW w:w="4572" w:type="dxa"/>
            <w:tcMar>
              <w:top w:w="0" w:type="dxa"/>
              <w:left w:w="108" w:type="dxa"/>
              <w:bottom w:w="0" w:type="dxa"/>
              <w:right w:w="108" w:type="dxa"/>
            </w:tcMar>
          </w:tcPr>
          <w:p w14:paraId="49BC069D" w14:textId="77777777" w:rsidR="00596DD4" w:rsidRPr="00596DD4" w:rsidRDefault="00596DD4" w:rsidP="00596DD4">
            <w:pPr>
              <w:jc w:val="center"/>
              <w:rPr>
                <w:rFonts w:ascii="Arial" w:hAnsi="Arial" w:cs="Arial"/>
                <w:sz w:val="20"/>
                <w:szCs w:val="20"/>
              </w:rPr>
            </w:pPr>
            <w:r w:rsidRPr="00596DD4">
              <w:rPr>
                <w:rFonts w:ascii="Arial" w:hAnsi="Arial" w:cs="Arial"/>
                <w:b/>
                <w:bCs/>
                <w:sz w:val="20"/>
                <w:szCs w:val="20"/>
              </w:rPr>
              <w:t xml:space="preserve">CHỦ TỊCH QUỐC HỘI </w:t>
            </w:r>
            <w:r w:rsidRPr="00596DD4">
              <w:rPr>
                <w:rFonts w:ascii="Arial" w:hAnsi="Arial" w:cs="Arial"/>
                <w:b/>
                <w:bCs/>
                <w:sz w:val="20"/>
                <w:szCs w:val="20"/>
              </w:rPr>
              <w:br/>
            </w:r>
            <w:r w:rsidRPr="00596DD4">
              <w:rPr>
                <w:rFonts w:ascii="Arial" w:hAnsi="Arial" w:cs="Arial"/>
                <w:b/>
                <w:bCs/>
                <w:sz w:val="20"/>
                <w:szCs w:val="20"/>
              </w:rPr>
              <w:br/>
            </w:r>
            <w:r w:rsidRPr="00596DD4">
              <w:rPr>
                <w:rFonts w:ascii="Arial" w:hAnsi="Arial" w:cs="Arial"/>
                <w:b/>
                <w:bCs/>
                <w:sz w:val="20"/>
                <w:szCs w:val="20"/>
              </w:rPr>
              <w:br/>
            </w:r>
            <w:r w:rsidRPr="00596DD4">
              <w:rPr>
                <w:rFonts w:ascii="Arial" w:hAnsi="Arial" w:cs="Arial"/>
                <w:b/>
                <w:bCs/>
                <w:sz w:val="20"/>
                <w:szCs w:val="20"/>
              </w:rPr>
              <w:br/>
            </w:r>
            <w:r w:rsidRPr="00596DD4">
              <w:rPr>
                <w:rFonts w:ascii="Arial" w:hAnsi="Arial" w:cs="Arial"/>
                <w:b/>
                <w:bCs/>
                <w:sz w:val="20"/>
                <w:szCs w:val="20"/>
              </w:rPr>
              <w:br/>
              <w:t>Nguyễn Phú Trọng</w:t>
            </w:r>
          </w:p>
        </w:tc>
      </w:tr>
    </w:tbl>
    <w:p w14:paraId="0FB65664" w14:textId="77777777" w:rsidR="00596DD4" w:rsidRPr="00596DD4" w:rsidRDefault="00596DD4" w:rsidP="00596DD4">
      <w:pPr>
        <w:rPr>
          <w:rFonts w:ascii="Arial" w:hAnsi="Arial" w:cs="Arial"/>
          <w:sz w:val="20"/>
          <w:szCs w:val="20"/>
        </w:rPr>
      </w:pPr>
      <w:r w:rsidRPr="00596DD4">
        <w:rPr>
          <w:rFonts w:ascii="Arial" w:hAnsi="Arial" w:cs="Arial"/>
          <w:sz w:val="20"/>
          <w:szCs w:val="20"/>
        </w:rPr>
        <w:t> </w:t>
      </w:r>
    </w:p>
    <w:p w14:paraId="611CF572" w14:textId="77777777" w:rsidR="00DF45CA" w:rsidRPr="00596DD4" w:rsidRDefault="00DF45CA" w:rsidP="00596DD4">
      <w:pPr>
        <w:rPr>
          <w:rFonts w:ascii="Arial" w:hAnsi="Arial" w:cs="Arial"/>
          <w:sz w:val="20"/>
          <w:szCs w:val="20"/>
        </w:rPr>
      </w:pPr>
    </w:p>
    <w:sectPr w:rsidR="00DF45CA" w:rsidRPr="00596DD4" w:rsidSect="00596DD4">
      <w:pgSz w:w="12240" w:h="15840" w:code="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6DD4"/>
    <w:rsid w:val="00174A8E"/>
    <w:rsid w:val="00225202"/>
    <w:rsid w:val="0042524E"/>
    <w:rsid w:val="004A3F42"/>
    <w:rsid w:val="00596DD4"/>
    <w:rsid w:val="006C5C6E"/>
    <w:rsid w:val="00A5477E"/>
    <w:rsid w:val="00BE4BD3"/>
    <w:rsid w:val="00D46D26"/>
    <w:rsid w:val="00DB132B"/>
    <w:rsid w:val="00DD4015"/>
    <w:rsid w:val="00DF45CA"/>
    <w:rsid w:val="00DF71F8"/>
    <w:rsid w:val="00F85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762584"/>
  <w15:chartTrackingRefBased/>
  <w15:docId w15:val="{31CB28D9-949C-4D4A-AD82-44CE856A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6DD4"/>
    <w:rPr>
      <w:sz w:val="24"/>
      <w:szCs w:val="24"/>
      <w:lang w:eastAsia="en-US"/>
    </w:rPr>
  </w:style>
  <w:style w:type="paragraph" w:styleId="Heading1">
    <w:name w:val="heading 1"/>
    <w:basedOn w:val="Normal"/>
    <w:next w:val="Normal"/>
    <w:autoRedefine/>
    <w:qFormat/>
    <w:rsid w:val="004A3F4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240" w:after="60"/>
      <w:jc w:val="center"/>
      <w:outlineLvl w:val="0"/>
    </w:pPr>
    <w:rPr>
      <w:b/>
      <w:i/>
      <w:snapToGrid w:val="0"/>
      <w:color w:val="000080"/>
      <w:sz w:val="28"/>
      <w:szCs w:val="20"/>
      <w:lang w:val="fr-FR" w:eastAsia="fr-FR"/>
    </w:rPr>
  </w:style>
  <w:style w:type="paragraph" w:styleId="Heading2">
    <w:name w:val="heading 2"/>
    <w:basedOn w:val="Normal"/>
    <w:next w:val="Normal"/>
    <w:autoRedefine/>
    <w:qFormat/>
    <w:rsid w:val="00DB132B"/>
    <w:pPr>
      <w:keepNex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840" w:after="60"/>
      <w:jc w:val="center"/>
      <w:outlineLvl w:val="1"/>
    </w:pPr>
    <w:rPr>
      <w:snapToGrid w:val="0"/>
      <w:color w:val="008080"/>
      <w:sz w:val="28"/>
      <w:szCs w:val="28"/>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rticle">
    <w:name w:val="Article"/>
    <w:basedOn w:val="Normal"/>
    <w:rsid w:val="00DF45CA"/>
    <w:pPr>
      <w:keepNext/>
      <w:jc w:val="both"/>
    </w:pPr>
    <w:rPr>
      <w:color w:val="FF0000"/>
      <w:lang w:val="fr-FR" w:eastAsia="fr-FR"/>
    </w:rPr>
  </w:style>
  <w:style w:type="paragraph" w:customStyle="1" w:styleId="Style1">
    <w:name w:val="Style1"/>
    <w:basedOn w:val="Heading1"/>
    <w:autoRedefine/>
    <w:rsid w:val="00A5477E"/>
  </w:style>
  <w:style w:type="paragraph" w:customStyle="1" w:styleId="Style2">
    <w:name w:val="Style2"/>
    <w:basedOn w:val="Style1"/>
    <w:next w:val="Style1"/>
    <w:autoRedefine/>
    <w:rsid w:val="00A5477E"/>
  </w:style>
  <w:style w:type="table" w:styleId="TableGrid">
    <w:name w:val="Table Grid"/>
    <w:basedOn w:val="TableNormal"/>
    <w:rsid w:val="0059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QUỐC HỘI </vt:lpstr>
    </vt:vector>
  </TitlesOfParts>
  <Company>incom</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cp:lastModifiedBy>HoangNam</cp:lastModifiedBy>
  <cp:revision>2</cp:revision>
  <dcterms:created xsi:type="dcterms:W3CDTF">2025-10-16T19:20:00Z</dcterms:created>
  <dcterms:modified xsi:type="dcterms:W3CDTF">2025-10-16T19:20:00Z</dcterms:modified>
</cp:coreProperties>
</file>