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43"/>
        <w:gridCol w:w="5183"/>
      </w:tblGrid>
      <w:tr w:rsidR="00552121" w:rsidRPr="00552121" w14:paraId="1530684E" w14:textId="77777777" w:rsidTr="00284698">
        <w:tc>
          <w:tcPr>
            <w:tcW w:w="2129" w:type="pct"/>
            <w:tcBorders>
              <w:top w:val="nil"/>
              <w:left w:val="nil"/>
              <w:bottom w:val="nil"/>
              <w:right w:val="nil"/>
              <w:tl2br w:val="nil"/>
              <w:tr2bl w:val="nil"/>
            </w:tcBorders>
            <w:shd w:val="clear" w:color="auto" w:fill="auto"/>
            <w:tcMar>
              <w:top w:w="0" w:type="dxa"/>
              <w:left w:w="108" w:type="dxa"/>
              <w:bottom w:w="0" w:type="dxa"/>
              <w:right w:w="108" w:type="dxa"/>
            </w:tcMar>
          </w:tcPr>
          <w:p w14:paraId="72EF3C31" w14:textId="34750211" w:rsidR="00284698" w:rsidRPr="00284698" w:rsidRDefault="00284698" w:rsidP="00284698">
            <w:pPr>
              <w:adjustRightInd w:val="0"/>
              <w:snapToGrid w:val="0"/>
              <w:spacing w:after="0" w:line="240" w:lineRule="auto"/>
              <w:jc w:val="center"/>
              <w:rPr>
                <w:rFonts w:ascii="Arial" w:hAnsi="Arial" w:cs="Arial"/>
                <w:color w:val="000000" w:themeColor="text1"/>
                <w:sz w:val="20"/>
                <w:szCs w:val="20"/>
              </w:rPr>
            </w:pPr>
            <w:r w:rsidRPr="00284698">
              <w:rPr>
                <w:rFonts w:ascii="Arial" w:hAnsi="Arial" w:cs="Arial"/>
                <w:b/>
                <w:bCs/>
                <w:color w:val="000000" w:themeColor="text1"/>
                <w:sz w:val="20"/>
                <w:szCs w:val="20"/>
                <w:lang w:val="en-US"/>
              </w:rPr>
              <w:t>QUỐC HỘI</w:t>
            </w:r>
            <w:r w:rsidRPr="00284698">
              <w:rPr>
                <w:rFonts w:ascii="Arial" w:hAnsi="Arial" w:cs="Arial"/>
                <w:b/>
                <w:bCs/>
                <w:color w:val="000000" w:themeColor="text1"/>
                <w:sz w:val="20"/>
                <w:szCs w:val="20"/>
                <w:lang w:val="en-US"/>
              </w:rPr>
              <w:br/>
            </w:r>
            <w:r w:rsidRPr="00552121">
              <w:rPr>
                <w:rFonts w:ascii="Arial" w:hAnsi="Arial" w:cs="Arial"/>
                <w:color w:val="000000" w:themeColor="text1"/>
                <w:sz w:val="20"/>
                <w:szCs w:val="20"/>
                <w:vertAlign w:val="superscript"/>
                <w:lang w:val="en-US"/>
              </w:rPr>
              <w:t>_______</w:t>
            </w:r>
            <w:r w:rsidRPr="00552121">
              <w:rPr>
                <w:rFonts w:ascii="Arial" w:hAnsi="Arial" w:cs="Arial"/>
                <w:color w:val="000000" w:themeColor="text1"/>
                <w:sz w:val="20"/>
                <w:szCs w:val="20"/>
                <w:vertAlign w:val="superscript"/>
                <w:lang w:val="en-US"/>
              </w:rPr>
              <w:br/>
            </w:r>
            <w:r w:rsidRPr="00284698">
              <w:rPr>
                <w:rFonts w:ascii="Arial" w:hAnsi="Arial" w:cs="Arial"/>
                <w:color w:val="000000" w:themeColor="text1"/>
                <w:sz w:val="20"/>
                <w:szCs w:val="20"/>
                <w:lang w:val="en-US"/>
              </w:rPr>
              <w:t>Luật số: 96/2025/QH15</w:t>
            </w:r>
          </w:p>
        </w:tc>
        <w:tc>
          <w:tcPr>
            <w:tcW w:w="2871" w:type="pct"/>
            <w:tcBorders>
              <w:top w:val="nil"/>
              <w:left w:val="nil"/>
              <w:bottom w:val="nil"/>
              <w:right w:val="nil"/>
              <w:tl2br w:val="nil"/>
              <w:tr2bl w:val="nil"/>
            </w:tcBorders>
            <w:shd w:val="clear" w:color="auto" w:fill="auto"/>
            <w:tcMar>
              <w:top w:w="0" w:type="dxa"/>
              <w:left w:w="108" w:type="dxa"/>
              <w:bottom w:w="0" w:type="dxa"/>
              <w:right w:w="108" w:type="dxa"/>
            </w:tcMar>
          </w:tcPr>
          <w:p w14:paraId="5EE513AB" w14:textId="2E35B65C" w:rsidR="00284698" w:rsidRPr="00284698" w:rsidRDefault="00284698" w:rsidP="00284698">
            <w:pPr>
              <w:adjustRightInd w:val="0"/>
              <w:snapToGrid w:val="0"/>
              <w:spacing w:after="0" w:line="240" w:lineRule="auto"/>
              <w:jc w:val="center"/>
              <w:rPr>
                <w:rFonts w:ascii="Arial" w:hAnsi="Arial" w:cs="Arial"/>
                <w:color w:val="000000" w:themeColor="text1"/>
                <w:sz w:val="20"/>
                <w:szCs w:val="20"/>
              </w:rPr>
            </w:pPr>
            <w:r w:rsidRPr="00284698">
              <w:rPr>
                <w:rFonts w:ascii="Arial" w:hAnsi="Arial" w:cs="Arial"/>
                <w:b/>
                <w:bCs/>
                <w:color w:val="000000" w:themeColor="text1"/>
                <w:sz w:val="20"/>
                <w:szCs w:val="20"/>
              </w:rPr>
              <w:t>CỘNG HÒA XÃ HỘI CHỦ NGHĨA VIỆT NAM</w:t>
            </w:r>
            <w:r w:rsidRPr="00284698">
              <w:rPr>
                <w:rFonts w:ascii="Arial" w:hAnsi="Arial" w:cs="Arial"/>
                <w:b/>
                <w:bCs/>
                <w:color w:val="000000" w:themeColor="text1"/>
                <w:sz w:val="20"/>
                <w:szCs w:val="20"/>
              </w:rPr>
              <w:br/>
              <w:t>Độc lập - Tự do - Hạnh phúc</w:t>
            </w:r>
            <w:r w:rsidRPr="00552121">
              <w:rPr>
                <w:rFonts w:ascii="Arial" w:hAnsi="Arial" w:cs="Arial"/>
                <w:b/>
                <w:bCs/>
                <w:color w:val="000000" w:themeColor="text1"/>
                <w:sz w:val="20"/>
                <w:szCs w:val="20"/>
              </w:rPr>
              <w:br/>
            </w:r>
            <w:r w:rsidRPr="00552121">
              <w:rPr>
                <w:rFonts w:ascii="Arial" w:hAnsi="Arial" w:cs="Arial"/>
                <w:color w:val="000000" w:themeColor="text1"/>
                <w:sz w:val="20"/>
                <w:szCs w:val="20"/>
                <w:vertAlign w:val="superscript"/>
              </w:rPr>
              <w:t>_______________________</w:t>
            </w:r>
          </w:p>
        </w:tc>
      </w:tr>
    </w:tbl>
    <w:p w14:paraId="7D1E425D" w14:textId="77777777" w:rsidR="00284698" w:rsidRPr="00284698" w:rsidRDefault="00284698" w:rsidP="00284698">
      <w:pPr>
        <w:adjustRightInd w:val="0"/>
        <w:snapToGrid w:val="0"/>
        <w:spacing w:after="0" w:line="240" w:lineRule="auto"/>
        <w:jc w:val="center"/>
        <w:rPr>
          <w:rFonts w:ascii="Arial" w:hAnsi="Arial" w:cs="Arial"/>
          <w:b/>
          <w:color w:val="000000" w:themeColor="text1"/>
          <w:sz w:val="20"/>
          <w:szCs w:val="20"/>
        </w:rPr>
      </w:pPr>
    </w:p>
    <w:p w14:paraId="0CE4D550" w14:textId="77777777" w:rsidR="00284698" w:rsidRPr="00284698" w:rsidRDefault="00284698" w:rsidP="00284698">
      <w:pPr>
        <w:adjustRightInd w:val="0"/>
        <w:snapToGrid w:val="0"/>
        <w:spacing w:after="0" w:line="240" w:lineRule="auto"/>
        <w:jc w:val="center"/>
        <w:rPr>
          <w:rFonts w:ascii="Arial" w:hAnsi="Arial" w:cs="Arial"/>
          <w:b/>
          <w:color w:val="000000" w:themeColor="text1"/>
          <w:sz w:val="20"/>
          <w:szCs w:val="20"/>
        </w:rPr>
      </w:pPr>
    </w:p>
    <w:p w14:paraId="41D8045A" w14:textId="0D4AAC20" w:rsidR="00284698" w:rsidRPr="00284698" w:rsidRDefault="00284698" w:rsidP="00284698">
      <w:pPr>
        <w:adjustRightInd w:val="0"/>
        <w:snapToGrid w:val="0"/>
        <w:spacing w:after="0" w:line="240" w:lineRule="auto"/>
        <w:jc w:val="center"/>
        <w:rPr>
          <w:rFonts w:ascii="Arial" w:hAnsi="Arial" w:cs="Arial"/>
          <w:b/>
          <w:color w:val="000000" w:themeColor="text1"/>
          <w:sz w:val="20"/>
          <w:szCs w:val="20"/>
        </w:rPr>
      </w:pPr>
      <w:bookmarkStart w:id="0" w:name="loai_1_name"/>
      <w:r w:rsidRPr="00284698">
        <w:rPr>
          <w:rFonts w:ascii="Arial" w:hAnsi="Arial" w:cs="Arial"/>
          <w:b/>
          <w:color w:val="000000" w:themeColor="text1"/>
          <w:sz w:val="20"/>
          <w:szCs w:val="20"/>
        </w:rPr>
        <w:t>LUẬT</w:t>
      </w:r>
    </w:p>
    <w:p w14:paraId="15603F9D" w14:textId="3DC65330" w:rsidR="00284698" w:rsidRPr="00552121" w:rsidRDefault="00284698" w:rsidP="00284698">
      <w:pPr>
        <w:adjustRightInd w:val="0"/>
        <w:snapToGrid w:val="0"/>
        <w:spacing w:after="0" w:line="240" w:lineRule="auto"/>
        <w:jc w:val="center"/>
        <w:rPr>
          <w:rFonts w:ascii="Arial" w:hAnsi="Arial" w:cs="Arial"/>
          <w:b/>
          <w:color w:val="000000" w:themeColor="text1"/>
          <w:sz w:val="20"/>
          <w:szCs w:val="20"/>
          <w:lang w:val="en-GB"/>
        </w:rPr>
      </w:pPr>
      <w:r w:rsidRPr="00284698">
        <w:rPr>
          <w:rFonts w:ascii="Arial" w:hAnsi="Arial" w:cs="Arial"/>
          <w:b/>
          <w:color w:val="000000" w:themeColor="text1"/>
          <w:sz w:val="20"/>
          <w:szCs w:val="20"/>
        </w:rPr>
        <w:t>SỬA ĐỔI, BỔ SUNG MỘT SỐ ĐIỀU CỦA</w:t>
      </w:r>
      <w:r w:rsidRPr="00552121">
        <w:rPr>
          <w:rFonts w:ascii="Arial" w:hAnsi="Arial" w:cs="Arial"/>
          <w:b/>
          <w:color w:val="000000" w:themeColor="text1"/>
          <w:sz w:val="20"/>
          <w:szCs w:val="20"/>
        </w:rPr>
        <w:br/>
      </w:r>
      <w:r w:rsidRPr="00284698">
        <w:rPr>
          <w:rFonts w:ascii="Arial" w:hAnsi="Arial" w:cs="Arial"/>
          <w:b/>
          <w:color w:val="000000" w:themeColor="text1"/>
          <w:sz w:val="20"/>
          <w:szCs w:val="20"/>
        </w:rPr>
        <w:t xml:space="preserve">LUẬT </w:t>
      </w:r>
      <w:bookmarkEnd w:id="0"/>
      <w:r w:rsidRPr="00284698">
        <w:rPr>
          <w:rFonts w:ascii="Arial" w:hAnsi="Arial" w:cs="Arial"/>
          <w:b/>
          <w:color w:val="000000" w:themeColor="text1"/>
          <w:sz w:val="20"/>
          <w:szCs w:val="20"/>
        </w:rPr>
        <w:t>CÁC TỔ CHỨC TÍN DỤNG</w:t>
      </w:r>
    </w:p>
    <w:p w14:paraId="7D642DC4" w14:textId="77777777" w:rsidR="00284698" w:rsidRPr="00284698" w:rsidRDefault="00284698" w:rsidP="00284698">
      <w:pPr>
        <w:adjustRightInd w:val="0"/>
        <w:snapToGrid w:val="0"/>
        <w:spacing w:after="0" w:line="240" w:lineRule="auto"/>
        <w:rPr>
          <w:rFonts w:ascii="Arial" w:hAnsi="Arial" w:cs="Arial"/>
          <w:b/>
          <w:color w:val="000000" w:themeColor="text1"/>
          <w:sz w:val="20"/>
          <w:szCs w:val="20"/>
          <w:lang w:val="en-GB"/>
        </w:rPr>
      </w:pPr>
    </w:p>
    <w:p w14:paraId="2875156C" w14:textId="77777777" w:rsidR="00284698" w:rsidRPr="00284698" w:rsidRDefault="00284698" w:rsidP="00284698">
      <w:pPr>
        <w:adjustRightInd w:val="0"/>
        <w:snapToGrid w:val="0"/>
        <w:spacing w:after="120" w:line="240" w:lineRule="auto"/>
        <w:ind w:firstLine="720"/>
        <w:jc w:val="both"/>
        <w:rPr>
          <w:rFonts w:ascii="Arial" w:hAnsi="Arial" w:cs="Arial"/>
          <w:i/>
          <w:color w:val="000000" w:themeColor="text1"/>
          <w:sz w:val="20"/>
          <w:szCs w:val="20"/>
        </w:rPr>
      </w:pPr>
      <w:r w:rsidRPr="00284698">
        <w:rPr>
          <w:rFonts w:ascii="Arial" w:hAnsi="Arial" w:cs="Arial"/>
          <w:i/>
          <w:iCs/>
          <w:color w:val="000000" w:themeColor="text1"/>
          <w:sz w:val="20"/>
          <w:szCs w:val="20"/>
        </w:rPr>
        <w:t xml:space="preserve">Căn cứ </w:t>
      </w:r>
      <w:bookmarkStart w:id="1" w:name="tvpllink_khhhnejlqt"/>
      <w:r w:rsidRPr="00284698">
        <w:rPr>
          <w:rFonts w:ascii="Arial" w:hAnsi="Arial" w:cs="Arial"/>
          <w:i/>
          <w:iCs/>
          <w:color w:val="000000" w:themeColor="text1"/>
          <w:sz w:val="20"/>
          <w:szCs w:val="20"/>
        </w:rPr>
        <w:t>Hiến pháp nước Cộng hòa xã hội chủ nghĩa Việt Nam</w:t>
      </w:r>
      <w:bookmarkEnd w:id="1"/>
      <w:r w:rsidRPr="00284698">
        <w:rPr>
          <w:rFonts w:ascii="Arial" w:hAnsi="Arial" w:cs="Arial"/>
          <w:i/>
          <w:iCs/>
          <w:color w:val="000000" w:themeColor="text1"/>
          <w:sz w:val="20"/>
          <w:szCs w:val="20"/>
        </w:rPr>
        <w:t xml:space="preserve"> đã được sửa đổi, bổ sung một số điều theo Nghị quyết số 203/2025/QH15;</w:t>
      </w:r>
    </w:p>
    <w:p w14:paraId="2EC38A3B" w14:textId="77777777" w:rsidR="00284698" w:rsidRPr="00284698" w:rsidRDefault="00284698" w:rsidP="0069426E">
      <w:pPr>
        <w:adjustRightInd w:val="0"/>
        <w:snapToGrid w:val="0"/>
        <w:spacing w:after="0" w:line="240" w:lineRule="auto"/>
        <w:ind w:firstLine="720"/>
        <w:jc w:val="both"/>
        <w:rPr>
          <w:rFonts w:ascii="Arial" w:hAnsi="Arial" w:cs="Arial"/>
          <w:i/>
          <w:iCs/>
          <w:color w:val="000000" w:themeColor="text1"/>
          <w:sz w:val="20"/>
          <w:szCs w:val="20"/>
        </w:rPr>
      </w:pPr>
      <w:r w:rsidRPr="00284698">
        <w:rPr>
          <w:rFonts w:ascii="Arial" w:hAnsi="Arial" w:cs="Arial"/>
          <w:i/>
          <w:iCs/>
          <w:color w:val="000000" w:themeColor="text1"/>
          <w:sz w:val="20"/>
          <w:szCs w:val="20"/>
        </w:rPr>
        <w:t>Quốc hội ban hành Luật sửa đổi, bổ sung một số điều của Luật Các tổ chức tín dụng số 32/2024/QH15 đã được sửa đổi, bổ sung một số điều theo Luật số 43/2024/QH15.</w:t>
      </w:r>
    </w:p>
    <w:p w14:paraId="1E9AC38A" w14:textId="77777777" w:rsidR="00284698" w:rsidRPr="00284698" w:rsidRDefault="00284698" w:rsidP="0069426E">
      <w:pPr>
        <w:adjustRightInd w:val="0"/>
        <w:snapToGrid w:val="0"/>
        <w:spacing w:after="0" w:line="240" w:lineRule="auto"/>
        <w:ind w:firstLine="720"/>
        <w:jc w:val="both"/>
        <w:rPr>
          <w:rFonts w:ascii="Arial" w:hAnsi="Arial" w:cs="Arial"/>
          <w:b/>
          <w:bCs/>
          <w:color w:val="000000" w:themeColor="text1"/>
          <w:sz w:val="20"/>
          <w:szCs w:val="20"/>
        </w:rPr>
      </w:pPr>
    </w:p>
    <w:p w14:paraId="324C5143" w14:textId="77777777" w:rsidR="00284698" w:rsidRPr="00284698" w:rsidRDefault="00284698" w:rsidP="00284698">
      <w:pPr>
        <w:adjustRightInd w:val="0"/>
        <w:snapToGrid w:val="0"/>
        <w:spacing w:after="120" w:line="240" w:lineRule="auto"/>
        <w:ind w:firstLine="720"/>
        <w:jc w:val="both"/>
        <w:rPr>
          <w:rFonts w:ascii="Arial" w:hAnsi="Arial" w:cs="Arial"/>
          <w:b/>
          <w:color w:val="000000" w:themeColor="text1"/>
          <w:sz w:val="20"/>
          <w:szCs w:val="20"/>
        </w:rPr>
      </w:pPr>
      <w:r w:rsidRPr="00284698">
        <w:rPr>
          <w:rFonts w:ascii="Arial" w:hAnsi="Arial" w:cs="Arial"/>
          <w:b/>
          <w:bCs/>
          <w:color w:val="000000" w:themeColor="text1"/>
          <w:sz w:val="20"/>
          <w:szCs w:val="20"/>
        </w:rPr>
        <w:t xml:space="preserve">Điều 1. </w:t>
      </w:r>
      <w:r w:rsidRPr="00284698">
        <w:rPr>
          <w:rFonts w:ascii="Arial" w:hAnsi="Arial" w:cs="Arial"/>
          <w:b/>
          <w:color w:val="000000" w:themeColor="text1"/>
          <w:sz w:val="20"/>
          <w:szCs w:val="20"/>
        </w:rPr>
        <w:t xml:space="preserve">Sửa đổi, bổ sung một số điều của Luật Các tổ chức tín dụng </w:t>
      </w:r>
    </w:p>
    <w:p w14:paraId="34D63FCC" w14:textId="30E1700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 xml:space="preserve">1. </w:t>
      </w:r>
      <w:bookmarkStart w:id="2" w:name="_Hlk195134277"/>
      <w:r w:rsidRPr="00284698">
        <w:rPr>
          <w:rFonts w:ascii="Arial" w:hAnsi="Arial" w:cs="Arial"/>
          <w:bCs/>
          <w:color w:val="000000" w:themeColor="text1"/>
          <w:sz w:val="20"/>
          <w:szCs w:val="20"/>
        </w:rPr>
        <w:t xml:space="preserve">Sửa đổi, bổ sung khoản 1 Điều 193 </w:t>
      </w:r>
      <w:bookmarkEnd w:id="2"/>
      <w:r w:rsidRPr="00284698">
        <w:rPr>
          <w:rFonts w:ascii="Arial" w:hAnsi="Arial" w:cs="Arial"/>
          <w:bCs/>
          <w:color w:val="000000" w:themeColor="text1"/>
          <w:sz w:val="20"/>
          <w:szCs w:val="20"/>
        </w:rPr>
        <w:t xml:space="preserve">như sau:        </w:t>
      </w:r>
    </w:p>
    <w:p w14:paraId="1A5A4164" w14:textId="539378B6" w:rsidR="00284698" w:rsidRPr="00284698" w:rsidRDefault="00284698" w:rsidP="00284698">
      <w:pPr>
        <w:adjustRightInd w:val="0"/>
        <w:snapToGrid w:val="0"/>
        <w:spacing w:after="120" w:line="240" w:lineRule="auto"/>
        <w:ind w:firstLine="720"/>
        <w:jc w:val="both"/>
        <w:rPr>
          <w:rFonts w:ascii="Arial" w:hAnsi="Arial" w:cs="Arial"/>
          <w:b/>
          <w:bCs/>
          <w:color w:val="000000" w:themeColor="text1"/>
          <w:sz w:val="20"/>
          <w:szCs w:val="20"/>
        </w:rPr>
      </w:pPr>
      <w:r w:rsidRPr="00284698">
        <w:rPr>
          <w:rFonts w:ascii="Arial" w:hAnsi="Arial" w:cs="Arial"/>
          <w:bCs/>
          <w:color w:val="000000" w:themeColor="text1"/>
          <w:sz w:val="20"/>
          <w:szCs w:val="20"/>
        </w:rPr>
        <w:t>“1. Ngân hàng Nhà nước quyết định cho vay đặc biệt có tài sản bảo đảm, không có tài sản bảo đảm đối với tổ chức tín dụng</w:t>
      </w:r>
      <w:r w:rsidRPr="00284698">
        <w:rPr>
          <w:rFonts w:ascii="Arial" w:hAnsi="Arial" w:cs="Arial"/>
          <w:color w:val="000000" w:themeColor="text1"/>
          <w:sz w:val="20"/>
          <w:szCs w:val="20"/>
        </w:rPr>
        <w:t xml:space="preserve"> trong trường hợp quy định tại khoản 1 Điều 192 của Luật này</w:t>
      </w:r>
      <w:r w:rsidRPr="00284698">
        <w:rPr>
          <w:rFonts w:ascii="Arial" w:hAnsi="Arial" w:cs="Arial"/>
          <w:bCs/>
          <w:color w:val="000000" w:themeColor="text1"/>
          <w:sz w:val="20"/>
          <w:szCs w:val="20"/>
        </w:rPr>
        <w:t>. Tài sản bảo đảm của khoản vay đặc biệt từ Ngân hàng Nhà nước theo quy định của Thống đốc Ngân hàng Nhà nước. Lãi suất cho vay đặc biệt của Ngân hàng Nhà nước là 0%/năm.”.</w:t>
      </w:r>
    </w:p>
    <w:p w14:paraId="138B495C" w14:textId="5B8AB27C"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color w:val="000000" w:themeColor="text1"/>
          <w:sz w:val="20"/>
          <w:szCs w:val="20"/>
        </w:rPr>
        <w:t>2.</w:t>
      </w:r>
      <w:r w:rsidRPr="00284698">
        <w:rPr>
          <w:rFonts w:ascii="Arial" w:hAnsi="Arial" w:cs="Arial"/>
          <w:b/>
          <w:color w:val="000000" w:themeColor="text1"/>
          <w:sz w:val="20"/>
          <w:szCs w:val="20"/>
        </w:rPr>
        <w:t xml:space="preserve"> </w:t>
      </w:r>
      <w:r w:rsidRPr="00284698">
        <w:rPr>
          <w:rFonts w:ascii="Arial" w:hAnsi="Arial" w:cs="Arial"/>
          <w:bCs/>
          <w:color w:val="000000" w:themeColor="text1"/>
          <w:sz w:val="20"/>
          <w:szCs w:val="20"/>
        </w:rPr>
        <w:t>Bổ sung các điều 198a, 198b và 198c vào sau Điều 198 như sau:</w:t>
      </w:r>
    </w:p>
    <w:p w14:paraId="618A1274" w14:textId="72EE2D1D" w:rsidR="00284698" w:rsidRPr="00284698" w:rsidRDefault="00284698" w:rsidP="00284698">
      <w:pPr>
        <w:adjustRightInd w:val="0"/>
        <w:snapToGrid w:val="0"/>
        <w:spacing w:after="120" w:line="240" w:lineRule="auto"/>
        <w:ind w:firstLine="720"/>
        <w:jc w:val="both"/>
        <w:rPr>
          <w:rFonts w:ascii="Arial" w:hAnsi="Arial" w:cs="Arial"/>
          <w:b/>
          <w:bCs/>
          <w:color w:val="000000" w:themeColor="text1"/>
          <w:sz w:val="20"/>
          <w:szCs w:val="20"/>
          <w:lang w:val="sv-SE"/>
        </w:rPr>
      </w:pPr>
      <w:bookmarkStart w:id="3" w:name="dieu_10"/>
      <w:r w:rsidRPr="00284698">
        <w:rPr>
          <w:rFonts w:ascii="Arial" w:hAnsi="Arial" w:cs="Arial"/>
          <w:bCs/>
          <w:color w:val="000000" w:themeColor="text1"/>
          <w:sz w:val="20"/>
          <w:szCs w:val="20"/>
        </w:rPr>
        <w:t>“</w:t>
      </w:r>
      <w:r w:rsidRPr="00284698">
        <w:rPr>
          <w:rFonts w:ascii="Arial" w:hAnsi="Arial" w:cs="Arial"/>
          <w:b/>
          <w:color w:val="000000" w:themeColor="text1"/>
          <w:sz w:val="20"/>
          <w:szCs w:val="20"/>
        </w:rPr>
        <w:t xml:space="preserve">Điều 198a. </w:t>
      </w:r>
      <w:r w:rsidRPr="00284698">
        <w:rPr>
          <w:rFonts w:ascii="Arial" w:hAnsi="Arial" w:cs="Arial"/>
          <w:b/>
          <w:bCs/>
          <w:color w:val="000000" w:themeColor="text1"/>
          <w:sz w:val="20"/>
          <w:szCs w:val="20"/>
          <w:lang w:val="sv-SE"/>
        </w:rPr>
        <w:t>Quyền thu giữ tài sản bảo đảm</w:t>
      </w:r>
    </w:p>
    <w:p w14:paraId="08F2E9A6" w14:textId="77777777" w:rsidR="00284698" w:rsidRPr="00284698" w:rsidRDefault="00284698" w:rsidP="00284698">
      <w:pPr>
        <w:adjustRightInd w:val="0"/>
        <w:snapToGrid w:val="0"/>
        <w:spacing w:after="120" w:line="240" w:lineRule="auto"/>
        <w:ind w:firstLine="720"/>
        <w:jc w:val="both"/>
        <w:rPr>
          <w:rFonts w:ascii="Arial" w:hAnsi="Arial" w:cs="Arial"/>
          <w:bCs/>
          <w:iCs/>
          <w:color w:val="000000" w:themeColor="text1"/>
          <w:sz w:val="20"/>
          <w:szCs w:val="20"/>
        </w:rPr>
      </w:pPr>
      <w:r w:rsidRPr="00284698">
        <w:rPr>
          <w:rFonts w:ascii="Arial" w:hAnsi="Arial" w:cs="Arial"/>
          <w:bCs/>
          <w:color w:val="000000" w:themeColor="text1"/>
          <w:sz w:val="20"/>
          <w:szCs w:val="20"/>
          <w:lang w:val="sv-SE"/>
        </w:rPr>
        <w:t xml:space="preserve">1. </w:t>
      </w:r>
      <w:r w:rsidRPr="00284698">
        <w:rPr>
          <w:rFonts w:ascii="Arial" w:hAnsi="Arial" w:cs="Arial"/>
          <w:bCs/>
          <w:iCs/>
          <w:color w:val="000000" w:themeColor="text1"/>
          <w:sz w:val="20"/>
          <w:szCs w:val="20"/>
        </w:rPr>
        <w:t xml:space="preserve">Bên bảo đảm, </w:t>
      </w:r>
      <w:r w:rsidRPr="00284698">
        <w:rPr>
          <w:rFonts w:ascii="Arial" w:hAnsi="Arial" w:cs="Arial"/>
          <w:iCs/>
          <w:color w:val="000000" w:themeColor="text1"/>
          <w:sz w:val="20"/>
          <w:szCs w:val="20"/>
          <w:lang w:val="sv-SE"/>
        </w:rPr>
        <w:t xml:space="preserve">người </w:t>
      </w:r>
      <w:r w:rsidRPr="00284698">
        <w:rPr>
          <w:rFonts w:ascii="Arial" w:hAnsi="Arial" w:cs="Arial"/>
          <w:color w:val="000000" w:themeColor="text1"/>
          <w:sz w:val="20"/>
          <w:szCs w:val="20"/>
        </w:rPr>
        <w:t>đang</w:t>
      </w:r>
      <w:r w:rsidRPr="00284698">
        <w:rPr>
          <w:rFonts w:ascii="Arial" w:hAnsi="Arial" w:cs="Arial"/>
          <w:bCs/>
          <w:iCs/>
          <w:color w:val="000000" w:themeColor="text1"/>
          <w:sz w:val="20"/>
          <w:szCs w:val="20"/>
        </w:rPr>
        <w:t xml:space="preserve"> giữ tài sản bảo đảm của khoản nợ xấu có nghĩa vụ giao tài sản bảo đảm kèm theo giấy tờ, hồ sơ pháp lý của tài sản bảo đảm cho tổ chức tín dụng, chi nhánh ngân hàng nước ngoài, tổ chức mua bán, xử lý nợ để xử lý theo thỏa thuận trong hợp đồng bảo đảm </w:t>
      </w:r>
      <w:r w:rsidRPr="00284698">
        <w:rPr>
          <w:rFonts w:ascii="Arial" w:hAnsi="Arial" w:cs="Arial"/>
          <w:bCs/>
          <w:iCs/>
          <w:color w:val="000000" w:themeColor="text1"/>
          <w:sz w:val="20"/>
          <w:szCs w:val="20"/>
          <w:lang w:val="sv-SE"/>
        </w:rPr>
        <w:t xml:space="preserve">hoặc trong văn bản khác </w:t>
      </w:r>
      <w:r w:rsidRPr="00284698">
        <w:rPr>
          <w:rFonts w:ascii="Arial" w:hAnsi="Arial" w:cs="Arial"/>
          <w:bCs/>
          <w:color w:val="000000" w:themeColor="text1"/>
          <w:sz w:val="20"/>
          <w:szCs w:val="20"/>
          <w:lang w:val="sv-SE"/>
        </w:rPr>
        <w:t xml:space="preserve">(sau đây gọi là hợp đồng bảo đảm) </w:t>
      </w:r>
      <w:r w:rsidRPr="00284698">
        <w:rPr>
          <w:rFonts w:ascii="Arial" w:hAnsi="Arial" w:cs="Arial"/>
          <w:bCs/>
          <w:iCs/>
          <w:color w:val="000000" w:themeColor="text1"/>
          <w:sz w:val="20"/>
          <w:szCs w:val="20"/>
        </w:rPr>
        <w:t>và quy định của pháp luật</w:t>
      </w:r>
      <w:r w:rsidRPr="00284698">
        <w:rPr>
          <w:rFonts w:ascii="Arial" w:hAnsi="Arial" w:cs="Arial"/>
          <w:bCs/>
          <w:iCs/>
          <w:color w:val="000000" w:themeColor="text1"/>
          <w:sz w:val="20"/>
          <w:szCs w:val="20"/>
          <w:lang w:val="sv-SE"/>
        </w:rPr>
        <w:t xml:space="preserve"> về bảo đảm thực hiện nghĩa vụ</w:t>
      </w:r>
      <w:r w:rsidRPr="00284698">
        <w:rPr>
          <w:rFonts w:ascii="Arial" w:hAnsi="Arial" w:cs="Arial"/>
          <w:bCs/>
          <w:iCs/>
          <w:color w:val="000000" w:themeColor="text1"/>
          <w:sz w:val="20"/>
          <w:szCs w:val="20"/>
        </w:rPr>
        <w:t>.</w:t>
      </w:r>
    </w:p>
    <w:p w14:paraId="69FA424B" w14:textId="77777777" w:rsidR="00284698" w:rsidRPr="00284698" w:rsidRDefault="00284698" w:rsidP="00284698">
      <w:pPr>
        <w:adjustRightInd w:val="0"/>
        <w:snapToGrid w:val="0"/>
        <w:spacing w:after="120" w:line="240" w:lineRule="auto"/>
        <w:ind w:firstLine="720"/>
        <w:jc w:val="both"/>
        <w:rPr>
          <w:rFonts w:ascii="Arial" w:hAnsi="Arial" w:cs="Arial"/>
          <w:bCs/>
          <w:iCs/>
          <w:color w:val="000000" w:themeColor="text1"/>
          <w:sz w:val="20"/>
          <w:szCs w:val="20"/>
        </w:rPr>
      </w:pPr>
      <w:r w:rsidRPr="00284698">
        <w:rPr>
          <w:rFonts w:ascii="Arial" w:hAnsi="Arial" w:cs="Arial"/>
          <w:bCs/>
          <w:iCs/>
          <w:color w:val="000000" w:themeColor="text1"/>
          <w:sz w:val="20"/>
          <w:szCs w:val="20"/>
        </w:rPr>
        <w:t xml:space="preserve">Trường hợp bên bảo đảm, người </w:t>
      </w:r>
      <w:r w:rsidRPr="00284698">
        <w:rPr>
          <w:rFonts w:ascii="Arial" w:hAnsi="Arial" w:cs="Arial"/>
          <w:color w:val="000000" w:themeColor="text1"/>
          <w:sz w:val="20"/>
          <w:szCs w:val="20"/>
        </w:rPr>
        <w:t>đang</w:t>
      </w:r>
      <w:r w:rsidRPr="00284698">
        <w:rPr>
          <w:rFonts w:ascii="Arial" w:hAnsi="Arial" w:cs="Arial"/>
          <w:bCs/>
          <w:iCs/>
          <w:color w:val="000000" w:themeColor="text1"/>
          <w:sz w:val="20"/>
          <w:szCs w:val="20"/>
        </w:rPr>
        <w:t xml:space="preserve"> giữ tài sản </w:t>
      </w:r>
      <w:r w:rsidRPr="00284698">
        <w:rPr>
          <w:rFonts w:ascii="Arial" w:hAnsi="Arial" w:cs="Arial"/>
          <w:color w:val="000000" w:themeColor="text1"/>
          <w:sz w:val="20"/>
          <w:szCs w:val="20"/>
        </w:rPr>
        <w:t>bảo đảm</w:t>
      </w:r>
      <w:r w:rsidRPr="00284698">
        <w:rPr>
          <w:rFonts w:ascii="Arial" w:hAnsi="Arial" w:cs="Arial"/>
          <w:bCs/>
          <w:iCs/>
          <w:color w:val="000000" w:themeColor="text1"/>
          <w:sz w:val="20"/>
          <w:szCs w:val="20"/>
        </w:rPr>
        <w:t xml:space="preserve"> không giao tài sản bảo đảm cho tổ chức tín dụng, chi nhánh ngân hàng nước ngoài, tổ chức mua bán, xử lý nợ để xử lý thì tổ chức tín dụng, chi nhánh ngân hàng nước ngoài, tổ chức mua bán, xử lý nợ được thu giữ tài sản bảo đảm theo quy định tại Điều này. </w:t>
      </w:r>
    </w:p>
    <w:p w14:paraId="40CE31E7" w14:textId="77777777" w:rsidR="00284698" w:rsidRPr="00284698" w:rsidRDefault="00284698" w:rsidP="00284698">
      <w:pPr>
        <w:adjustRightInd w:val="0"/>
        <w:snapToGrid w:val="0"/>
        <w:spacing w:after="120" w:line="240" w:lineRule="auto"/>
        <w:ind w:firstLine="720"/>
        <w:jc w:val="both"/>
        <w:rPr>
          <w:rFonts w:ascii="Arial" w:hAnsi="Arial" w:cs="Arial"/>
          <w:bCs/>
          <w:iCs/>
          <w:color w:val="000000" w:themeColor="text1"/>
          <w:sz w:val="20"/>
          <w:szCs w:val="20"/>
        </w:rPr>
      </w:pPr>
      <w:r w:rsidRPr="00284698">
        <w:rPr>
          <w:rFonts w:ascii="Arial" w:hAnsi="Arial" w:cs="Arial"/>
          <w:bCs/>
          <w:color w:val="000000" w:themeColor="text1"/>
          <w:sz w:val="20"/>
          <w:szCs w:val="20"/>
          <w:lang w:val="sv-SE"/>
        </w:rPr>
        <w:t xml:space="preserve">2. </w:t>
      </w:r>
      <w:r w:rsidRPr="00284698">
        <w:rPr>
          <w:rFonts w:ascii="Arial" w:hAnsi="Arial" w:cs="Arial"/>
          <w:bCs/>
          <w:iCs/>
          <w:color w:val="000000" w:themeColor="text1"/>
          <w:sz w:val="20"/>
          <w:szCs w:val="20"/>
        </w:rPr>
        <w:t>Tổ chức tín dụng, chi nhánh ngân hàng nước ngoài, tổ chức mua bán, xử lý nợ có quyền thu giữ tài sản bảo đảm của khoản nợ xấu khi đáp ứng các điều kiện sau đây:</w:t>
      </w:r>
    </w:p>
    <w:p w14:paraId="415D5205"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lang w:val="sv-SE"/>
        </w:rPr>
      </w:pPr>
      <w:r w:rsidRPr="00284698">
        <w:rPr>
          <w:rFonts w:ascii="Arial" w:hAnsi="Arial" w:cs="Arial"/>
          <w:bCs/>
          <w:color w:val="000000" w:themeColor="text1"/>
          <w:sz w:val="20"/>
          <w:szCs w:val="20"/>
          <w:lang w:val="sv-SE"/>
        </w:rPr>
        <w:t>a</w:t>
      </w:r>
      <w:r w:rsidRPr="00284698">
        <w:rPr>
          <w:rFonts w:ascii="Arial" w:hAnsi="Arial" w:cs="Arial"/>
          <w:bCs/>
          <w:color w:val="000000" w:themeColor="text1"/>
          <w:sz w:val="20"/>
          <w:szCs w:val="20"/>
        </w:rPr>
        <w:t xml:space="preserve">) Khi xảy ra trường hợp xử lý </w:t>
      </w:r>
      <w:r w:rsidRPr="00284698">
        <w:rPr>
          <w:rFonts w:ascii="Arial" w:hAnsi="Arial" w:cs="Arial"/>
          <w:bCs/>
          <w:color w:val="000000" w:themeColor="text1"/>
          <w:sz w:val="20"/>
          <w:szCs w:val="20"/>
          <w:lang w:val="sv-SE"/>
        </w:rPr>
        <w:t>tài sản bảo đảm</w:t>
      </w:r>
      <w:r w:rsidRPr="00284698">
        <w:rPr>
          <w:rFonts w:ascii="Arial" w:hAnsi="Arial" w:cs="Arial"/>
          <w:bCs/>
          <w:color w:val="000000" w:themeColor="text1"/>
          <w:sz w:val="20"/>
          <w:szCs w:val="20"/>
        </w:rPr>
        <w:t xml:space="preserve"> </w:t>
      </w:r>
      <w:r w:rsidRPr="00284698">
        <w:rPr>
          <w:rFonts w:ascii="Arial" w:hAnsi="Arial" w:cs="Arial"/>
          <w:bCs/>
          <w:iCs/>
          <w:color w:val="000000" w:themeColor="text1"/>
          <w:sz w:val="20"/>
          <w:szCs w:val="20"/>
        </w:rPr>
        <w:t xml:space="preserve">theo quy định tại Điều 299 của Bộ luật </w:t>
      </w:r>
      <w:r w:rsidRPr="00284698">
        <w:rPr>
          <w:rFonts w:ascii="Arial" w:hAnsi="Arial" w:cs="Arial"/>
          <w:bCs/>
          <w:iCs/>
          <w:color w:val="000000" w:themeColor="text1"/>
          <w:sz w:val="20"/>
          <w:szCs w:val="20"/>
          <w:lang w:val="sv-SE"/>
        </w:rPr>
        <w:t>D</w:t>
      </w:r>
      <w:r w:rsidRPr="00284698">
        <w:rPr>
          <w:rFonts w:ascii="Arial" w:hAnsi="Arial" w:cs="Arial"/>
          <w:bCs/>
          <w:iCs/>
          <w:color w:val="000000" w:themeColor="text1"/>
          <w:sz w:val="20"/>
          <w:szCs w:val="20"/>
        </w:rPr>
        <w:t>ân sự</w:t>
      </w:r>
      <w:r w:rsidRPr="00284698">
        <w:rPr>
          <w:rFonts w:ascii="Arial" w:hAnsi="Arial" w:cs="Arial"/>
          <w:bCs/>
          <w:color w:val="000000" w:themeColor="text1"/>
          <w:sz w:val="20"/>
          <w:szCs w:val="20"/>
        </w:rPr>
        <w:t xml:space="preserve">; </w:t>
      </w:r>
    </w:p>
    <w:p w14:paraId="34206142"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lang w:val="sv-SE"/>
        </w:rPr>
        <w:t>b</w:t>
      </w:r>
      <w:r w:rsidRPr="00284698">
        <w:rPr>
          <w:rFonts w:ascii="Arial" w:hAnsi="Arial" w:cs="Arial"/>
          <w:bCs/>
          <w:color w:val="000000" w:themeColor="text1"/>
          <w:sz w:val="20"/>
          <w:szCs w:val="20"/>
        </w:rPr>
        <w:t xml:space="preserve">) </w:t>
      </w:r>
      <w:r w:rsidRPr="00284698">
        <w:rPr>
          <w:rFonts w:ascii="Arial" w:hAnsi="Arial" w:cs="Arial"/>
          <w:bCs/>
          <w:color w:val="000000" w:themeColor="text1"/>
          <w:sz w:val="20"/>
          <w:szCs w:val="20"/>
          <w:lang w:val="sv-SE"/>
        </w:rPr>
        <w:t xml:space="preserve">Hợp đồng bảo đảm có thỏa thuận về việc bên bảo đảm đồng ý cho bên nhận bảo đảm có quyền thu giữ tài sản bảo đảm của khoản nợ xấu khi xảy ra trường hợp xử lý tài sản bảo đảm theo quy định của pháp luật </w:t>
      </w:r>
      <w:r w:rsidRPr="00284698">
        <w:rPr>
          <w:rFonts w:ascii="Arial" w:hAnsi="Arial" w:cs="Arial"/>
          <w:bCs/>
          <w:iCs/>
          <w:color w:val="000000" w:themeColor="text1"/>
          <w:sz w:val="20"/>
          <w:szCs w:val="20"/>
          <w:lang w:val="sv-SE"/>
        </w:rPr>
        <w:t>về bảo đảm thực hiện nghĩa vụ</w:t>
      </w:r>
      <w:r w:rsidRPr="00284698">
        <w:rPr>
          <w:rFonts w:ascii="Arial" w:hAnsi="Arial" w:cs="Arial"/>
          <w:bCs/>
          <w:color w:val="000000" w:themeColor="text1"/>
          <w:sz w:val="20"/>
          <w:szCs w:val="20"/>
          <w:lang w:val="sv-SE"/>
        </w:rPr>
        <w:t>;</w:t>
      </w:r>
    </w:p>
    <w:p w14:paraId="593FF9D7"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 xml:space="preserve">c) Biện pháp bảo đảm đã phát sinh hiệu lực đối kháng với người thứ ba theo quy định của pháp luật về bảo đảm thực hiện nghĩa vụ; </w:t>
      </w:r>
    </w:p>
    <w:p w14:paraId="06609748" w14:textId="77777777" w:rsidR="00284698" w:rsidRPr="00284698" w:rsidRDefault="00284698" w:rsidP="00284698">
      <w:pPr>
        <w:adjustRightInd w:val="0"/>
        <w:snapToGrid w:val="0"/>
        <w:spacing w:after="120" w:line="240" w:lineRule="auto"/>
        <w:ind w:firstLine="720"/>
        <w:jc w:val="both"/>
        <w:rPr>
          <w:rFonts w:ascii="Arial" w:hAnsi="Arial" w:cs="Arial"/>
          <w:iCs/>
          <w:color w:val="000000" w:themeColor="text1"/>
          <w:sz w:val="20"/>
          <w:szCs w:val="20"/>
        </w:rPr>
      </w:pPr>
      <w:r w:rsidRPr="00284698">
        <w:rPr>
          <w:rFonts w:ascii="Arial" w:hAnsi="Arial" w:cs="Arial"/>
          <w:bCs/>
          <w:color w:val="000000" w:themeColor="text1"/>
          <w:sz w:val="20"/>
          <w:szCs w:val="20"/>
        </w:rPr>
        <w:t xml:space="preserve">d) Tài sản bảo đảm </w:t>
      </w:r>
      <w:r w:rsidRPr="00284698">
        <w:rPr>
          <w:rFonts w:ascii="Arial" w:hAnsi="Arial" w:cs="Arial"/>
          <w:color w:val="000000" w:themeColor="text1"/>
          <w:sz w:val="20"/>
          <w:szCs w:val="20"/>
        </w:rPr>
        <w:t>không phải là tài sản tranh chấp trong vụ án đã được thụ lý nhưng chưa được giải quyết hoặc đang được giải quyết tại Tòa án có thẩm quyền;</w:t>
      </w:r>
      <w:r w:rsidRPr="00284698">
        <w:rPr>
          <w:rFonts w:ascii="Arial" w:hAnsi="Arial" w:cs="Arial"/>
          <w:b/>
          <w:i/>
          <w:color w:val="000000" w:themeColor="text1"/>
          <w:sz w:val="20"/>
          <w:szCs w:val="20"/>
        </w:rPr>
        <w:t xml:space="preserve"> </w:t>
      </w:r>
      <w:r w:rsidRPr="00284698">
        <w:rPr>
          <w:rFonts w:ascii="Arial" w:hAnsi="Arial" w:cs="Arial"/>
          <w:iCs/>
          <w:color w:val="000000" w:themeColor="text1"/>
          <w:sz w:val="20"/>
          <w:szCs w:val="20"/>
        </w:rPr>
        <w:t>không đang bị Tòa án áp dụng biện pháp khẩn cấp tạm thời; không đang bị kê biên hoặc áp dụng biện pháp bảo đảm thi hành án theo quy định của pháp luật;</w:t>
      </w:r>
      <w:r w:rsidRPr="00284698">
        <w:rPr>
          <w:rFonts w:ascii="Arial" w:hAnsi="Arial" w:cs="Arial"/>
          <w:bCs/>
          <w:color w:val="000000" w:themeColor="text1"/>
          <w:sz w:val="20"/>
          <w:szCs w:val="20"/>
        </w:rPr>
        <w:t xml:space="preserve"> </w:t>
      </w:r>
      <w:r w:rsidRPr="00284698">
        <w:rPr>
          <w:rFonts w:ascii="Arial" w:hAnsi="Arial" w:cs="Arial"/>
          <w:iCs/>
          <w:color w:val="000000" w:themeColor="text1"/>
          <w:sz w:val="20"/>
          <w:szCs w:val="20"/>
        </w:rPr>
        <w:t xml:space="preserve">không thuộc trường hợp bị tạm đình chỉ xử lý theo quy định của pháp luật về phá sản; </w:t>
      </w:r>
    </w:p>
    <w:p w14:paraId="42986765" w14:textId="77777777" w:rsidR="00284698" w:rsidRPr="00284698" w:rsidRDefault="00284698" w:rsidP="00284698">
      <w:pPr>
        <w:adjustRightInd w:val="0"/>
        <w:snapToGrid w:val="0"/>
        <w:spacing w:after="120" w:line="240" w:lineRule="auto"/>
        <w:ind w:firstLine="720"/>
        <w:jc w:val="both"/>
        <w:rPr>
          <w:rFonts w:ascii="Arial" w:hAnsi="Arial" w:cs="Arial"/>
          <w:iCs/>
          <w:color w:val="000000" w:themeColor="text1"/>
          <w:sz w:val="20"/>
          <w:szCs w:val="20"/>
        </w:rPr>
      </w:pPr>
      <w:r w:rsidRPr="00284698">
        <w:rPr>
          <w:rFonts w:ascii="Arial" w:hAnsi="Arial" w:cs="Arial"/>
          <w:bCs/>
          <w:color w:val="000000" w:themeColor="text1"/>
          <w:sz w:val="20"/>
          <w:szCs w:val="20"/>
        </w:rPr>
        <w:t>đ)</w:t>
      </w:r>
      <w:r w:rsidRPr="00284698">
        <w:rPr>
          <w:rFonts w:ascii="Arial" w:hAnsi="Arial" w:cs="Arial"/>
          <w:iCs/>
          <w:color w:val="000000" w:themeColor="text1"/>
          <w:sz w:val="20"/>
          <w:szCs w:val="20"/>
        </w:rPr>
        <w:t xml:space="preserve"> Tài sản bảo đảm được thu giữ phải đáp ứng điều kiện theo quy định của Chính phủ; </w:t>
      </w:r>
    </w:p>
    <w:p w14:paraId="6BC3570B"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iCs/>
          <w:color w:val="000000" w:themeColor="text1"/>
          <w:sz w:val="20"/>
          <w:szCs w:val="20"/>
        </w:rPr>
        <w:t>e)</w:t>
      </w:r>
      <w:r w:rsidRPr="00284698">
        <w:rPr>
          <w:rFonts w:ascii="Arial" w:hAnsi="Arial" w:cs="Arial"/>
          <w:b/>
          <w:i/>
          <w:iCs/>
          <w:color w:val="000000" w:themeColor="text1"/>
          <w:sz w:val="20"/>
          <w:szCs w:val="20"/>
        </w:rPr>
        <w:t xml:space="preserve"> </w:t>
      </w:r>
      <w:r w:rsidRPr="00284698">
        <w:rPr>
          <w:rFonts w:ascii="Arial" w:hAnsi="Arial" w:cs="Arial"/>
          <w:bCs/>
          <w:color w:val="000000" w:themeColor="text1"/>
          <w:sz w:val="20"/>
          <w:szCs w:val="20"/>
        </w:rPr>
        <w:t xml:space="preserve">Tổ chức tín dụng, chi nhánh ngân hàng nước ngoài, tổ chức mua bán, xử lý nợ đã </w:t>
      </w:r>
      <w:r w:rsidRPr="00284698">
        <w:rPr>
          <w:rFonts w:ascii="Arial" w:hAnsi="Arial" w:cs="Arial"/>
          <w:iCs/>
          <w:color w:val="000000" w:themeColor="text1"/>
          <w:sz w:val="20"/>
          <w:szCs w:val="20"/>
        </w:rPr>
        <w:t>thực hiện</w:t>
      </w:r>
      <w:r w:rsidRPr="00284698">
        <w:rPr>
          <w:rFonts w:ascii="Arial" w:hAnsi="Arial" w:cs="Arial"/>
          <w:b/>
          <w:i/>
          <w:iCs/>
          <w:color w:val="000000" w:themeColor="text1"/>
          <w:sz w:val="20"/>
          <w:szCs w:val="20"/>
        </w:rPr>
        <w:t xml:space="preserve"> </w:t>
      </w:r>
      <w:r w:rsidRPr="00284698">
        <w:rPr>
          <w:rFonts w:ascii="Arial" w:hAnsi="Arial" w:cs="Arial"/>
          <w:bCs/>
          <w:color w:val="000000" w:themeColor="text1"/>
          <w:sz w:val="20"/>
          <w:szCs w:val="20"/>
        </w:rPr>
        <w:t xml:space="preserve">nghĩa vụ công khai thông tin theo quy định tại khoản 3 hoặc khoản 4 Điều này. </w:t>
      </w:r>
    </w:p>
    <w:p w14:paraId="3FEF3A88"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lang w:val="sv-SE"/>
        </w:rPr>
        <w:t xml:space="preserve">3. Chậm nhất 15 ngày trước ngày tiến hành thu giữ tài sản bảo đảm là bất động sản, tổ chức tín dụng, chi nhánh ngân hàng nước ngoài, tổ chức mua bán, xử lý nợ </w:t>
      </w:r>
      <w:r w:rsidRPr="00284698">
        <w:rPr>
          <w:rFonts w:ascii="Arial" w:hAnsi="Arial" w:cs="Arial"/>
          <w:iCs/>
          <w:color w:val="000000" w:themeColor="text1"/>
          <w:sz w:val="20"/>
          <w:szCs w:val="20"/>
          <w:lang w:val="sv-SE"/>
        </w:rPr>
        <w:t>phải</w:t>
      </w:r>
      <w:r w:rsidRPr="00284698">
        <w:rPr>
          <w:rFonts w:ascii="Arial" w:hAnsi="Arial" w:cs="Arial"/>
          <w:bCs/>
          <w:color w:val="000000" w:themeColor="text1"/>
          <w:sz w:val="20"/>
          <w:szCs w:val="20"/>
          <w:lang w:val="sv-SE"/>
        </w:rPr>
        <w:t xml:space="preserve"> thực hiện </w:t>
      </w:r>
      <w:r w:rsidRPr="00284698">
        <w:rPr>
          <w:rFonts w:ascii="Arial" w:hAnsi="Arial" w:cs="Arial"/>
          <w:iCs/>
          <w:color w:val="000000" w:themeColor="text1"/>
          <w:sz w:val="20"/>
          <w:szCs w:val="20"/>
          <w:lang w:val="sv-SE"/>
        </w:rPr>
        <w:t>thủ tục</w:t>
      </w:r>
      <w:r w:rsidRPr="00284698">
        <w:rPr>
          <w:rFonts w:ascii="Arial" w:hAnsi="Arial" w:cs="Arial"/>
          <w:bCs/>
          <w:color w:val="000000" w:themeColor="text1"/>
          <w:sz w:val="20"/>
          <w:szCs w:val="20"/>
          <w:lang w:val="sv-SE"/>
        </w:rPr>
        <w:t xml:space="preserve"> công khai thông tin về thời gian, địa điểm thu giữ tài sản bảo đảm, tài sản bảo đảm được thu giữ, lý do thu giữ. </w:t>
      </w:r>
      <w:r w:rsidRPr="00284698">
        <w:rPr>
          <w:rFonts w:ascii="Arial" w:hAnsi="Arial" w:cs="Arial"/>
          <w:iCs/>
          <w:color w:val="000000" w:themeColor="text1"/>
          <w:sz w:val="20"/>
          <w:szCs w:val="20"/>
          <w:lang w:val="sv-SE"/>
        </w:rPr>
        <w:t>Việc công khai thông tin được thực hiện dưới các hình thức</w:t>
      </w:r>
      <w:r w:rsidRPr="00284698">
        <w:rPr>
          <w:rFonts w:ascii="Arial" w:hAnsi="Arial" w:cs="Arial"/>
          <w:bCs/>
          <w:color w:val="000000" w:themeColor="text1"/>
          <w:sz w:val="20"/>
          <w:szCs w:val="20"/>
          <w:lang w:val="sv-SE"/>
        </w:rPr>
        <w:t xml:space="preserve"> sau đây:</w:t>
      </w:r>
    </w:p>
    <w:p w14:paraId="57A53EDC"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a) Đăng tải thông tin trên trang thông tin điện tử của</w:t>
      </w:r>
      <w:r w:rsidRPr="00284698">
        <w:rPr>
          <w:rFonts w:ascii="Arial" w:hAnsi="Arial" w:cs="Arial"/>
          <w:bCs/>
          <w:color w:val="000000" w:themeColor="text1"/>
          <w:sz w:val="20"/>
          <w:szCs w:val="20"/>
          <w:lang w:val="sv-SE"/>
        </w:rPr>
        <w:t xml:space="preserve"> mình</w:t>
      </w:r>
      <w:r w:rsidRPr="00284698">
        <w:rPr>
          <w:rFonts w:ascii="Arial" w:hAnsi="Arial" w:cs="Arial"/>
          <w:bCs/>
          <w:color w:val="000000" w:themeColor="text1"/>
          <w:sz w:val="20"/>
          <w:szCs w:val="20"/>
        </w:rPr>
        <w:t xml:space="preserve">; </w:t>
      </w:r>
    </w:p>
    <w:p w14:paraId="79695463"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lastRenderedPageBreak/>
        <w:t xml:space="preserve">b) Gửi văn bản thông báo cho Ủy ban nhân dân cấp xã và cơ quan Công an </w:t>
      </w:r>
      <w:r w:rsidRPr="00284698">
        <w:rPr>
          <w:rFonts w:ascii="Arial" w:hAnsi="Arial" w:cs="Arial"/>
          <w:iCs/>
          <w:color w:val="000000" w:themeColor="text1"/>
          <w:sz w:val="20"/>
          <w:szCs w:val="20"/>
        </w:rPr>
        <w:t>cấp xã</w:t>
      </w:r>
      <w:r w:rsidRPr="00284698">
        <w:rPr>
          <w:rFonts w:ascii="Arial" w:hAnsi="Arial" w:cs="Arial"/>
          <w:b/>
          <w:i/>
          <w:iCs/>
          <w:color w:val="000000" w:themeColor="text1"/>
          <w:sz w:val="20"/>
          <w:szCs w:val="20"/>
        </w:rPr>
        <w:t xml:space="preserve"> </w:t>
      </w:r>
      <w:r w:rsidRPr="00284698">
        <w:rPr>
          <w:rFonts w:ascii="Arial" w:hAnsi="Arial" w:cs="Arial"/>
          <w:bCs/>
          <w:color w:val="000000" w:themeColor="text1"/>
          <w:sz w:val="20"/>
          <w:szCs w:val="20"/>
        </w:rPr>
        <w:t>nơi có tài sản bảo đảm;</w:t>
      </w:r>
    </w:p>
    <w:p w14:paraId="58D74B55"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 xml:space="preserve">c) </w:t>
      </w:r>
      <w:r w:rsidRPr="00284698">
        <w:rPr>
          <w:rFonts w:ascii="Arial" w:hAnsi="Arial" w:cs="Arial"/>
          <w:color w:val="000000" w:themeColor="text1"/>
          <w:sz w:val="20"/>
          <w:szCs w:val="20"/>
        </w:rPr>
        <w:t>Niêm yết văn bản thông báo tại trụ sở Ủy ban nhân dân cấp xã nơi bên bảo đảm đăng ký địa chỉ theo hợp đồng bảo đảm và trụ sở Ủy ban nhân dân cấp xã nơi có tài sản bảo đảm;</w:t>
      </w:r>
    </w:p>
    <w:p w14:paraId="5671CEF9"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bookmarkStart w:id="4" w:name="_Hlk192187420"/>
      <w:r w:rsidRPr="00284698">
        <w:rPr>
          <w:rFonts w:ascii="Arial" w:hAnsi="Arial" w:cs="Arial"/>
          <w:bCs/>
          <w:color w:val="000000" w:themeColor="text1"/>
          <w:sz w:val="20"/>
          <w:szCs w:val="20"/>
        </w:rPr>
        <w:t xml:space="preserve">d) Thông báo cho bên bảo đảm, </w:t>
      </w:r>
      <w:r w:rsidRPr="00284698">
        <w:rPr>
          <w:rFonts w:ascii="Arial" w:hAnsi="Arial" w:cs="Arial"/>
          <w:iCs/>
          <w:color w:val="000000" w:themeColor="text1"/>
          <w:sz w:val="20"/>
          <w:szCs w:val="20"/>
        </w:rPr>
        <w:t>người đang</w:t>
      </w:r>
      <w:r w:rsidRPr="00284698">
        <w:rPr>
          <w:rFonts w:ascii="Arial" w:hAnsi="Arial" w:cs="Arial"/>
          <w:bCs/>
          <w:color w:val="000000" w:themeColor="text1"/>
          <w:sz w:val="20"/>
          <w:szCs w:val="20"/>
        </w:rPr>
        <w:t xml:space="preserve"> giữ tài sản bảo đảm (nếu có) theo phương thức thông báo đã thỏa thuận tại hợp đồng bảo đảm. </w:t>
      </w:r>
    </w:p>
    <w:p w14:paraId="671E1127"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 xml:space="preserve">Trường hợp không có thỏa thuận thì tổ chức tín dụng, chi nhánh ngân hàng nước ngoài, tổ chức mua bán, xử lý nợ gửi </w:t>
      </w:r>
      <w:r w:rsidRPr="00284698">
        <w:rPr>
          <w:rFonts w:ascii="Arial" w:hAnsi="Arial" w:cs="Arial"/>
          <w:iCs/>
          <w:color w:val="000000" w:themeColor="text1"/>
          <w:sz w:val="20"/>
          <w:szCs w:val="20"/>
        </w:rPr>
        <w:t xml:space="preserve">trực tiếp văn bản thông báo </w:t>
      </w:r>
      <w:r w:rsidRPr="00284698">
        <w:rPr>
          <w:rFonts w:ascii="Arial" w:hAnsi="Arial" w:cs="Arial"/>
          <w:bCs/>
          <w:color w:val="000000" w:themeColor="text1"/>
          <w:sz w:val="20"/>
          <w:szCs w:val="20"/>
        </w:rPr>
        <w:t>cho bên bảo đảm,</w:t>
      </w:r>
      <w:r w:rsidRPr="00284698">
        <w:rPr>
          <w:rFonts w:ascii="Arial" w:hAnsi="Arial" w:cs="Arial"/>
          <w:iCs/>
          <w:color w:val="000000" w:themeColor="text1"/>
          <w:sz w:val="20"/>
          <w:szCs w:val="20"/>
        </w:rPr>
        <w:t xml:space="preserve"> người đang giữ tài sản bảo đảm (nếu có) </w:t>
      </w:r>
      <w:r w:rsidRPr="00284698">
        <w:rPr>
          <w:rFonts w:ascii="Arial" w:hAnsi="Arial" w:cs="Arial"/>
          <w:bCs/>
          <w:color w:val="000000" w:themeColor="text1"/>
          <w:sz w:val="20"/>
          <w:szCs w:val="20"/>
        </w:rPr>
        <w:t xml:space="preserve">hoặc thông qua ủy quyền, dịch vụ bưu chính, phương tiện điện tử dưới hình thức thông điệp dữ liệu hoặc phương thức khác theo các thông tin, địa chỉ do bên bảo đảm, người đang giữ tài sản bảo đảm cung cấp. </w:t>
      </w:r>
    </w:p>
    <w:p w14:paraId="0784F830"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 xml:space="preserve">Trường hợp bên bảo đảm, người đang giữ tài sản bảo đảm (nếu có) thay đổi địa chỉ mà không thông báo cho bên nhận bảo đảm biết thì địa chỉ của bên bảo đảm, người đang giữ tài sản bảo đảm được xác định theo địa chỉ đã được các bên này cung cấp trước đó theo hợp đồng bảo đảm hoặc theo thông tin được lưu trữ tại cơ quan đăng ký biện pháp bảo đảm. </w:t>
      </w:r>
    </w:p>
    <w:bookmarkEnd w:id="4"/>
    <w:p w14:paraId="1331F5F3" w14:textId="77777777" w:rsidR="00284698" w:rsidRPr="00284698" w:rsidRDefault="00284698" w:rsidP="00284698">
      <w:pPr>
        <w:adjustRightInd w:val="0"/>
        <w:snapToGrid w:val="0"/>
        <w:spacing w:after="120" w:line="240" w:lineRule="auto"/>
        <w:ind w:firstLine="720"/>
        <w:jc w:val="both"/>
        <w:rPr>
          <w:rFonts w:ascii="Arial" w:hAnsi="Arial" w:cs="Arial"/>
          <w:iCs/>
          <w:color w:val="000000" w:themeColor="text1"/>
          <w:sz w:val="20"/>
          <w:szCs w:val="20"/>
        </w:rPr>
      </w:pPr>
      <w:r w:rsidRPr="00284698">
        <w:rPr>
          <w:rFonts w:ascii="Arial" w:hAnsi="Arial" w:cs="Arial"/>
          <w:bCs/>
          <w:color w:val="000000" w:themeColor="text1"/>
          <w:sz w:val="20"/>
          <w:szCs w:val="20"/>
          <w:lang w:val="sv-SE"/>
        </w:rPr>
        <w:t xml:space="preserve">4. Trước khi </w:t>
      </w:r>
      <w:r w:rsidRPr="00284698">
        <w:rPr>
          <w:rFonts w:ascii="Arial" w:hAnsi="Arial" w:cs="Arial"/>
          <w:color w:val="000000" w:themeColor="text1"/>
          <w:sz w:val="20"/>
          <w:szCs w:val="20"/>
        </w:rPr>
        <w:t>tiến hành thu giữ tài sản bảo đảm là động sản</w:t>
      </w:r>
      <w:r w:rsidRPr="00284698">
        <w:rPr>
          <w:rFonts w:ascii="Arial" w:hAnsi="Arial" w:cs="Arial"/>
          <w:bCs/>
          <w:color w:val="000000" w:themeColor="text1"/>
          <w:sz w:val="20"/>
          <w:szCs w:val="20"/>
          <w:lang w:val="sv-SE"/>
        </w:rPr>
        <w:t xml:space="preserve">, tổ chức tín dụng, chi nhánh ngân hàng nước ngoài, tổ chức mua bán, xử lý nợ </w:t>
      </w:r>
      <w:r w:rsidRPr="00284698">
        <w:rPr>
          <w:rFonts w:ascii="Arial" w:hAnsi="Arial" w:cs="Arial"/>
          <w:iCs/>
          <w:color w:val="000000" w:themeColor="text1"/>
          <w:sz w:val="20"/>
          <w:szCs w:val="20"/>
          <w:lang w:val="sv-SE"/>
        </w:rPr>
        <w:t>phải</w:t>
      </w:r>
      <w:r w:rsidRPr="00284698">
        <w:rPr>
          <w:rFonts w:ascii="Arial" w:hAnsi="Arial" w:cs="Arial"/>
          <w:bCs/>
          <w:color w:val="000000" w:themeColor="text1"/>
          <w:sz w:val="20"/>
          <w:szCs w:val="20"/>
          <w:lang w:val="sv-SE"/>
        </w:rPr>
        <w:t xml:space="preserve"> thực hiện </w:t>
      </w:r>
      <w:r w:rsidRPr="00284698">
        <w:rPr>
          <w:rFonts w:ascii="Arial" w:hAnsi="Arial" w:cs="Arial"/>
          <w:iCs/>
          <w:color w:val="000000" w:themeColor="text1"/>
          <w:sz w:val="20"/>
          <w:szCs w:val="20"/>
          <w:lang w:val="sv-SE"/>
        </w:rPr>
        <w:t>thủ tục</w:t>
      </w:r>
      <w:r w:rsidRPr="00284698">
        <w:rPr>
          <w:rFonts w:ascii="Arial" w:hAnsi="Arial" w:cs="Arial"/>
          <w:bCs/>
          <w:color w:val="000000" w:themeColor="text1"/>
          <w:sz w:val="20"/>
          <w:szCs w:val="20"/>
          <w:lang w:val="sv-SE"/>
        </w:rPr>
        <w:t xml:space="preserve"> công khai thông tin về tài sản bảo đảm được thu giữ, lý do thu giữ</w:t>
      </w:r>
      <w:r w:rsidRPr="00284698">
        <w:rPr>
          <w:rFonts w:ascii="Arial" w:hAnsi="Arial" w:cs="Arial"/>
          <w:iCs/>
          <w:color w:val="000000" w:themeColor="text1"/>
          <w:sz w:val="20"/>
          <w:szCs w:val="20"/>
          <w:lang w:val="sv-SE"/>
        </w:rPr>
        <w:t>.</w:t>
      </w:r>
      <w:r w:rsidRPr="00284698">
        <w:rPr>
          <w:rFonts w:ascii="Arial" w:hAnsi="Arial" w:cs="Arial"/>
          <w:b/>
          <w:i/>
          <w:iCs/>
          <w:color w:val="000000" w:themeColor="text1"/>
          <w:sz w:val="20"/>
          <w:szCs w:val="20"/>
          <w:lang w:val="sv-SE"/>
        </w:rPr>
        <w:t xml:space="preserve"> </w:t>
      </w:r>
      <w:r w:rsidRPr="00284698">
        <w:rPr>
          <w:rFonts w:ascii="Arial" w:hAnsi="Arial" w:cs="Arial"/>
          <w:iCs/>
          <w:color w:val="000000" w:themeColor="text1"/>
          <w:sz w:val="20"/>
          <w:szCs w:val="20"/>
          <w:lang w:val="sv-SE"/>
        </w:rPr>
        <w:t>Việc công khai thông tin được thực hiện dưới các hình thức sau đây:</w:t>
      </w:r>
    </w:p>
    <w:p w14:paraId="7EB51AB4"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lang w:val="sv-SE"/>
        </w:rPr>
        <w:t>a) Đăng tải thông tin trên trang thông tin điện tử của mình;</w:t>
      </w:r>
    </w:p>
    <w:p w14:paraId="04CE6AC6"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b)</w:t>
      </w:r>
      <w:r w:rsidRPr="00284698">
        <w:rPr>
          <w:rFonts w:ascii="Arial" w:hAnsi="Arial" w:cs="Arial"/>
          <w:bCs/>
          <w:color w:val="000000" w:themeColor="text1"/>
          <w:sz w:val="20"/>
          <w:szCs w:val="20"/>
          <w:lang w:val="sv-SE"/>
        </w:rPr>
        <w:t xml:space="preserve"> G</w:t>
      </w:r>
      <w:r w:rsidRPr="00284698">
        <w:rPr>
          <w:rFonts w:ascii="Arial" w:hAnsi="Arial" w:cs="Arial"/>
          <w:iCs/>
          <w:color w:val="000000" w:themeColor="text1"/>
          <w:sz w:val="20"/>
          <w:szCs w:val="20"/>
          <w:lang w:val="sv-SE"/>
        </w:rPr>
        <w:t xml:space="preserve">ửi văn bản thông báo cho Ủy ban nhân dân cấp xã, cơ quan Công an cấp xã </w:t>
      </w:r>
      <w:r w:rsidRPr="00284698">
        <w:rPr>
          <w:rFonts w:ascii="Arial" w:hAnsi="Arial" w:cs="Arial"/>
          <w:bCs/>
          <w:color w:val="000000" w:themeColor="text1"/>
          <w:sz w:val="20"/>
          <w:szCs w:val="20"/>
          <w:lang w:val="sv-SE"/>
        </w:rPr>
        <w:t>nơi bên bảo đảm đăng ký địa chỉ theo hợp đồng bảo đảm;</w:t>
      </w:r>
    </w:p>
    <w:p w14:paraId="7DE2D94F"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 xml:space="preserve">c) Thông báo cho bên bảo đảm, người đang giữ tài sản bảo đảm (nếu có) theo phương thức thông báo đã thoả thuận tại hợp đồng bảo đảm. </w:t>
      </w:r>
    </w:p>
    <w:p w14:paraId="02B7B26D"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 xml:space="preserve">Trường hợp không có thỏa thuận thì tổ chức tín dụng, chi nhánh ngân hàng nước ngoài, tổ chức mua bán, xử lý nợ gửi </w:t>
      </w:r>
      <w:r w:rsidRPr="00284698">
        <w:rPr>
          <w:rFonts w:ascii="Arial" w:hAnsi="Arial" w:cs="Arial"/>
          <w:iCs/>
          <w:color w:val="000000" w:themeColor="text1"/>
          <w:sz w:val="20"/>
          <w:szCs w:val="20"/>
        </w:rPr>
        <w:t xml:space="preserve">trực tiếp văn bản thông báo </w:t>
      </w:r>
      <w:r w:rsidRPr="00284698">
        <w:rPr>
          <w:rFonts w:ascii="Arial" w:hAnsi="Arial" w:cs="Arial"/>
          <w:bCs/>
          <w:color w:val="000000" w:themeColor="text1"/>
          <w:sz w:val="20"/>
          <w:szCs w:val="20"/>
        </w:rPr>
        <w:t xml:space="preserve">cho bên bảo đảm, người đang giữ tài sản bảo đảm (nếu có) hoặc thông qua ủy quyền, dịch vụ bưu chính, phương tiện điện tử dưới hình thức thông điệp dữ liệu hoặc phương thức khác theo các thông tin, địa chỉ do bên bảo đảm, người đang giữ tài sản bảo đảm cung cấp. </w:t>
      </w:r>
    </w:p>
    <w:p w14:paraId="5C44A37D"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rPr>
        <w:t xml:space="preserve">Trường hợp bên bảo đảm, người đang giữ tài sản bảo đảm (nếu có) thay đổi địa chỉ mà không thông báo cho bên nhận bảo đảm biết thì địa chỉ của bên bảo đảm, người đang giữ tài sản bảo đảm được xác định theo địa chỉ đã được các bên này cung cấp trước đó theo hợp đồng bảo đảm hoặc theo thông tin được lưu trữ tại cơ quan đăng ký biện pháp bảo đảm. </w:t>
      </w:r>
    </w:p>
    <w:p w14:paraId="5040CC7A"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rPr>
      </w:pPr>
      <w:r w:rsidRPr="00284698">
        <w:rPr>
          <w:rFonts w:ascii="Arial" w:hAnsi="Arial" w:cs="Arial"/>
          <w:bCs/>
          <w:color w:val="000000" w:themeColor="text1"/>
          <w:sz w:val="20"/>
          <w:szCs w:val="20"/>
          <w:lang w:val="sv-SE"/>
        </w:rPr>
        <w:t xml:space="preserve">5. </w:t>
      </w:r>
      <w:r w:rsidRPr="00284698">
        <w:rPr>
          <w:rFonts w:ascii="Arial" w:hAnsi="Arial" w:cs="Arial"/>
          <w:iCs/>
          <w:color w:val="000000" w:themeColor="text1"/>
          <w:sz w:val="20"/>
          <w:szCs w:val="20"/>
          <w:lang w:val="sv-SE"/>
        </w:rPr>
        <w:t>Ủy ban nhân dân cấp xã</w:t>
      </w:r>
      <w:r w:rsidRPr="00284698">
        <w:rPr>
          <w:rFonts w:ascii="Arial" w:hAnsi="Arial" w:cs="Arial"/>
          <w:bCs/>
          <w:color w:val="000000" w:themeColor="text1"/>
          <w:sz w:val="20"/>
          <w:szCs w:val="20"/>
          <w:lang w:val="sv-SE"/>
        </w:rPr>
        <w:t xml:space="preserve"> và cơ quan Công an cấp xã</w:t>
      </w:r>
      <w:r w:rsidRPr="00284698">
        <w:rPr>
          <w:rFonts w:ascii="Arial" w:hAnsi="Arial" w:cs="Arial"/>
          <w:b/>
          <w:bCs/>
          <w:i/>
          <w:color w:val="000000" w:themeColor="text1"/>
          <w:sz w:val="20"/>
          <w:szCs w:val="20"/>
          <w:lang w:val="sv-SE"/>
        </w:rPr>
        <w:t xml:space="preserve"> </w:t>
      </w:r>
      <w:r w:rsidRPr="00284698">
        <w:rPr>
          <w:rFonts w:ascii="Arial" w:hAnsi="Arial" w:cs="Arial"/>
          <w:bCs/>
          <w:color w:val="000000" w:themeColor="text1"/>
          <w:sz w:val="20"/>
          <w:szCs w:val="20"/>
          <w:lang w:val="sv-SE"/>
        </w:rPr>
        <w:t>nơi tiến hành thu giữ tài sản bảo đảm, trong phạm vi chức năng, nhiệm vụ, quyền hạn của mình, thực hiện việc bảo đảm an ninh, trật tự, an toàn xã hội trong quá trình thu giữ tài sản bảo đảm.</w:t>
      </w:r>
    </w:p>
    <w:p w14:paraId="60F13B89"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lang w:val="sv-SE"/>
        </w:rPr>
      </w:pPr>
      <w:r w:rsidRPr="00284698">
        <w:rPr>
          <w:rFonts w:ascii="Arial" w:hAnsi="Arial" w:cs="Arial"/>
          <w:bCs/>
          <w:color w:val="000000" w:themeColor="text1"/>
          <w:sz w:val="20"/>
          <w:szCs w:val="20"/>
          <w:lang w:val="sv-SE"/>
        </w:rPr>
        <w:t>Trường hợp bên bảo đảm không hợp tác hoặc không có mặt theo thông báo của tổ chức tín dụng, chi nhánh ngân hàng nước ngoài, tổ chức mua bán, xử lý nợ, đại diện Ủy ban nhân dân cấp xã nơi tiến hành thu giữ tài sản bảo đảm tham gia chứng kiến và ký biên bản thu giữ tài sản bảo đảm.</w:t>
      </w:r>
    </w:p>
    <w:p w14:paraId="2185E118"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lang w:val="sv-SE"/>
        </w:rPr>
      </w:pPr>
      <w:r w:rsidRPr="00284698">
        <w:rPr>
          <w:rFonts w:ascii="Arial" w:hAnsi="Arial" w:cs="Arial"/>
          <w:color w:val="000000" w:themeColor="text1"/>
          <w:sz w:val="20"/>
          <w:szCs w:val="20"/>
          <w:lang w:val="sv-SE"/>
        </w:rPr>
        <w:t xml:space="preserve">6. Tổ chức tín dụng chỉ được ủy quyền thu giữ tài sản bảo đảm cho công ty quản lý nợ và khai thác tài sản của tổ chức tín dụng đó; tổ chức mua bán, xử lý nợ chỉ được ủy quyền thu giữ tài sản bảo đảm cho tổ chức tín dụng bán nợ, công ty quản lý nợ và khai thác tài sản của tổ chức tín dụng bán nợ; tổ chức tín dụng được chuyển giao bắt buộc được ủy quyền thu giữ tài sản bảo đảm cho tổ chức tín dụng nhận chuyển giao bắt buộc hoặc công ty quản lý nợ và khai thác tài sản của tổ chức tín dụng nhận chuyển giao bắt buộc. </w:t>
      </w:r>
    </w:p>
    <w:p w14:paraId="281925E5" w14:textId="77777777" w:rsidR="00284698" w:rsidRPr="00284698" w:rsidRDefault="00284698" w:rsidP="00284698">
      <w:pPr>
        <w:adjustRightInd w:val="0"/>
        <w:snapToGrid w:val="0"/>
        <w:spacing w:after="120" w:line="240" w:lineRule="auto"/>
        <w:ind w:firstLine="720"/>
        <w:jc w:val="both"/>
        <w:rPr>
          <w:rFonts w:ascii="Arial" w:hAnsi="Arial" w:cs="Arial"/>
          <w:bCs/>
          <w:iCs/>
          <w:color w:val="000000" w:themeColor="text1"/>
          <w:sz w:val="20"/>
          <w:szCs w:val="20"/>
          <w:lang w:val="sv-SE"/>
        </w:rPr>
      </w:pPr>
      <w:r w:rsidRPr="00284698">
        <w:rPr>
          <w:rFonts w:ascii="Arial" w:hAnsi="Arial" w:cs="Arial"/>
          <w:color w:val="000000" w:themeColor="text1"/>
          <w:sz w:val="20"/>
          <w:szCs w:val="20"/>
          <w:lang w:val="sv-SE"/>
        </w:rPr>
        <w:t>Trong quá trình thu giữ tài sản bảo đảm, tổ chức tín dụng, chi nhánh ngân hàng nước ngoài, tổ chức mua bán, xử lý nợ, tổ chức được ủy quyền thu giữ tài sản bảo đảm theo quy định tại khoản này không được áp dụng các biện pháp vi phạm điều cấm của pháp luật,</w:t>
      </w:r>
      <w:r w:rsidRPr="00284698">
        <w:rPr>
          <w:rFonts w:ascii="Arial" w:hAnsi="Arial" w:cs="Arial"/>
          <w:bCs/>
          <w:color w:val="000000" w:themeColor="text1"/>
          <w:sz w:val="20"/>
          <w:szCs w:val="20"/>
          <w:lang w:val="sv-SE"/>
        </w:rPr>
        <w:t xml:space="preserve"> </w:t>
      </w:r>
      <w:r w:rsidRPr="00284698">
        <w:rPr>
          <w:rFonts w:ascii="Arial" w:hAnsi="Arial" w:cs="Arial"/>
          <w:bCs/>
          <w:iCs/>
          <w:color w:val="000000" w:themeColor="text1"/>
          <w:sz w:val="20"/>
          <w:szCs w:val="20"/>
          <w:lang w:val="sv-SE"/>
        </w:rPr>
        <w:t>trái đạo đức xã hội.</w:t>
      </w:r>
    </w:p>
    <w:p w14:paraId="67CF834D" w14:textId="77777777" w:rsidR="00284698" w:rsidRPr="00284698" w:rsidRDefault="00284698" w:rsidP="00284698">
      <w:pPr>
        <w:adjustRightInd w:val="0"/>
        <w:snapToGrid w:val="0"/>
        <w:spacing w:after="120" w:line="240" w:lineRule="auto"/>
        <w:ind w:firstLine="720"/>
        <w:jc w:val="both"/>
        <w:rPr>
          <w:rFonts w:ascii="Arial" w:hAnsi="Arial" w:cs="Arial"/>
          <w:bCs/>
          <w:color w:val="000000" w:themeColor="text1"/>
          <w:sz w:val="20"/>
          <w:szCs w:val="20"/>
          <w:lang w:val="sv-SE"/>
        </w:rPr>
      </w:pPr>
      <w:r w:rsidRPr="00284698">
        <w:rPr>
          <w:rFonts w:ascii="Arial" w:hAnsi="Arial" w:cs="Arial"/>
          <w:bCs/>
          <w:iCs/>
          <w:color w:val="000000" w:themeColor="text1"/>
          <w:sz w:val="20"/>
          <w:szCs w:val="20"/>
          <w:lang w:val="sv-SE"/>
        </w:rPr>
        <w:t>7. Căn cứ quy định của Luật này và quy định khác của pháp luật có liên quan, tổ chức tín dụng</w:t>
      </w:r>
      <w:r w:rsidRPr="00284698">
        <w:rPr>
          <w:rFonts w:ascii="Arial" w:hAnsi="Arial" w:cs="Arial"/>
          <w:color w:val="000000" w:themeColor="text1"/>
          <w:sz w:val="20"/>
          <w:szCs w:val="20"/>
          <w:lang w:val="sv-SE"/>
        </w:rPr>
        <w:t>, chi nhánh ngân hàng nước ngoài, tổ chức mua bán, xử lý nợ</w:t>
      </w:r>
      <w:r w:rsidRPr="00284698">
        <w:rPr>
          <w:rFonts w:ascii="Arial" w:hAnsi="Arial" w:cs="Arial"/>
          <w:bCs/>
          <w:iCs/>
          <w:color w:val="000000" w:themeColor="text1"/>
          <w:sz w:val="20"/>
          <w:szCs w:val="20"/>
          <w:lang w:val="sv-SE"/>
        </w:rPr>
        <w:t xml:space="preserve"> phải xây dựng và ban hành quy định nội bộ về </w:t>
      </w:r>
      <w:r w:rsidRPr="00284698">
        <w:rPr>
          <w:rFonts w:ascii="Arial" w:hAnsi="Arial" w:cs="Arial"/>
          <w:color w:val="000000" w:themeColor="text1"/>
          <w:sz w:val="20"/>
          <w:szCs w:val="20"/>
          <w:lang w:val="sv-SE"/>
        </w:rPr>
        <w:t>trình tự, thủ tục</w:t>
      </w:r>
      <w:r w:rsidRPr="00284698">
        <w:rPr>
          <w:rFonts w:ascii="Arial" w:hAnsi="Arial" w:cs="Arial"/>
          <w:bCs/>
          <w:iCs/>
          <w:color w:val="000000" w:themeColor="text1"/>
          <w:sz w:val="20"/>
          <w:szCs w:val="20"/>
          <w:lang w:val="sv-SE"/>
        </w:rPr>
        <w:t xml:space="preserve"> thực hiện thu giữ tài sản bảo đảm, bao gồm cả quy định khi thực hiện việc ủy quyền thu giữ tài sản bảo đảm quy định tại khoản 6 Điều này. </w:t>
      </w:r>
    </w:p>
    <w:p w14:paraId="1EED1B42" w14:textId="77777777" w:rsidR="00284698" w:rsidRPr="00284698" w:rsidRDefault="00284698" w:rsidP="00284698">
      <w:pPr>
        <w:adjustRightInd w:val="0"/>
        <w:snapToGrid w:val="0"/>
        <w:spacing w:after="120" w:line="240" w:lineRule="auto"/>
        <w:ind w:firstLine="720"/>
        <w:jc w:val="both"/>
        <w:rPr>
          <w:rFonts w:ascii="Arial" w:hAnsi="Arial" w:cs="Arial"/>
          <w:b/>
          <w:bCs/>
          <w:iCs/>
          <w:color w:val="000000" w:themeColor="text1"/>
          <w:sz w:val="20"/>
          <w:szCs w:val="20"/>
        </w:rPr>
      </w:pPr>
      <w:r w:rsidRPr="00284698">
        <w:rPr>
          <w:rFonts w:ascii="Arial" w:hAnsi="Arial" w:cs="Arial"/>
          <w:b/>
          <w:bCs/>
          <w:color w:val="000000" w:themeColor="text1"/>
          <w:sz w:val="20"/>
          <w:szCs w:val="20"/>
          <w:lang w:val="sv-SE"/>
        </w:rPr>
        <w:lastRenderedPageBreak/>
        <w:t xml:space="preserve">Điều 198b. </w:t>
      </w:r>
      <w:bookmarkStart w:id="5" w:name="_Hlk190909138"/>
      <w:r w:rsidRPr="00284698">
        <w:rPr>
          <w:rFonts w:ascii="Arial" w:hAnsi="Arial" w:cs="Arial"/>
          <w:b/>
          <w:bCs/>
          <w:color w:val="000000" w:themeColor="text1"/>
          <w:sz w:val="20"/>
          <w:szCs w:val="20"/>
          <w:lang w:val="sv-SE"/>
        </w:rPr>
        <w:t>Kê biên tài sản của bên</w:t>
      </w:r>
      <w:r w:rsidRPr="00284698">
        <w:rPr>
          <w:rFonts w:ascii="Arial" w:hAnsi="Arial" w:cs="Arial"/>
          <w:b/>
          <w:bCs/>
          <w:i/>
          <w:color w:val="000000" w:themeColor="text1"/>
          <w:sz w:val="20"/>
          <w:szCs w:val="20"/>
          <w:lang w:val="sv-SE"/>
        </w:rPr>
        <w:t xml:space="preserve"> </w:t>
      </w:r>
      <w:r w:rsidRPr="00284698">
        <w:rPr>
          <w:rFonts w:ascii="Arial" w:hAnsi="Arial" w:cs="Arial"/>
          <w:b/>
          <w:bCs/>
          <w:color w:val="000000" w:themeColor="text1"/>
          <w:sz w:val="20"/>
          <w:szCs w:val="20"/>
          <w:lang w:val="sv-SE"/>
        </w:rPr>
        <w:t xml:space="preserve">phải thi hành án </w:t>
      </w:r>
      <w:bookmarkEnd w:id="5"/>
      <w:r w:rsidRPr="00284698">
        <w:rPr>
          <w:rFonts w:ascii="Arial" w:hAnsi="Arial" w:cs="Arial"/>
          <w:b/>
          <w:bCs/>
          <w:color w:val="000000" w:themeColor="text1"/>
          <w:sz w:val="20"/>
          <w:szCs w:val="20"/>
          <w:lang w:val="sv-SE"/>
        </w:rPr>
        <w:t>đang được sử dụng làm tài sản bảo đảm cho khoản nợ xấu</w:t>
      </w:r>
    </w:p>
    <w:p w14:paraId="093B773D" w14:textId="77777777" w:rsidR="00284698" w:rsidRPr="00284698" w:rsidRDefault="00284698" w:rsidP="00284698">
      <w:pPr>
        <w:adjustRightInd w:val="0"/>
        <w:snapToGrid w:val="0"/>
        <w:spacing w:after="120" w:line="240" w:lineRule="auto"/>
        <w:ind w:firstLine="720"/>
        <w:jc w:val="both"/>
        <w:rPr>
          <w:rFonts w:ascii="Arial" w:hAnsi="Arial" w:cs="Arial"/>
          <w:bCs/>
          <w:iCs/>
          <w:color w:val="000000" w:themeColor="text1"/>
          <w:sz w:val="20"/>
          <w:szCs w:val="20"/>
        </w:rPr>
      </w:pPr>
      <w:r w:rsidRPr="00284698">
        <w:rPr>
          <w:rFonts w:ascii="Arial" w:hAnsi="Arial" w:cs="Arial"/>
          <w:bCs/>
          <w:iCs/>
          <w:color w:val="000000" w:themeColor="text1"/>
          <w:sz w:val="20"/>
          <w:szCs w:val="20"/>
        </w:rPr>
        <w:t>Tài sản của bên phải thi hành án đang được sử dụng làm tài sản bảo đảm cho khoản nợ xấu tại tổ chức tín dụng, chi nhánh ngân hàng nước ngoài, tổ chức mua bán, xử lý nợ bị kê biên, xử lý theo quy định của pháp luật về thi hành án dân sự khi thuộc một trong các trường hợp sau đây:</w:t>
      </w:r>
    </w:p>
    <w:p w14:paraId="495A24D8" w14:textId="77777777" w:rsidR="00284698" w:rsidRPr="00284698" w:rsidRDefault="00284698" w:rsidP="00284698">
      <w:pPr>
        <w:adjustRightInd w:val="0"/>
        <w:snapToGrid w:val="0"/>
        <w:spacing w:after="120" w:line="240" w:lineRule="auto"/>
        <w:ind w:firstLine="720"/>
        <w:jc w:val="both"/>
        <w:rPr>
          <w:rFonts w:ascii="Arial" w:hAnsi="Arial" w:cs="Arial"/>
          <w:bCs/>
          <w:iCs/>
          <w:color w:val="000000" w:themeColor="text1"/>
          <w:sz w:val="20"/>
          <w:szCs w:val="20"/>
        </w:rPr>
      </w:pPr>
      <w:r w:rsidRPr="00284698">
        <w:rPr>
          <w:rFonts w:ascii="Arial" w:hAnsi="Arial" w:cs="Arial"/>
          <w:bCs/>
          <w:iCs/>
          <w:color w:val="000000" w:themeColor="text1"/>
          <w:sz w:val="20"/>
          <w:szCs w:val="20"/>
        </w:rPr>
        <w:t>1. Hợp đồng bảo đảm đã được ký kết và phát sinh hiệu lực sau thời điểm bản án, quyết định của Tòa án có hiệu lực pháp luật;</w:t>
      </w:r>
    </w:p>
    <w:p w14:paraId="22444976" w14:textId="77777777" w:rsidR="00284698" w:rsidRPr="00284698" w:rsidRDefault="00284698" w:rsidP="00284698">
      <w:pPr>
        <w:adjustRightInd w:val="0"/>
        <w:snapToGrid w:val="0"/>
        <w:spacing w:after="120" w:line="240" w:lineRule="auto"/>
        <w:ind w:firstLine="720"/>
        <w:jc w:val="both"/>
        <w:rPr>
          <w:rFonts w:ascii="Arial" w:hAnsi="Arial" w:cs="Arial"/>
          <w:bCs/>
          <w:iCs/>
          <w:color w:val="000000" w:themeColor="text1"/>
          <w:sz w:val="20"/>
          <w:szCs w:val="20"/>
        </w:rPr>
      </w:pPr>
      <w:r w:rsidRPr="00284698">
        <w:rPr>
          <w:rFonts w:ascii="Arial" w:hAnsi="Arial" w:cs="Arial"/>
          <w:color w:val="000000" w:themeColor="text1"/>
          <w:sz w:val="20"/>
          <w:szCs w:val="20"/>
        </w:rPr>
        <w:t>2.</w:t>
      </w:r>
      <w:r w:rsidRPr="00284698">
        <w:rPr>
          <w:rFonts w:ascii="Arial" w:hAnsi="Arial" w:cs="Arial"/>
          <w:b/>
          <w:bCs/>
          <w:iCs/>
          <w:color w:val="000000" w:themeColor="text1"/>
          <w:sz w:val="20"/>
          <w:szCs w:val="20"/>
        </w:rPr>
        <w:t xml:space="preserve"> </w:t>
      </w:r>
      <w:r w:rsidRPr="00284698">
        <w:rPr>
          <w:rFonts w:ascii="Arial" w:hAnsi="Arial" w:cs="Arial"/>
          <w:bCs/>
          <w:iCs/>
          <w:color w:val="000000" w:themeColor="text1"/>
          <w:sz w:val="20"/>
          <w:szCs w:val="20"/>
        </w:rPr>
        <w:t>Thi hành bản án, quyết định về cấp dưỡng, bồi thường thiệt hại về tính mạng, sức khoẻ;</w:t>
      </w:r>
    </w:p>
    <w:p w14:paraId="30C30949" w14:textId="77777777" w:rsidR="00284698" w:rsidRPr="00284698" w:rsidRDefault="00284698" w:rsidP="00284698">
      <w:pPr>
        <w:adjustRightInd w:val="0"/>
        <w:snapToGrid w:val="0"/>
        <w:spacing w:after="120" w:line="240" w:lineRule="auto"/>
        <w:ind w:firstLine="720"/>
        <w:jc w:val="both"/>
        <w:rPr>
          <w:rFonts w:ascii="Arial" w:hAnsi="Arial" w:cs="Arial"/>
          <w:bCs/>
          <w:iCs/>
          <w:color w:val="000000" w:themeColor="text1"/>
          <w:sz w:val="20"/>
          <w:szCs w:val="20"/>
        </w:rPr>
      </w:pPr>
      <w:r w:rsidRPr="00284698">
        <w:rPr>
          <w:rFonts w:ascii="Arial" w:hAnsi="Arial" w:cs="Arial"/>
          <w:bCs/>
          <w:iCs/>
          <w:color w:val="000000" w:themeColor="text1"/>
          <w:sz w:val="20"/>
          <w:szCs w:val="20"/>
        </w:rPr>
        <w:t xml:space="preserve">3. </w:t>
      </w:r>
      <w:r w:rsidRPr="00284698">
        <w:rPr>
          <w:rFonts w:ascii="Arial" w:hAnsi="Arial" w:cs="Arial"/>
          <w:iCs/>
          <w:color w:val="000000" w:themeColor="text1"/>
          <w:sz w:val="20"/>
          <w:szCs w:val="20"/>
        </w:rPr>
        <w:t>C</w:t>
      </w:r>
      <w:r w:rsidRPr="00284698">
        <w:rPr>
          <w:rFonts w:ascii="Arial" w:hAnsi="Arial" w:cs="Arial"/>
          <w:bCs/>
          <w:iCs/>
          <w:color w:val="000000" w:themeColor="text1"/>
          <w:sz w:val="20"/>
          <w:szCs w:val="20"/>
        </w:rPr>
        <w:t>ó sự đồng ý bằng văn bản của tổ chức tín dụng, chi nhánh ngân hàng nước ngoài, tổ chức mua bán, xử lý nợ.</w:t>
      </w:r>
    </w:p>
    <w:p w14:paraId="4548120E" w14:textId="77777777" w:rsidR="00284698" w:rsidRPr="00284698" w:rsidRDefault="00284698" w:rsidP="00284698">
      <w:pPr>
        <w:adjustRightInd w:val="0"/>
        <w:snapToGrid w:val="0"/>
        <w:spacing w:after="120" w:line="240" w:lineRule="auto"/>
        <w:ind w:firstLine="720"/>
        <w:jc w:val="both"/>
        <w:rPr>
          <w:rFonts w:ascii="Arial" w:hAnsi="Arial" w:cs="Arial"/>
          <w:b/>
          <w:bCs/>
          <w:iCs/>
          <w:color w:val="000000" w:themeColor="text1"/>
          <w:sz w:val="20"/>
          <w:szCs w:val="20"/>
        </w:rPr>
      </w:pPr>
      <w:r w:rsidRPr="00284698">
        <w:rPr>
          <w:rFonts w:ascii="Arial" w:hAnsi="Arial" w:cs="Arial"/>
          <w:b/>
          <w:bCs/>
          <w:iCs/>
          <w:color w:val="000000" w:themeColor="text1"/>
          <w:sz w:val="20"/>
          <w:szCs w:val="20"/>
        </w:rPr>
        <w:t>Điều 198c. Hoàn trả tài sản bảo đảm là vật chứng trong vụ án hình sự</w:t>
      </w:r>
    </w:p>
    <w:p w14:paraId="78E9896F" w14:textId="77777777" w:rsidR="00284698" w:rsidRPr="00284698" w:rsidRDefault="00284698" w:rsidP="00284698">
      <w:pPr>
        <w:adjustRightInd w:val="0"/>
        <w:snapToGrid w:val="0"/>
        <w:spacing w:after="120" w:line="240" w:lineRule="auto"/>
        <w:ind w:firstLine="720"/>
        <w:jc w:val="both"/>
        <w:rPr>
          <w:rFonts w:ascii="Arial" w:hAnsi="Arial" w:cs="Arial"/>
          <w:b/>
          <w:bCs/>
          <w:iCs/>
          <w:color w:val="000000" w:themeColor="text1"/>
          <w:sz w:val="20"/>
          <w:szCs w:val="20"/>
        </w:rPr>
      </w:pPr>
      <w:r w:rsidRPr="00284698">
        <w:rPr>
          <w:rFonts w:ascii="Arial" w:hAnsi="Arial" w:cs="Arial"/>
          <w:iCs/>
          <w:color w:val="000000" w:themeColor="text1"/>
          <w:sz w:val="20"/>
          <w:szCs w:val="20"/>
        </w:rPr>
        <w:t>1. Sau khi hoàn tất thủ tục xác định chứng cứ và xét thấy không ảnh hưởng đến việc xử lý vụ án và thi hành án</w:t>
      </w:r>
      <w:r w:rsidRPr="00284698">
        <w:rPr>
          <w:rFonts w:ascii="Arial" w:hAnsi="Arial" w:cs="Arial"/>
          <w:b/>
          <w:i/>
          <w:iCs/>
          <w:color w:val="000000" w:themeColor="text1"/>
          <w:sz w:val="20"/>
          <w:szCs w:val="20"/>
        </w:rPr>
        <w:t xml:space="preserve"> </w:t>
      </w:r>
      <w:r w:rsidRPr="00284698">
        <w:rPr>
          <w:rFonts w:ascii="Arial" w:hAnsi="Arial" w:cs="Arial"/>
          <w:iCs/>
          <w:color w:val="000000" w:themeColor="text1"/>
          <w:sz w:val="20"/>
          <w:szCs w:val="20"/>
        </w:rPr>
        <w:t xml:space="preserve">hình sự, cơ quan tiến hành tố tụng hoàn trả vật chứng trong vụ án hình sự là tài sản bảo đảm của khoản nợ xấu theo đề nghị của bên nhận bảo đảm là tổ chức tín dụng, chi nhánh ngân hàng nước ngoài, tổ chức mua bán, xử lý nợ nếu </w:t>
      </w:r>
      <w:r w:rsidRPr="00284698">
        <w:rPr>
          <w:rFonts w:ascii="Arial" w:hAnsi="Arial" w:cs="Arial"/>
          <w:bCs/>
          <w:color w:val="000000" w:themeColor="text1"/>
          <w:sz w:val="20"/>
          <w:szCs w:val="20"/>
          <w:lang w:val="sv-SE"/>
        </w:rPr>
        <w:t xml:space="preserve">hợp đồng bảo đảm có thỏa thuận về việc bên bảo đảm đồng ý cho bên nhận bảo đảm có quyền thu giữ tài sản bảo đảm của khoản nợ xấu khi xảy ra trường hợp xử lý tài sản bảo đảm theo quy định của pháp luật </w:t>
      </w:r>
      <w:r w:rsidRPr="00284698">
        <w:rPr>
          <w:rFonts w:ascii="Arial" w:hAnsi="Arial" w:cs="Arial"/>
          <w:bCs/>
          <w:iCs/>
          <w:color w:val="000000" w:themeColor="text1"/>
          <w:sz w:val="20"/>
          <w:szCs w:val="20"/>
        </w:rPr>
        <w:t>về bảo đảm thực hiện nghĩa vụ</w:t>
      </w:r>
      <w:r w:rsidRPr="00284698">
        <w:rPr>
          <w:rFonts w:ascii="Arial" w:hAnsi="Arial" w:cs="Arial"/>
          <w:iCs/>
          <w:color w:val="000000" w:themeColor="text1"/>
          <w:sz w:val="20"/>
          <w:szCs w:val="20"/>
        </w:rPr>
        <w:t>.</w:t>
      </w:r>
    </w:p>
    <w:p w14:paraId="324A6C2C" w14:textId="77777777" w:rsidR="00284698" w:rsidRPr="00284698" w:rsidRDefault="00284698" w:rsidP="00284698">
      <w:pPr>
        <w:adjustRightInd w:val="0"/>
        <w:snapToGrid w:val="0"/>
        <w:spacing w:after="120" w:line="240" w:lineRule="auto"/>
        <w:ind w:firstLine="720"/>
        <w:jc w:val="both"/>
        <w:rPr>
          <w:rFonts w:ascii="Arial" w:hAnsi="Arial" w:cs="Arial"/>
          <w:b/>
          <w:bCs/>
          <w:iCs/>
          <w:color w:val="000000" w:themeColor="text1"/>
          <w:sz w:val="20"/>
          <w:szCs w:val="20"/>
        </w:rPr>
      </w:pPr>
      <w:r w:rsidRPr="00284698">
        <w:rPr>
          <w:rFonts w:ascii="Arial" w:hAnsi="Arial" w:cs="Arial"/>
          <w:color w:val="000000" w:themeColor="text1"/>
          <w:sz w:val="20"/>
          <w:szCs w:val="20"/>
        </w:rPr>
        <w:t>2. Việc xử lý tài sản bảo đảm sau khi được hoàn trả theo quy định tại khoản 1 Điều này được thực hiện theo quy định của pháp luật về bảo đảm thực hiện nghĩa vụ.”.</w:t>
      </w:r>
    </w:p>
    <w:p w14:paraId="6C24AFC5" w14:textId="77777777" w:rsidR="00284698" w:rsidRPr="00284698" w:rsidRDefault="00284698" w:rsidP="00284698">
      <w:pPr>
        <w:adjustRightInd w:val="0"/>
        <w:snapToGrid w:val="0"/>
        <w:spacing w:after="120" w:line="240" w:lineRule="auto"/>
        <w:ind w:firstLine="720"/>
        <w:jc w:val="both"/>
        <w:rPr>
          <w:rFonts w:ascii="Arial" w:hAnsi="Arial" w:cs="Arial"/>
          <w:b/>
          <w:i/>
          <w:color w:val="000000" w:themeColor="text1"/>
          <w:sz w:val="20"/>
          <w:szCs w:val="20"/>
        </w:rPr>
      </w:pPr>
      <w:r w:rsidRPr="00284698">
        <w:rPr>
          <w:rFonts w:ascii="Arial" w:hAnsi="Arial" w:cs="Arial"/>
          <w:color w:val="000000" w:themeColor="text1"/>
          <w:sz w:val="20"/>
          <w:szCs w:val="20"/>
        </w:rPr>
        <w:t>3. Bãi bỏ cụm từ “hoặc trong thời hạn 60 ngày kể từ ngày Thủ tướng Chính phủ quyết định việc cho vay đặc biệt theo quy định tại khoản 4 Điều này” tại khoản 3 Điều 169.</w:t>
      </w:r>
    </w:p>
    <w:p w14:paraId="567805F6"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color w:val="000000" w:themeColor="text1"/>
          <w:sz w:val="20"/>
          <w:szCs w:val="20"/>
        </w:rPr>
        <w:t>4. Bãi bỏ khoản 4 Điều 169, khoản 4 Điều 172, khoản 5 Điều 179, khoản 7 Điều 183 và khoản 4 Điều 193.</w:t>
      </w:r>
    </w:p>
    <w:p w14:paraId="55898FB3"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color w:val="000000" w:themeColor="text1"/>
          <w:sz w:val="20"/>
          <w:szCs w:val="20"/>
        </w:rPr>
        <w:t>5. Bãi bỏ cụm từ “, 5” tại khoản 4 Điều 180.</w:t>
      </w:r>
    </w:p>
    <w:p w14:paraId="195A9DFF"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b/>
          <w:bCs/>
          <w:color w:val="000000" w:themeColor="text1"/>
          <w:sz w:val="20"/>
          <w:szCs w:val="20"/>
        </w:rPr>
        <w:t xml:space="preserve">Điều 2. Điều khoản thi hành </w:t>
      </w:r>
    </w:p>
    <w:p w14:paraId="446BFC8E"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color w:val="000000" w:themeColor="text1"/>
          <w:sz w:val="20"/>
          <w:szCs w:val="20"/>
        </w:rPr>
        <w:t xml:space="preserve">1. Luật này có hiệu lực thi hành từ ngày 15 tháng 10 năm 2025. </w:t>
      </w:r>
    </w:p>
    <w:p w14:paraId="7DC4A0E9" w14:textId="77777777" w:rsidR="00284698" w:rsidRPr="00284698" w:rsidRDefault="00284698" w:rsidP="00284698">
      <w:pPr>
        <w:adjustRightInd w:val="0"/>
        <w:snapToGrid w:val="0"/>
        <w:spacing w:after="120" w:line="240" w:lineRule="auto"/>
        <w:ind w:firstLine="720"/>
        <w:jc w:val="both"/>
        <w:rPr>
          <w:rFonts w:ascii="Arial" w:hAnsi="Arial" w:cs="Arial"/>
          <w:b/>
          <w:bCs/>
          <w:color w:val="000000" w:themeColor="text1"/>
          <w:sz w:val="20"/>
          <w:szCs w:val="20"/>
        </w:rPr>
      </w:pPr>
      <w:r w:rsidRPr="00284698">
        <w:rPr>
          <w:rFonts w:ascii="Arial" w:hAnsi="Arial" w:cs="Arial"/>
          <w:color w:val="000000" w:themeColor="text1"/>
          <w:sz w:val="20"/>
          <w:szCs w:val="20"/>
        </w:rPr>
        <w:t>2. Chính phủ hướng dẫn thực hiện Luật này.</w:t>
      </w:r>
    </w:p>
    <w:p w14:paraId="7B5DF5DD" w14:textId="77777777" w:rsidR="00284698" w:rsidRPr="00284698" w:rsidRDefault="00284698" w:rsidP="00284698">
      <w:pPr>
        <w:adjustRightInd w:val="0"/>
        <w:snapToGrid w:val="0"/>
        <w:spacing w:after="120" w:line="240" w:lineRule="auto"/>
        <w:ind w:firstLine="720"/>
        <w:jc w:val="both"/>
        <w:rPr>
          <w:rFonts w:ascii="Arial" w:hAnsi="Arial" w:cs="Arial"/>
          <w:b/>
          <w:bCs/>
          <w:color w:val="000000" w:themeColor="text1"/>
          <w:sz w:val="20"/>
          <w:szCs w:val="20"/>
        </w:rPr>
      </w:pPr>
      <w:r w:rsidRPr="00284698">
        <w:rPr>
          <w:rFonts w:ascii="Arial" w:hAnsi="Arial" w:cs="Arial"/>
          <w:b/>
          <w:bCs/>
          <w:color w:val="000000" w:themeColor="text1"/>
          <w:sz w:val="20"/>
          <w:szCs w:val="20"/>
        </w:rPr>
        <w:t xml:space="preserve">Điều 3. </w:t>
      </w:r>
      <w:bookmarkStart w:id="6" w:name="_Hlk195135310"/>
      <w:r w:rsidRPr="00284698">
        <w:rPr>
          <w:rFonts w:ascii="Arial" w:hAnsi="Arial" w:cs="Arial"/>
          <w:b/>
          <w:bCs/>
          <w:color w:val="000000" w:themeColor="text1"/>
          <w:sz w:val="20"/>
          <w:szCs w:val="20"/>
        </w:rPr>
        <w:t>Quy định chuyển tiếp</w:t>
      </w:r>
    </w:p>
    <w:p w14:paraId="5EAE1CCA"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color w:val="000000" w:themeColor="text1"/>
          <w:sz w:val="20"/>
          <w:szCs w:val="20"/>
        </w:rPr>
        <w:t>1. Khoản vay đặc biệt của tổ chức tín dụng từ Ngân hàng Nhà nước đã được Thủ tướng Chính phủ quyết định trước ngày Luật này có hiệu lực thi hành được thực hiện như sau:</w:t>
      </w:r>
    </w:p>
    <w:p w14:paraId="589354D0"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color w:val="000000" w:themeColor="text1"/>
          <w:sz w:val="20"/>
          <w:szCs w:val="20"/>
        </w:rPr>
        <w:t>a) Các bên tiếp tục thực hiện theo Quyết định cho vay đặc biệt của Thủ tướng Chính phủ, hợp đồng cho vay đặc biệt đã ký;</w:t>
      </w:r>
    </w:p>
    <w:p w14:paraId="27298AD4"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color w:val="000000" w:themeColor="text1"/>
          <w:sz w:val="20"/>
          <w:szCs w:val="20"/>
        </w:rPr>
        <w:t>b) Ngân hàng Nhà nước xem xét gia hạn thời hạn vay đặc biệt với lãi suất 0%/năm theo quy định của Thống đốc Ngân hàng Nhà nước.</w:t>
      </w:r>
    </w:p>
    <w:p w14:paraId="7FBFA3A1"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color w:val="000000" w:themeColor="text1"/>
          <w:sz w:val="20"/>
          <w:szCs w:val="20"/>
        </w:rPr>
        <w:t xml:space="preserve">2. </w:t>
      </w:r>
      <w:bookmarkEnd w:id="6"/>
      <w:r w:rsidRPr="00284698">
        <w:rPr>
          <w:rFonts w:ascii="Arial" w:hAnsi="Arial" w:cs="Arial"/>
          <w:color w:val="000000" w:themeColor="text1"/>
          <w:sz w:val="20"/>
          <w:szCs w:val="20"/>
        </w:rPr>
        <w:t>Tài sản bảo đảm của khoản nợ xấu đã bị kê biên, xử lý theo quy định tại Điều 90 của Luật Thi hành án dân sự trước ngày Luật này có hiệu lực thi hành mà chưa xử lý xong thì được tiếp tục áp dụng quy định của pháp luật về thi hành án dân sự để thực hiện.</w:t>
      </w:r>
      <w:bookmarkEnd w:id="3"/>
    </w:p>
    <w:p w14:paraId="75F555AA" w14:textId="69018DB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vertAlign w:val="superscript"/>
          <w:lang w:val="en-GB"/>
        </w:rPr>
      </w:pPr>
      <w:r w:rsidRPr="00284698">
        <w:rPr>
          <w:rFonts w:ascii="Arial" w:hAnsi="Arial" w:cs="Arial"/>
          <w:color w:val="000000" w:themeColor="text1"/>
          <w:sz w:val="20"/>
          <w:szCs w:val="20"/>
        </w:rPr>
        <w:t xml:space="preserve"> </w:t>
      </w:r>
      <w:r w:rsidRPr="00552121">
        <w:rPr>
          <w:rFonts w:ascii="Arial" w:hAnsi="Arial" w:cs="Arial"/>
          <w:color w:val="000000" w:themeColor="text1"/>
          <w:sz w:val="20"/>
          <w:szCs w:val="20"/>
          <w:vertAlign w:val="superscript"/>
          <w:lang w:val="en-GB"/>
        </w:rPr>
        <w:t>__________________________________________________________________________</w:t>
      </w:r>
    </w:p>
    <w:p w14:paraId="5FE45676" w14:textId="77777777" w:rsidR="00284698" w:rsidRPr="00284698" w:rsidRDefault="00284698" w:rsidP="00284698">
      <w:pPr>
        <w:adjustRightInd w:val="0"/>
        <w:snapToGrid w:val="0"/>
        <w:spacing w:after="120" w:line="240" w:lineRule="auto"/>
        <w:ind w:firstLine="720"/>
        <w:jc w:val="both"/>
        <w:rPr>
          <w:rFonts w:ascii="Arial" w:hAnsi="Arial" w:cs="Arial"/>
          <w:color w:val="000000" w:themeColor="text1"/>
          <w:sz w:val="20"/>
          <w:szCs w:val="20"/>
        </w:rPr>
      </w:pPr>
      <w:r w:rsidRPr="00284698">
        <w:rPr>
          <w:rFonts w:ascii="Arial" w:hAnsi="Arial" w:cs="Arial"/>
          <w:i/>
          <w:iCs/>
          <w:color w:val="000000" w:themeColor="text1"/>
          <w:sz w:val="20"/>
          <w:szCs w:val="20"/>
        </w:rPr>
        <w:t>Luật này được Quốc hội nước Cộng hòa xã hội chủ nghĩa Việt Nam khóa XV, kỳ họp thứ 9 thông qua ngày 27 tháng 6 năm 2025.</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552121" w:rsidRPr="00552121" w14:paraId="4C5F03E8" w14:textId="77777777" w:rsidTr="004D5BEF">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5D5E8DF" w14:textId="77777777" w:rsidR="00284698" w:rsidRPr="00284698" w:rsidRDefault="00284698" w:rsidP="00284698">
            <w:pPr>
              <w:adjustRightInd w:val="0"/>
              <w:snapToGrid w:val="0"/>
              <w:spacing w:after="0" w:line="240" w:lineRule="auto"/>
              <w:rPr>
                <w:rFonts w:ascii="Arial" w:hAnsi="Arial" w:cs="Arial"/>
                <w:color w:val="000000" w:themeColor="text1"/>
                <w:sz w:val="20"/>
                <w:szCs w:val="20"/>
              </w:rPr>
            </w:pP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E6DFBBB" w14:textId="5B019D14" w:rsidR="00284698" w:rsidRPr="00284698" w:rsidRDefault="00284698" w:rsidP="00284698">
            <w:pPr>
              <w:adjustRightInd w:val="0"/>
              <w:snapToGrid w:val="0"/>
              <w:spacing w:after="0" w:line="240" w:lineRule="auto"/>
              <w:jc w:val="center"/>
              <w:rPr>
                <w:rFonts w:ascii="Arial" w:hAnsi="Arial" w:cs="Arial"/>
                <w:b/>
                <w:bCs/>
                <w:color w:val="000000" w:themeColor="text1"/>
                <w:sz w:val="20"/>
                <w:szCs w:val="20"/>
              </w:rPr>
            </w:pPr>
            <w:r w:rsidRPr="00284698">
              <w:rPr>
                <w:rFonts w:ascii="Arial" w:hAnsi="Arial" w:cs="Arial"/>
                <w:b/>
                <w:bCs/>
                <w:color w:val="000000" w:themeColor="text1"/>
                <w:sz w:val="20"/>
                <w:szCs w:val="20"/>
              </w:rPr>
              <w:t>CHỦ TỊCH QUỐC HỘI</w:t>
            </w:r>
            <w:r w:rsidRPr="00552121">
              <w:rPr>
                <w:rFonts w:ascii="Arial" w:hAnsi="Arial" w:cs="Arial"/>
                <w:b/>
                <w:bCs/>
                <w:color w:val="000000" w:themeColor="text1"/>
                <w:sz w:val="20"/>
                <w:szCs w:val="20"/>
              </w:rPr>
              <w:br/>
            </w:r>
            <w:r w:rsidRPr="00552121">
              <w:rPr>
                <w:rFonts w:ascii="Arial" w:hAnsi="Arial" w:cs="Arial"/>
                <w:b/>
                <w:bCs/>
                <w:color w:val="000000" w:themeColor="text1"/>
                <w:sz w:val="20"/>
                <w:szCs w:val="20"/>
                <w:lang w:val="en-GB"/>
              </w:rPr>
              <w:br/>
            </w:r>
            <w:r w:rsidRPr="00552121">
              <w:rPr>
                <w:rFonts w:ascii="Arial" w:hAnsi="Arial" w:cs="Arial"/>
                <w:b/>
                <w:bCs/>
                <w:color w:val="000000" w:themeColor="text1"/>
                <w:sz w:val="20"/>
                <w:szCs w:val="20"/>
                <w:lang w:val="en-GB"/>
              </w:rPr>
              <w:br/>
            </w:r>
            <w:r w:rsidRPr="00552121">
              <w:rPr>
                <w:rFonts w:ascii="Arial" w:hAnsi="Arial" w:cs="Arial"/>
                <w:b/>
                <w:bCs/>
                <w:color w:val="000000" w:themeColor="text1"/>
                <w:sz w:val="20"/>
                <w:szCs w:val="20"/>
                <w:lang w:val="en-GB"/>
              </w:rPr>
              <w:br/>
            </w:r>
            <w:r w:rsidRPr="00552121">
              <w:rPr>
                <w:rFonts w:ascii="Arial" w:hAnsi="Arial" w:cs="Arial"/>
                <w:b/>
                <w:bCs/>
                <w:color w:val="000000" w:themeColor="text1"/>
                <w:sz w:val="20"/>
                <w:szCs w:val="20"/>
                <w:lang w:val="en-GB"/>
              </w:rPr>
              <w:br/>
            </w:r>
            <w:r w:rsidRPr="00552121">
              <w:rPr>
                <w:rFonts w:ascii="Arial" w:hAnsi="Arial" w:cs="Arial"/>
                <w:b/>
                <w:bCs/>
                <w:color w:val="000000" w:themeColor="text1"/>
                <w:sz w:val="20"/>
                <w:szCs w:val="20"/>
                <w:lang w:val="en-GB"/>
              </w:rPr>
              <w:br/>
            </w:r>
            <w:r w:rsidRPr="00284698">
              <w:rPr>
                <w:rFonts w:ascii="Arial" w:hAnsi="Arial" w:cs="Arial"/>
                <w:b/>
                <w:bCs/>
                <w:color w:val="000000" w:themeColor="text1"/>
                <w:sz w:val="20"/>
                <w:szCs w:val="20"/>
              </w:rPr>
              <w:t>Trần Thanh Mẫn</w:t>
            </w:r>
          </w:p>
        </w:tc>
      </w:tr>
    </w:tbl>
    <w:p w14:paraId="7425C65A" w14:textId="77777777" w:rsidR="00284698" w:rsidRPr="00284698" w:rsidRDefault="00284698" w:rsidP="00284698">
      <w:pPr>
        <w:adjustRightInd w:val="0"/>
        <w:snapToGrid w:val="0"/>
        <w:spacing w:after="0" w:line="240" w:lineRule="auto"/>
        <w:rPr>
          <w:rFonts w:ascii="Arial" w:hAnsi="Arial" w:cs="Arial"/>
          <w:color w:val="000000" w:themeColor="text1"/>
          <w:sz w:val="20"/>
          <w:szCs w:val="20"/>
        </w:rPr>
      </w:pPr>
    </w:p>
    <w:p w14:paraId="1A91042A" w14:textId="77777777" w:rsidR="006B0611" w:rsidRPr="00552121" w:rsidRDefault="006B0611" w:rsidP="00284698">
      <w:pPr>
        <w:adjustRightInd w:val="0"/>
        <w:snapToGrid w:val="0"/>
        <w:spacing w:after="0" w:line="240" w:lineRule="auto"/>
        <w:rPr>
          <w:rFonts w:ascii="Arial" w:hAnsi="Arial" w:cs="Arial"/>
          <w:color w:val="000000" w:themeColor="text1"/>
          <w:sz w:val="20"/>
          <w:szCs w:val="20"/>
        </w:rPr>
      </w:pPr>
    </w:p>
    <w:sectPr w:rsidR="006B0611" w:rsidRPr="00552121" w:rsidSect="00284698">
      <w:pgSz w:w="11906" w:h="16838"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81C7A" w14:textId="77777777" w:rsidR="00701945" w:rsidRDefault="00701945">
      <w:pPr>
        <w:spacing w:after="0" w:line="240" w:lineRule="auto"/>
      </w:pPr>
      <w:r>
        <w:separator/>
      </w:r>
    </w:p>
  </w:endnote>
  <w:endnote w:type="continuationSeparator" w:id="0">
    <w:p w14:paraId="5078A7E9" w14:textId="77777777" w:rsidR="00701945" w:rsidRDefault="0070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4532F" w14:textId="77777777" w:rsidR="00701945" w:rsidRDefault="00701945">
      <w:pPr>
        <w:spacing w:after="0" w:line="240" w:lineRule="auto"/>
      </w:pPr>
      <w:r>
        <w:separator/>
      </w:r>
    </w:p>
  </w:footnote>
  <w:footnote w:type="continuationSeparator" w:id="0">
    <w:p w14:paraId="6125529F" w14:textId="77777777" w:rsidR="00701945" w:rsidRDefault="00701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CD"/>
    <w:rsid w:val="0000278B"/>
    <w:rsid w:val="00002A23"/>
    <w:rsid w:val="0002757B"/>
    <w:rsid w:val="0003401B"/>
    <w:rsid w:val="00034597"/>
    <w:rsid w:val="0005364E"/>
    <w:rsid w:val="0008044F"/>
    <w:rsid w:val="00091A8D"/>
    <w:rsid w:val="000937AA"/>
    <w:rsid w:val="00096062"/>
    <w:rsid w:val="000A180A"/>
    <w:rsid w:val="000E0F36"/>
    <w:rsid w:val="000E7C77"/>
    <w:rsid w:val="000F359A"/>
    <w:rsid w:val="000F391D"/>
    <w:rsid w:val="001626C8"/>
    <w:rsid w:val="0016638E"/>
    <w:rsid w:val="00177BAA"/>
    <w:rsid w:val="00186C97"/>
    <w:rsid w:val="00196084"/>
    <w:rsid w:val="0019624C"/>
    <w:rsid w:val="001A1274"/>
    <w:rsid w:val="001F6C32"/>
    <w:rsid w:val="001F7465"/>
    <w:rsid w:val="00245743"/>
    <w:rsid w:val="002503CD"/>
    <w:rsid w:val="00265722"/>
    <w:rsid w:val="00267B60"/>
    <w:rsid w:val="00274792"/>
    <w:rsid w:val="00284698"/>
    <w:rsid w:val="002C0EC0"/>
    <w:rsid w:val="002C32B0"/>
    <w:rsid w:val="002E227C"/>
    <w:rsid w:val="002F1977"/>
    <w:rsid w:val="00304628"/>
    <w:rsid w:val="003108DF"/>
    <w:rsid w:val="0032307C"/>
    <w:rsid w:val="0033578A"/>
    <w:rsid w:val="003456F7"/>
    <w:rsid w:val="00373811"/>
    <w:rsid w:val="00385C88"/>
    <w:rsid w:val="0039433F"/>
    <w:rsid w:val="003A50D8"/>
    <w:rsid w:val="003B4817"/>
    <w:rsid w:val="003C3412"/>
    <w:rsid w:val="003C4409"/>
    <w:rsid w:val="003D4B06"/>
    <w:rsid w:val="003E3D4D"/>
    <w:rsid w:val="00400715"/>
    <w:rsid w:val="004009AE"/>
    <w:rsid w:val="00434411"/>
    <w:rsid w:val="0049024E"/>
    <w:rsid w:val="00494F88"/>
    <w:rsid w:val="004A58FB"/>
    <w:rsid w:val="004B117B"/>
    <w:rsid w:val="004D1A37"/>
    <w:rsid w:val="004F442A"/>
    <w:rsid w:val="005105C8"/>
    <w:rsid w:val="0055121E"/>
    <w:rsid w:val="00552121"/>
    <w:rsid w:val="00573DC6"/>
    <w:rsid w:val="005807C9"/>
    <w:rsid w:val="00586EAB"/>
    <w:rsid w:val="005A0805"/>
    <w:rsid w:val="005C503E"/>
    <w:rsid w:val="006332C2"/>
    <w:rsid w:val="00634452"/>
    <w:rsid w:val="00644F85"/>
    <w:rsid w:val="00670412"/>
    <w:rsid w:val="0069426E"/>
    <w:rsid w:val="006B0611"/>
    <w:rsid w:val="006D7E9A"/>
    <w:rsid w:val="006E5B58"/>
    <w:rsid w:val="00701945"/>
    <w:rsid w:val="00712CFE"/>
    <w:rsid w:val="0073666A"/>
    <w:rsid w:val="00756260"/>
    <w:rsid w:val="00777C78"/>
    <w:rsid w:val="00781C77"/>
    <w:rsid w:val="00782EE9"/>
    <w:rsid w:val="007B385A"/>
    <w:rsid w:val="007C17F5"/>
    <w:rsid w:val="008013CF"/>
    <w:rsid w:val="00812194"/>
    <w:rsid w:val="008127AD"/>
    <w:rsid w:val="0084738A"/>
    <w:rsid w:val="0084773A"/>
    <w:rsid w:val="008836A8"/>
    <w:rsid w:val="00887A84"/>
    <w:rsid w:val="008A1983"/>
    <w:rsid w:val="008A46CF"/>
    <w:rsid w:val="008D4B1C"/>
    <w:rsid w:val="008E5D39"/>
    <w:rsid w:val="008F6FE6"/>
    <w:rsid w:val="00905288"/>
    <w:rsid w:val="00945E14"/>
    <w:rsid w:val="009523C8"/>
    <w:rsid w:val="00981817"/>
    <w:rsid w:val="00992F7B"/>
    <w:rsid w:val="009B047E"/>
    <w:rsid w:val="00A033C3"/>
    <w:rsid w:val="00A204B5"/>
    <w:rsid w:val="00A337AC"/>
    <w:rsid w:val="00A47E19"/>
    <w:rsid w:val="00A675D6"/>
    <w:rsid w:val="00A86B73"/>
    <w:rsid w:val="00AE2957"/>
    <w:rsid w:val="00AF2C28"/>
    <w:rsid w:val="00B12342"/>
    <w:rsid w:val="00B30A89"/>
    <w:rsid w:val="00B32E01"/>
    <w:rsid w:val="00B7051B"/>
    <w:rsid w:val="00B9722D"/>
    <w:rsid w:val="00BA5CE7"/>
    <w:rsid w:val="00BA61F6"/>
    <w:rsid w:val="00C03981"/>
    <w:rsid w:val="00C236A4"/>
    <w:rsid w:val="00C4237B"/>
    <w:rsid w:val="00C44B78"/>
    <w:rsid w:val="00C97605"/>
    <w:rsid w:val="00CA4912"/>
    <w:rsid w:val="00D122F6"/>
    <w:rsid w:val="00DF432B"/>
    <w:rsid w:val="00E14A40"/>
    <w:rsid w:val="00E35C72"/>
    <w:rsid w:val="00E46841"/>
    <w:rsid w:val="00E710AA"/>
    <w:rsid w:val="00EA6F54"/>
    <w:rsid w:val="00F05179"/>
    <w:rsid w:val="00F12985"/>
    <w:rsid w:val="00F12A4D"/>
    <w:rsid w:val="00F13231"/>
    <w:rsid w:val="00F22F8F"/>
    <w:rsid w:val="00F42E90"/>
    <w:rsid w:val="00F67A1E"/>
    <w:rsid w:val="00F77A4D"/>
    <w:rsid w:val="00F820CB"/>
    <w:rsid w:val="00FA68AD"/>
    <w:rsid w:val="00FD203F"/>
    <w:rsid w:val="00FD397C"/>
    <w:rsid w:val="00FD5A63"/>
    <w:rsid w:val="00FE05B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C562"/>
  <w15:chartTrackingRefBased/>
  <w15:docId w15:val="{8EF68A50-3AED-4790-BD7D-F8337C42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ptos"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3CD"/>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2503CD"/>
    <w:pPr>
      <w:keepNext/>
      <w:keepLines/>
      <w:spacing w:before="360" w:after="80" w:line="259" w:lineRule="auto"/>
      <w:outlineLvl w:val="0"/>
    </w:pPr>
    <w:rPr>
      <w:rFonts w:ascii="Aptos Display" w:eastAsia="Times New Roman" w:hAnsi="Aptos Display"/>
      <w:color w:val="0F4761"/>
      <w:kern w:val="2"/>
      <w:sz w:val="40"/>
      <w:szCs w:val="40"/>
      <w:lang w:val="en-US"/>
    </w:rPr>
  </w:style>
  <w:style w:type="paragraph" w:styleId="Heading2">
    <w:name w:val="heading 2"/>
    <w:basedOn w:val="Normal"/>
    <w:next w:val="Normal"/>
    <w:link w:val="Heading2Char"/>
    <w:uiPriority w:val="9"/>
    <w:semiHidden/>
    <w:unhideWhenUsed/>
    <w:qFormat/>
    <w:rsid w:val="002503CD"/>
    <w:pPr>
      <w:keepNext/>
      <w:keepLines/>
      <w:spacing w:before="160" w:after="80" w:line="259" w:lineRule="auto"/>
      <w:outlineLvl w:val="1"/>
    </w:pPr>
    <w:rPr>
      <w:rFonts w:ascii="Aptos Display" w:eastAsia="Times New Roman" w:hAnsi="Aptos Display"/>
      <w:color w:val="0F4761"/>
      <w:kern w:val="2"/>
      <w:sz w:val="32"/>
      <w:szCs w:val="32"/>
      <w:lang w:val="en-US"/>
    </w:rPr>
  </w:style>
  <w:style w:type="paragraph" w:styleId="Heading3">
    <w:name w:val="heading 3"/>
    <w:basedOn w:val="Normal"/>
    <w:next w:val="Normal"/>
    <w:link w:val="Heading3Char"/>
    <w:uiPriority w:val="9"/>
    <w:semiHidden/>
    <w:unhideWhenUsed/>
    <w:qFormat/>
    <w:rsid w:val="002503CD"/>
    <w:pPr>
      <w:keepNext/>
      <w:keepLines/>
      <w:spacing w:before="160" w:after="80" w:line="259" w:lineRule="auto"/>
      <w:outlineLvl w:val="2"/>
    </w:pPr>
    <w:rPr>
      <w:rFonts w:ascii="Aptos" w:eastAsia="Times New Roman" w:hAnsi="Aptos"/>
      <w:color w:val="0F4761"/>
      <w:kern w:val="2"/>
      <w:sz w:val="28"/>
      <w:szCs w:val="28"/>
      <w:lang w:val="en-US"/>
    </w:rPr>
  </w:style>
  <w:style w:type="paragraph" w:styleId="Heading4">
    <w:name w:val="heading 4"/>
    <w:basedOn w:val="Normal"/>
    <w:next w:val="Normal"/>
    <w:link w:val="Heading4Char"/>
    <w:uiPriority w:val="9"/>
    <w:semiHidden/>
    <w:unhideWhenUsed/>
    <w:qFormat/>
    <w:rsid w:val="002503CD"/>
    <w:pPr>
      <w:keepNext/>
      <w:keepLines/>
      <w:spacing w:before="80" w:after="40" w:line="259" w:lineRule="auto"/>
      <w:outlineLvl w:val="3"/>
    </w:pPr>
    <w:rPr>
      <w:rFonts w:ascii="Aptos" w:eastAsia="Times New Roman" w:hAnsi="Aptos"/>
      <w:i/>
      <w:iCs/>
      <w:color w:val="0F4761"/>
      <w:kern w:val="2"/>
      <w:sz w:val="28"/>
      <w:lang w:val="en-US"/>
    </w:rPr>
  </w:style>
  <w:style w:type="paragraph" w:styleId="Heading5">
    <w:name w:val="heading 5"/>
    <w:basedOn w:val="Normal"/>
    <w:next w:val="Normal"/>
    <w:link w:val="Heading5Char"/>
    <w:uiPriority w:val="9"/>
    <w:semiHidden/>
    <w:unhideWhenUsed/>
    <w:qFormat/>
    <w:rsid w:val="002503CD"/>
    <w:pPr>
      <w:keepNext/>
      <w:keepLines/>
      <w:spacing w:before="80" w:after="40" w:line="259" w:lineRule="auto"/>
      <w:outlineLvl w:val="4"/>
    </w:pPr>
    <w:rPr>
      <w:rFonts w:ascii="Aptos" w:eastAsia="Times New Roman" w:hAnsi="Aptos"/>
      <w:color w:val="0F4761"/>
      <w:kern w:val="2"/>
      <w:sz w:val="28"/>
      <w:lang w:val="en-US"/>
    </w:rPr>
  </w:style>
  <w:style w:type="paragraph" w:styleId="Heading6">
    <w:name w:val="heading 6"/>
    <w:basedOn w:val="Normal"/>
    <w:next w:val="Normal"/>
    <w:link w:val="Heading6Char"/>
    <w:uiPriority w:val="9"/>
    <w:semiHidden/>
    <w:unhideWhenUsed/>
    <w:qFormat/>
    <w:rsid w:val="002503CD"/>
    <w:pPr>
      <w:keepNext/>
      <w:keepLines/>
      <w:spacing w:before="40" w:after="0" w:line="259" w:lineRule="auto"/>
      <w:outlineLvl w:val="5"/>
    </w:pPr>
    <w:rPr>
      <w:rFonts w:ascii="Aptos" w:eastAsia="Times New Roman" w:hAnsi="Aptos"/>
      <w:i/>
      <w:iCs/>
      <w:color w:val="595959"/>
      <w:kern w:val="2"/>
      <w:sz w:val="28"/>
      <w:lang w:val="en-US"/>
    </w:rPr>
  </w:style>
  <w:style w:type="paragraph" w:styleId="Heading7">
    <w:name w:val="heading 7"/>
    <w:basedOn w:val="Normal"/>
    <w:next w:val="Normal"/>
    <w:link w:val="Heading7Char"/>
    <w:uiPriority w:val="9"/>
    <w:semiHidden/>
    <w:unhideWhenUsed/>
    <w:qFormat/>
    <w:rsid w:val="002503CD"/>
    <w:pPr>
      <w:keepNext/>
      <w:keepLines/>
      <w:spacing w:before="40" w:after="0" w:line="259" w:lineRule="auto"/>
      <w:outlineLvl w:val="6"/>
    </w:pPr>
    <w:rPr>
      <w:rFonts w:ascii="Aptos" w:eastAsia="Times New Roman" w:hAnsi="Aptos"/>
      <w:color w:val="595959"/>
      <w:kern w:val="2"/>
      <w:sz w:val="28"/>
      <w:lang w:val="en-US"/>
    </w:rPr>
  </w:style>
  <w:style w:type="paragraph" w:styleId="Heading8">
    <w:name w:val="heading 8"/>
    <w:basedOn w:val="Normal"/>
    <w:next w:val="Normal"/>
    <w:link w:val="Heading8Char"/>
    <w:uiPriority w:val="9"/>
    <w:semiHidden/>
    <w:unhideWhenUsed/>
    <w:qFormat/>
    <w:rsid w:val="002503CD"/>
    <w:pPr>
      <w:keepNext/>
      <w:keepLines/>
      <w:spacing w:after="0" w:line="259" w:lineRule="auto"/>
      <w:outlineLvl w:val="7"/>
    </w:pPr>
    <w:rPr>
      <w:rFonts w:ascii="Aptos" w:eastAsia="Times New Roman" w:hAnsi="Aptos"/>
      <w:i/>
      <w:iCs/>
      <w:color w:val="272727"/>
      <w:kern w:val="2"/>
      <w:sz w:val="28"/>
      <w:lang w:val="en-US"/>
    </w:rPr>
  </w:style>
  <w:style w:type="paragraph" w:styleId="Heading9">
    <w:name w:val="heading 9"/>
    <w:basedOn w:val="Normal"/>
    <w:next w:val="Normal"/>
    <w:link w:val="Heading9Char"/>
    <w:uiPriority w:val="9"/>
    <w:semiHidden/>
    <w:unhideWhenUsed/>
    <w:qFormat/>
    <w:rsid w:val="002503CD"/>
    <w:pPr>
      <w:keepNext/>
      <w:keepLines/>
      <w:spacing w:after="0" w:line="259" w:lineRule="auto"/>
      <w:outlineLvl w:val="8"/>
    </w:pPr>
    <w:rPr>
      <w:rFonts w:ascii="Aptos" w:eastAsia="Times New Roman" w:hAnsi="Aptos"/>
      <w:color w:val="272727"/>
      <w:kern w:val="2"/>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03CD"/>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2503CD"/>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2503CD"/>
    <w:rPr>
      <w:rFonts w:ascii="Aptos" w:eastAsia="Times New Roman" w:hAnsi="Aptos" w:cs="Times New Roman"/>
      <w:color w:val="0F4761"/>
      <w:szCs w:val="28"/>
    </w:rPr>
  </w:style>
  <w:style w:type="character" w:customStyle="1" w:styleId="Heading4Char">
    <w:name w:val="Heading 4 Char"/>
    <w:link w:val="Heading4"/>
    <w:uiPriority w:val="9"/>
    <w:semiHidden/>
    <w:rsid w:val="002503CD"/>
    <w:rPr>
      <w:rFonts w:ascii="Aptos" w:eastAsia="Times New Roman" w:hAnsi="Aptos" w:cs="Times New Roman"/>
      <w:i/>
      <w:iCs/>
      <w:color w:val="0F4761"/>
    </w:rPr>
  </w:style>
  <w:style w:type="character" w:customStyle="1" w:styleId="Heading5Char">
    <w:name w:val="Heading 5 Char"/>
    <w:link w:val="Heading5"/>
    <w:uiPriority w:val="9"/>
    <w:semiHidden/>
    <w:rsid w:val="002503CD"/>
    <w:rPr>
      <w:rFonts w:ascii="Aptos" w:eastAsia="Times New Roman" w:hAnsi="Aptos" w:cs="Times New Roman"/>
      <w:color w:val="0F4761"/>
    </w:rPr>
  </w:style>
  <w:style w:type="character" w:customStyle="1" w:styleId="Heading6Char">
    <w:name w:val="Heading 6 Char"/>
    <w:link w:val="Heading6"/>
    <w:uiPriority w:val="9"/>
    <w:semiHidden/>
    <w:rsid w:val="002503CD"/>
    <w:rPr>
      <w:rFonts w:ascii="Aptos" w:eastAsia="Times New Roman" w:hAnsi="Aptos" w:cs="Times New Roman"/>
      <w:i/>
      <w:iCs/>
      <w:color w:val="595959"/>
    </w:rPr>
  </w:style>
  <w:style w:type="character" w:customStyle="1" w:styleId="Heading7Char">
    <w:name w:val="Heading 7 Char"/>
    <w:link w:val="Heading7"/>
    <w:uiPriority w:val="9"/>
    <w:semiHidden/>
    <w:rsid w:val="002503CD"/>
    <w:rPr>
      <w:rFonts w:ascii="Aptos" w:eastAsia="Times New Roman" w:hAnsi="Aptos" w:cs="Times New Roman"/>
      <w:color w:val="595959"/>
    </w:rPr>
  </w:style>
  <w:style w:type="character" w:customStyle="1" w:styleId="Heading8Char">
    <w:name w:val="Heading 8 Char"/>
    <w:link w:val="Heading8"/>
    <w:uiPriority w:val="9"/>
    <w:semiHidden/>
    <w:rsid w:val="002503CD"/>
    <w:rPr>
      <w:rFonts w:ascii="Aptos" w:eastAsia="Times New Roman" w:hAnsi="Aptos" w:cs="Times New Roman"/>
      <w:i/>
      <w:iCs/>
      <w:color w:val="272727"/>
    </w:rPr>
  </w:style>
  <w:style w:type="character" w:customStyle="1" w:styleId="Heading9Char">
    <w:name w:val="Heading 9 Char"/>
    <w:link w:val="Heading9"/>
    <w:uiPriority w:val="9"/>
    <w:semiHidden/>
    <w:rsid w:val="002503CD"/>
    <w:rPr>
      <w:rFonts w:ascii="Aptos" w:eastAsia="Times New Roman" w:hAnsi="Aptos" w:cs="Times New Roman"/>
      <w:color w:val="272727"/>
    </w:rPr>
  </w:style>
  <w:style w:type="paragraph" w:styleId="Title">
    <w:name w:val="Title"/>
    <w:basedOn w:val="Normal"/>
    <w:next w:val="Normal"/>
    <w:link w:val="TitleChar"/>
    <w:uiPriority w:val="10"/>
    <w:qFormat/>
    <w:rsid w:val="002503CD"/>
    <w:pPr>
      <w:spacing w:after="80" w:line="240" w:lineRule="auto"/>
      <w:contextualSpacing/>
    </w:pPr>
    <w:rPr>
      <w:rFonts w:ascii="Aptos Display" w:eastAsia="Times New Roman" w:hAnsi="Aptos Display"/>
      <w:spacing w:val="-10"/>
      <w:kern w:val="28"/>
      <w:sz w:val="56"/>
      <w:szCs w:val="56"/>
      <w:lang w:val="en-US"/>
    </w:rPr>
  </w:style>
  <w:style w:type="character" w:customStyle="1" w:styleId="TitleChar">
    <w:name w:val="Title Char"/>
    <w:link w:val="Title"/>
    <w:uiPriority w:val="10"/>
    <w:rsid w:val="002503CD"/>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2503CD"/>
    <w:pPr>
      <w:numPr>
        <w:ilvl w:val="1"/>
      </w:numPr>
      <w:spacing w:after="160" w:line="259" w:lineRule="auto"/>
    </w:pPr>
    <w:rPr>
      <w:rFonts w:ascii="Aptos" w:eastAsia="Times New Roman" w:hAnsi="Aptos"/>
      <w:color w:val="595959"/>
      <w:spacing w:val="15"/>
      <w:kern w:val="2"/>
      <w:sz w:val="28"/>
      <w:szCs w:val="28"/>
      <w:lang w:val="en-US"/>
    </w:rPr>
  </w:style>
  <w:style w:type="character" w:customStyle="1" w:styleId="SubtitleChar">
    <w:name w:val="Subtitle Char"/>
    <w:link w:val="Subtitle"/>
    <w:uiPriority w:val="11"/>
    <w:rsid w:val="002503CD"/>
    <w:rPr>
      <w:rFonts w:ascii="Aptos" w:eastAsia="Times New Roman" w:hAnsi="Aptos" w:cs="Times New Roman"/>
      <w:color w:val="595959"/>
      <w:spacing w:val="15"/>
      <w:szCs w:val="28"/>
    </w:rPr>
  </w:style>
  <w:style w:type="paragraph" w:styleId="Quote">
    <w:name w:val="Quote"/>
    <w:basedOn w:val="Normal"/>
    <w:next w:val="Normal"/>
    <w:link w:val="QuoteChar"/>
    <w:uiPriority w:val="29"/>
    <w:qFormat/>
    <w:rsid w:val="002503CD"/>
    <w:pPr>
      <w:spacing w:before="160" w:after="160" w:line="259" w:lineRule="auto"/>
      <w:jc w:val="center"/>
    </w:pPr>
    <w:rPr>
      <w:rFonts w:ascii="Times New Roman" w:eastAsia="Aptos" w:hAnsi="Times New Roman"/>
      <w:i/>
      <w:iCs/>
      <w:color w:val="404040"/>
      <w:kern w:val="2"/>
      <w:sz w:val="28"/>
      <w:lang w:val="en-US"/>
    </w:rPr>
  </w:style>
  <w:style w:type="character" w:customStyle="1" w:styleId="QuoteChar">
    <w:name w:val="Quote Char"/>
    <w:link w:val="Quote"/>
    <w:uiPriority w:val="29"/>
    <w:rsid w:val="002503CD"/>
    <w:rPr>
      <w:i/>
      <w:iCs/>
      <w:color w:val="404040"/>
    </w:rPr>
  </w:style>
  <w:style w:type="paragraph" w:styleId="ListParagraph">
    <w:name w:val="List Paragraph"/>
    <w:basedOn w:val="Normal"/>
    <w:uiPriority w:val="34"/>
    <w:qFormat/>
    <w:rsid w:val="002503CD"/>
    <w:pPr>
      <w:spacing w:after="160" w:line="259" w:lineRule="auto"/>
      <w:ind w:left="720"/>
      <w:contextualSpacing/>
    </w:pPr>
    <w:rPr>
      <w:rFonts w:ascii="Times New Roman" w:eastAsia="Aptos" w:hAnsi="Times New Roman"/>
      <w:kern w:val="2"/>
      <w:sz w:val="28"/>
      <w:lang w:val="en-US"/>
    </w:rPr>
  </w:style>
  <w:style w:type="character" w:styleId="IntenseEmphasis">
    <w:name w:val="Intense Emphasis"/>
    <w:uiPriority w:val="21"/>
    <w:qFormat/>
    <w:rsid w:val="002503CD"/>
    <w:rPr>
      <w:i/>
      <w:iCs/>
      <w:color w:val="0F4761"/>
    </w:rPr>
  </w:style>
  <w:style w:type="paragraph" w:styleId="IntenseQuote">
    <w:name w:val="Intense Quote"/>
    <w:basedOn w:val="Normal"/>
    <w:next w:val="Normal"/>
    <w:link w:val="IntenseQuoteChar"/>
    <w:uiPriority w:val="30"/>
    <w:qFormat/>
    <w:rsid w:val="002503CD"/>
    <w:pPr>
      <w:pBdr>
        <w:top w:val="single" w:sz="4" w:space="10" w:color="0F4761"/>
        <w:bottom w:val="single" w:sz="4" w:space="10" w:color="0F4761"/>
      </w:pBdr>
      <w:spacing w:before="360" w:after="360" w:line="259" w:lineRule="auto"/>
      <w:ind w:left="864" w:right="864"/>
      <w:jc w:val="center"/>
    </w:pPr>
    <w:rPr>
      <w:rFonts w:ascii="Times New Roman" w:eastAsia="Aptos" w:hAnsi="Times New Roman"/>
      <w:i/>
      <w:iCs/>
      <w:color w:val="0F4761"/>
      <w:kern w:val="2"/>
      <w:sz w:val="28"/>
      <w:lang w:val="en-US"/>
    </w:rPr>
  </w:style>
  <w:style w:type="character" w:customStyle="1" w:styleId="IntenseQuoteChar">
    <w:name w:val="Intense Quote Char"/>
    <w:link w:val="IntenseQuote"/>
    <w:uiPriority w:val="30"/>
    <w:rsid w:val="002503CD"/>
    <w:rPr>
      <w:i/>
      <w:iCs/>
      <w:color w:val="0F4761"/>
    </w:rPr>
  </w:style>
  <w:style w:type="character" w:styleId="IntenseReference">
    <w:name w:val="Intense Reference"/>
    <w:uiPriority w:val="32"/>
    <w:qFormat/>
    <w:rsid w:val="002503CD"/>
    <w:rPr>
      <w:b/>
      <w:bCs/>
      <w:smallCaps/>
      <w:color w:val="0F4761"/>
      <w:spacing w:val="5"/>
    </w:rPr>
  </w:style>
  <w:style w:type="character" w:customStyle="1" w:styleId="HeaderChar">
    <w:name w:val="Header Char"/>
    <w:link w:val="Header"/>
    <w:uiPriority w:val="99"/>
    <w:rsid w:val="002503CD"/>
    <w:rPr>
      <w:rFonts w:ascii="Arial" w:eastAsia="Arial" w:hAnsi="Arial" w:cs="Times New Roman"/>
    </w:rPr>
  </w:style>
  <w:style w:type="paragraph" w:styleId="Header">
    <w:name w:val="header"/>
    <w:basedOn w:val="Normal"/>
    <w:link w:val="HeaderChar"/>
    <w:uiPriority w:val="99"/>
    <w:unhideWhenUsed/>
    <w:rsid w:val="002503CD"/>
    <w:pPr>
      <w:tabs>
        <w:tab w:val="center" w:pos="4513"/>
        <w:tab w:val="right" w:pos="9026"/>
      </w:tabs>
    </w:pPr>
    <w:rPr>
      <w:rFonts w:ascii="Arial" w:eastAsia="Arial" w:hAnsi="Arial"/>
      <w:kern w:val="2"/>
      <w:sz w:val="28"/>
      <w:lang w:val="en-US"/>
    </w:rPr>
  </w:style>
  <w:style w:type="character" w:customStyle="1" w:styleId="HeaderChar1">
    <w:name w:val="Header Char1"/>
    <w:uiPriority w:val="99"/>
    <w:semiHidden/>
    <w:rsid w:val="002503CD"/>
    <w:rPr>
      <w:rFonts w:ascii="Calibri" w:eastAsia="Calibri" w:hAnsi="Calibri" w:cs="Times New Roman"/>
      <w:kern w:val="0"/>
      <w:sz w:val="22"/>
      <w:lang w:val="vi-VN"/>
    </w:rPr>
  </w:style>
  <w:style w:type="paragraph" w:styleId="BalloonText">
    <w:name w:val="Balloon Text"/>
    <w:basedOn w:val="Normal"/>
    <w:link w:val="BalloonTextChar"/>
    <w:uiPriority w:val="99"/>
    <w:semiHidden/>
    <w:unhideWhenUsed/>
    <w:rsid w:val="0019624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9624C"/>
    <w:rPr>
      <w:rFonts w:ascii="Segoe UI" w:eastAsia="Calibri" w:hAnsi="Segoe UI" w:cs="Segoe UI"/>
      <w:kern w:val="0"/>
      <w:sz w:val="18"/>
      <w:szCs w:val="18"/>
      <w:lang w:val="vi-VN"/>
    </w:rPr>
  </w:style>
  <w:style w:type="paragraph" w:styleId="Revision">
    <w:name w:val="Revision"/>
    <w:hidden/>
    <w:uiPriority w:val="99"/>
    <w:semiHidden/>
    <w:rsid w:val="008127AD"/>
    <w:rPr>
      <w:rFonts w:ascii="Calibri" w:eastAsia="Calibri" w:hAnsi="Calibri"/>
      <w:sz w:val="22"/>
      <w:szCs w:val="22"/>
      <w:lang w:eastAsia="en-US"/>
    </w:rPr>
  </w:style>
  <w:style w:type="paragraph" w:styleId="Footer">
    <w:name w:val="footer"/>
    <w:basedOn w:val="Normal"/>
    <w:link w:val="FooterChar"/>
    <w:uiPriority w:val="99"/>
    <w:unhideWhenUsed/>
    <w:rsid w:val="00284698"/>
    <w:pPr>
      <w:tabs>
        <w:tab w:val="center" w:pos="4513"/>
        <w:tab w:val="right" w:pos="9026"/>
      </w:tabs>
    </w:pPr>
  </w:style>
  <w:style w:type="character" w:customStyle="1" w:styleId="FooterChar">
    <w:name w:val="Footer Char"/>
    <w:basedOn w:val="DefaultParagraphFont"/>
    <w:link w:val="Footer"/>
    <w:uiPriority w:val="99"/>
    <w:rsid w:val="00284698"/>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E5D207-E10E-4DE4-B44C-0C028C826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19FB26-F93C-40A4-9616-9C49B9AE322E}">
  <ds:schemaRefs>
    <ds:schemaRef ds:uri="http://schemas.microsoft.com/sharepoint/v3/contenttype/forms"/>
  </ds:schemaRefs>
</ds:datastoreItem>
</file>

<file path=customXml/itemProps3.xml><?xml version="1.0" encoding="utf-8"?>
<ds:datastoreItem xmlns:ds="http://schemas.openxmlformats.org/officeDocument/2006/customXml" ds:itemID="{CC88B6E4-3124-421D-8D8B-D0783AA973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 Thái</dc:creator>
  <cp:keywords/>
  <dc:description/>
  <cp:lastModifiedBy>Windows User</cp:lastModifiedBy>
  <cp:revision>4</cp:revision>
  <cp:lastPrinted>2025-07-04T02:46:00Z</cp:lastPrinted>
  <dcterms:created xsi:type="dcterms:W3CDTF">2025-07-14T01:25:00Z</dcterms:created>
  <dcterms:modified xsi:type="dcterms:W3CDTF">2025-07-14T01:26:00Z</dcterms:modified>
</cp:coreProperties>
</file>