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0"/>
        <w:gridCol w:w="5779"/>
      </w:tblGrid>
      <w:tr w:rsidR="00824B66" w:rsidRPr="00A13C91" w14:paraId="7F1D99D7" w14:textId="77777777" w:rsidTr="00824B66">
        <w:trPr>
          <w:trHeight w:val="709"/>
        </w:trPr>
        <w:tc>
          <w:tcPr>
            <w:tcW w:w="18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BFF8" w14:textId="083A23C3" w:rsidR="00824B66" w:rsidRPr="00A13C91" w:rsidRDefault="00824B66" w:rsidP="00824B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Hlk199526884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QUỐC HỘI</w:t>
            </w:r>
            <w:r w:rsidRPr="00A13C9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A13C91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__________</w:t>
            </w:r>
          </w:p>
          <w:p w14:paraId="0DAC509C" w14:textId="5980EAE9" w:rsidR="00824B66" w:rsidRPr="00824B66" w:rsidRDefault="00824B66" w:rsidP="00824B66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D138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Luật</w:t>
            </w:r>
            <w:r w:rsidRPr="00824B6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D138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số:</w:t>
            </w:r>
            <w:r w:rsidRPr="00824B6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D138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99/2025/QH15</w:t>
            </w:r>
          </w:p>
        </w:tc>
        <w:tc>
          <w:tcPr>
            <w:tcW w:w="320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8E1B" w14:textId="41C0C3A3" w:rsidR="00824B66" w:rsidRPr="00824B66" w:rsidRDefault="00824B66" w:rsidP="00824B66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</w:pPr>
            <w:r w:rsidRPr="00A13C91">
              <w:rPr>
                <w:rFonts w:ascii="Arial" w:hAnsi="Arial" w:cs="Arial"/>
                <w:b/>
                <w:bCs/>
                <w:sz w:val="20"/>
                <w:szCs w:val="20"/>
              </w:rPr>
              <w:t>CỘNG HÒA XÃ HỘI CHỦ NGHĨA VIỆT NAM</w:t>
            </w:r>
            <w:r w:rsidRPr="00A13C91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Độc lập - Tự do - Hạnh phúc </w:t>
            </w:r>
            <w:r w:rsidRPr="00A13C9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 w:rsidRPr="00A13C91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______________________</w:t>
            </w:r>
          </w:p>
        </w:tc>
      </w:tr>
      <w:bookmarkEnd w:id="0"/>
    </w:tbl>
    <w:p w14:paraId="369965C4" w14:textId="77777777" w:rsidR="00824B66" w:rsidRDefault="00824B66" w:rsidP="00824B6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14:paraId="344FF707" w14:textId="77777777" w:rsidR="00824B66" w:rsidRDefault="00824B66" w:rsidP="00824B66">
      <w:pPr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14:paraId="424ADE39" w14:textId="77777777" w:rsidR="00824B66" w:rsidRPr="00824B66" w:rsidRDefault="00824B66" w:rsidP="00824B66">
      <w:pPr>
        <w:jc w:val="center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LUẬT</w:t>
      </w:r>
    </w:p>
    <w:p w14:paraId="4D3BFAA9" w14:textId="2DE96F0F" w:rsidR="00824B66" w:rsidRDefault="00824B66" w:rsidP="00824B66">
      <w:pPr>
        <w:jc w:val="center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ỔI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U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SỰ</w:t>
      </w:r>
    </w:p>
    <w:p w14:paraId="1819FE91" w14:textId="77777777" w:rsidR="00824B66" w:rsidRPr="00824B66" w:rsidRDefault="00824B66" w:rsidP="00824B66">
      <w:pPr>
        <w:jc w:val="center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110C09F4" w14:textId="5AF6F64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Căn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Hiến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Cộng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hòa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nghĩa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ổ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i,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203/2025/QH15;</w:t>
      </w:r>
    </w:p>
    <w:p w14:paraId="15E67FFA" w14:textId="3FCAB0BB" w:rsidR="00824B66" w:rsidRDefault="00824B66" w:rsidP="00824B66">
      <w:pPr>
        <w:ind w:firstLine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ban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sửa đổi, bổ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một số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</w:t>
      </w:r>
      <w:r w:rsidR="00770DC1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i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ều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T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101/2015/QH13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ử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một số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</w:t>
      </w:r>
      <w:r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02/2021/QH15,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34/2024/QH15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59/2024/QH15.</w:t>
      </w:r>
    </w:p>
    <w:p w14:paraId="1F01F2A3" w14:textId="77777777" w:rsidR="00824B66" w:rsidRPr="00824B66" w:rsidRDefault="00824B66" w:rsidP="00824B66">
      <w:pPr>
        <w:ind w:firstLine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</w:p>
    <w:p w14:paraId="46C86559" w14:textId="5D3F116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sự</w:t>
      </w:r>
    </w:p>
    <w:p w14:paraId="10E4E4C5" w14:textId="5A1FCED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" w:name="RANGE!A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E1CF5">
        <w:rPr>
          <w:rFonts w:ascii="Arial" w:eastAsia="Times New Roman" w:hAnsi="Arial" w:cs="Arial"/>
          <w:color w:val="000000" w:themeColor="text1"/>
          <w:sz w:val="20"/>
          <w:szCs w:val="20"/>
        </w:rPr>
        <w:t>như sau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p w14:paraId="38292073" w14:textId="0AEC3006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" w:name="RANGE!A8"/>
      <w:bookmarkEnd w:id="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2"/>
    <w:p w14:paraId="1CCEAF2D" w14:textId="5798C51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“p)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án.”;</w:t>
      </w:r>
    </w:p>
    <w:p w14:paraId="40230B31" w14:textId="0A23D16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" w:name="RANGE!A1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3"/>
    <w:p w14:paraId="1B713956" w14:textId="74B0B62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“k)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phường,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đây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gọi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xã.”;</w:t>
      </w:r>
    </w:p>
    <w:p w14:paraId="61B1463F" w14:textId="0946C19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" w:name="RANGE!A12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</w:p>
    <w:p w14:paraId="68E0CCF4" w14:textId="4AD8BE6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" w:name="RANGE!A13"/>
      <w:bookmarkEnd w:id="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5"/>
    <w:p w14:paraId="1323A654" w14:textId="6B34111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20.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tuân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sự</w:t>
      </w:r>
    </w:p>
    <w:p w14:paraId="59B09764" w14:textId="0EB8500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nhằm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mọi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kịp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minh,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khởi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đúng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đúng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đúng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lọt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oan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vô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tội.</w:t>
      </w:r>
    </w:p>
    <w:p w14:paraId="66ACBDFA" w14:textId="14CA935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mỗi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0C011A2F" w14:textId="01706E9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" w:name="RANGE!A1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e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6"/>
    <w:p w14:paraId="215621F1" w14:textId="704EA7A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túy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túy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cảng;</w:t>
      </w:r>
    </w:p>
    <w:p w14:paraId="0060DC1E" w14:textId="0FD4087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" w:name="RANGE!A1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buôn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lậu;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khẩu;</w:t>
      </w:r>
    </w:p>
    <w:p w14:paraId="1EE91BE7" w14:textId="3F2798E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" w:name="RANGE!A20"/>
      <w:bookmarkEnd w:id="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lâm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Lâm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nghiệp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lâm;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lâm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vùng,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lâm;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lâm;</w:t>
      </w:r>
    </w:p>
    <w:p w14:paraId="6FE03ED0" w14:textId="19AAF1F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" w:name="RANGE!A21"/>
      <w:bookmarkEnd w:id="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lượng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vùng,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Nghiệp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túy;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nghiệp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biển;</w:t>
      </w:r>
    </w:p>
    <w:bookmarkEnd w:id="9"/>
    <w:p w14:paraId="08D6AE3F" w14:textId="06CF5B8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vùng;</w:t>
      </w:r>
    </w:p>
    <w:p w14:paraId="2EE763F4" w14:textId="64D3412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" w:name="RANGE!A2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e)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thị,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sự;”.</w:t>
      </w:r>
    </w:p>
    <w:p w14:paraId="7DF262E6" w14:textId="070DEC5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" w:name="RANGE!A24"/>
      <w:bookmarkEnd w:id="1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1"/>
    <w:p w14:paraId="56C91AE6" w14:textId="1230C5F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chịu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1a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7C19C171" w14:textId="36F23A1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" w:name="RANGE!A2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1a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2"/>
    <w:p w14:paraId="031F0EBB" w14:textId="2142AB0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1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khởi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xảy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biệt.</w:t>
      </w:r>
    </w:p>
    <w:p w14:paraId="5984C704" w14:textId="72DC3E1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55D3CF4D" w14:textId="02D49EC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" w:name="RANGE!A2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3"/>
    <w:p w14:paraId="39C4AE91" w14:textId="112B0B7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chịu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</w:p>
    <w:p w14:paraId="4969B23D" w14:textId="35170FD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đây:</w:t>
      </w:r>
    </w:p>
    <w:p w14:paraId="76E7A586" w14:textId="26744E3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4" w:name="RANGE!A32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này;</w:t>
      </w:r>
    </w:p>
    <w:p w14:paraId="2FC5FDF1" w14:textId="1187F7C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5" w:name="RANGE!A33"/>
      <w:bookmarkEnd w:id="1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viên;</w:t>
      </w:r>
    </w:p>
    <w:p w14:paraId="59ABCE8E" w14:textId="1C2DF60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6" w:name="RANGE!A34"/>
      <w:bookmarkEnd w:id="1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thay đổi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viên.”.</w:t>
      </w:r>
    </w:p>
    <w:p w14:paraId="2F200CC8" w14:textId="20F60E1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7" w:name="RANGE!A35"/>
      <w:bookmarkEnd w:id="1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1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7"/>
    <w:p w14:paraId="7B971D69" w14:textId="4081101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1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6F502D4B" w14:textId="1CEDBEC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8" w:name="RANGE!A3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8.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8"/>
    <w:p w14:paraId="71E682AA" w14:textId="1AC3578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chịu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</w:p>
    <w:p w14:paraId="332FADAB" w14:textId="7AF4D6B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ủ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đây:</w:t>
      </w:r>
    </w:p>
    <w:p w14:paraId="472640FA" w14:textId="7ACF8CD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9" w:name="RANGE!A4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quyền;</w:t>
      </w:r>
    </w:p>
    <w:p w14:paraId="21979814" w14:textId="0784D91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0" w:name="RANGE!A41"/>
      <w:bookmarkEnd w:id="1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này;</w:t>
      </w:r>
    </w:p>
    <w:p w14:paraId="4FB20843" w14:textId="4C3FCED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1" w:name="RANGE!A42"/>
      <w:bookmarkEnd w:id="2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c)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ổ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tòa.”.</w:t>
      </w:r>
    </w:p>
    <w:p w14:paraId="7BF3D9BD" w14:textId="3CD559B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2" w:name="RANGE!A43"/>
      <w:bookmarkEnd w:id="2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9.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Bổ 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22"/>
    <w:p w14:paraId="54F51AF9" w14:textId="3B17735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5A18B146" w14:textId="0BC6444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3" w:name="RANGE!A4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10.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75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23"/>
    <w:p w14:paraId="0055BD13" w14:textId="30FAFC9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thích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mình.”.</w:t>
      </w:r>
    </w:p>
    <w:p w14:paraId="744331EE" w14:textId="43C9687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4" w:name="RANGE!A4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50DF61DC" w14:textId="0BCC5C1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5" w:name="RANGE!A48"/>
      <w:bookmarkEnd w:id="2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25"/>
    <w:p w14:paraId="24BA1A74" w14:textId="1625DA1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1a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này;</w:t>
      </w:r>
    </w:p>
    <w:p w14:paraId="12958C57" w14:textId="582E12C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6" w:name="RANGE!A5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lập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đương,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túy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túy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lượng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Nghiệp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lượng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túy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lượng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</w:t>
      </w:r>
      <w:r w:rsidR="009434C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lượng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vùng;”;</w:t>
      </w:r>
    </w:p>
    <w:p w14:paraId="0E35A1ED" w14:textId="35C04BC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7" w:name="RANGE!A51"/>
      <w:bookmarkEnd w:id="2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27"/>
    <w:p w14:paraId="3A91BD0A" w14:textId="3D230DE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ẩ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lấy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đó.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kèm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phê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ẩ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n.</w:t>
      </w:r>
    </w:p>
    <w:p w14:paraId="040E0E77" w14:textId="053C321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kèm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lấy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đó.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kèm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phê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chuẩn.</w:t>
      </w:r>
    </w:p>
    <w:p w14:paraId="2A4D98F0" w14:textId="5043953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rõ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132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7DF10161" w14:textId="0747D92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8" w:name="RANGE!A5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28"/>
    <w:p w14:paraId="21CEF069" w14:textId="429F242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đây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giam:</w:t>
      </w:r>
    </w:p>
    <w:p w14:paraId="1AE99D86" w14:textId="64267DB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29" w:name="RANGE!A5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1a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phê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hành;</w:t>
      </w:r>
    </w:p>
    <w:p w14:paraId="0F4CEC0F" w14:textId="19C98B0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0" w:name="RANGE!A58"/>
      <w:bookmarkEnd w:id="2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cấp;</w:t>
      </w:r>
    </w:p>
    <w:p w14:paraId="1508AEC7" w14:textId="6EC487A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1" w:name="RANGE!A59"/>
      <w:bookmarkEnd w:id="3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xử.”.</w:t>
      </w:r>
    </w:p>
    <w:p w14:paraId="0925CC08" w14:textId="1ECCA09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2" w:name="RANGE!A60"/>
      <w:bookmarkEnd w:id="3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13.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131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32"/>
    <w:p w14:paraId="0A110A2E" w14:textId="713EBF8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Hồ 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lập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giấy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hóa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định.</w:t>
      </w:r>
    </w:p>
    <w:p w14:paraId="4AC02DD3" w14:textId="75BD5F2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phối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49AACA73" w14:textId="566A5FF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3" w:name="RANGE!A6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Bổ 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132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33"/>
    <w:p w14:paraId="38256C9A" w14:textId="48B1DF4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số.</w:t>
      </w:r>
    </w:p>
    <w:p w14:paraId="0EC42D16" w14:textId="48FE809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phối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ế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17025001" w14:textId="19EECEF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4" w:name="RANGE!A6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bổ 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135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4EC3F3E1" w14:textId="7A7DFEC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5" w:name="RANGE!A67"/>
      <w:bookmarkEnd w:id="3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35"/>
    <w:p w14:paraId="4E6FDD72" w14:textId="3D12112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135.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phí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sự”;</w:t>
      </w:r>
    </w:p>
    <w:p w14:paraId="348F4F08" w14:textId="45705416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6" w:name="RANGE!A6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36"/>
    <w:p w14:paraId="78D7BFF8" w14:textId="0FA2D55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mi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ễ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án.”.</w:t>
      </w:r>
    </w:p>
    <w:p w14:paraId="07EC73AD" w14:textId="0720D38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7" w:name="RANGE!A7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137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37"/>
    <w:p w14:paraId="151E5A97" w14:textId="2A00B5E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“d)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chúng,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mềm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ứng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tâm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tụng.”.</w:t>
      </w:r>
    </w:p>
    <w:p w14:paraId="488602CF" w14:textId="3339E86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8" w:name="RANGE!A7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38"/>
    <w:p w14:paraId="5826A2A1" w14:textId="5A568B9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141.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phương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đại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chúng,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nền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tảng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ố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phần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mềm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ứng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dùng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chung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tri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ể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khai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tâm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dữ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liệu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gia,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ổ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trang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ử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cơ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tụng</w:t>
      </w:r>
    </w:p>
    <w:p w14:paraId="5D39D5C0" w14:textId="399823E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39" w:name="RANGE!A7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chúng,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tảng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mềm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ứng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tâm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ổ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0ECA09BC" w14:textId="2032169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0" w:name="RANGE!A76"/>
      <w:bookmarkEnd w:id="3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chúng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đăng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sóng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tiếp.</w:t>
      </w:r>
    </w:p>
    <w:bookmarkEnd w:id="40"/>
    <w:p w14:paraId="77E422BF" w14:textId="4BFEA19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báo.</w:t>
      </w:r>
    </w:p>
    <w:p w14:paraId="0615F519" w14:textId="75054A5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1" w:name="RANGE!A7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13686F5D" w14:textId="0F20AB6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2" w:name="RANGE!A79"/>
      <w:bookmarkEnd w:id="4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18.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149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42"/>
    <w:p w14:paraId="28850DDD" w14:textId="39661D1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khởi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còn,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ở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khởi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hồi.”.</w:t>
      </w:r>
    </w:p>
    <w:p w14:paraId="1371B147" w14:textId="342763E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3" w:name="RANGE!A8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E1CF5">
        <w:rPr>
          <w:rFonts w:ascii="Arial" w:eastAsia="Times New Roman" w:hAnsi="Arial" w:cs="Arial"/>
          <w:color w:val="000000" w:themeColor="text1"/>
          <w:sz w:val="20"/>
          <w:szCs w:val="20"/>
        </w:rPr>
        <w:t>như sau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:</w:t>
      </w:r>
    </w:p>
    <w:bookmarkEnd w:id="43"/>
    <w:p w14:paraId="0BAAAA0B" w14:textId="1A0A312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khởi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ự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ế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khởi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quyết.”.</w:t>
      </w:r>
    </w:p>
    <w:p w14:paraId="2D4A12C8" w14:textId="6B472D9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4" w:name="RANGE!A8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163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44"/>
    <w:p w14:paraId="0DBF51A2" w14:textId="47F711C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vực;</w:t>
      </w:r>
    </w:p>
    <w:p w14:paraId="7FAB788F" w14:textId="00B643F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ủ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thấy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tra;”.</w:t>
      </w:r>
    </w:p>
    <w:p w14:paraId="703CF571" w14:textId="7DD56F4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5" w:name="RANGE!A8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171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6DA0D4AD" w14:textId="15C8FA1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6" w:name="RANGE!A87"/>
      <w:bookmarkEnd w:id="4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46"/>
    <w:p w14:paraId="4E0BEEF4" w14:textId="72BC2F9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thiết,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rõ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thác.”;</w:t>
      </w:r>
    </w:p>
    <w:p w14:paraId="3ADAD517" w14:textId="0857E02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7" w:name="RANGE!A8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47"/>
    <w:p w14:paraId="782DB403" w14:textId="49F1D1B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đối 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chuy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tra.”.</w:t>
      </w:r>
    </w:p>
    <w:p w14:paraId="0C5FBD12" w14:textId="099CD08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8" w:name="RANGE!A9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172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48"/>
    <w:p w14:paraId="4FE51742" w14:textId="5FFA5E2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Đối 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công tố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tra;</w:t>
      </w:r>
    </w:p>
    <w:p w14:paraId="22BA0FE7" w14:textId="76E1AB6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hai.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hai;</w:t>
      </w:r>
    </w:p>
    <w:p w14:paraId="5700CAFC" w14:textId="172A32D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49" w:name="RANGE!A9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ự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hai.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hai;”.</w:t>
      </w:r>
    </w:p>
    <w:p w14:paraId="54781CFB" w14:textId="7AA86D3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0" w:name="RANGE!A95"/>
      <w:bookmarkEnd w:id="4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173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50"/>
    <w:p w14:paraId="1EFCB78E" w14:textId="24B142F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công tố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trọng.</w:t>
      </w:r>
    </w:p>
    <w:p w14:paraId="601A8B6A" w14:textId="1682EF6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trọng;”.</w:t>
      </w:r>
    </w:p>
    <w:p w14:paraId="756350A0" w14:textId="1785669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1" w:name="RANGE!A9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Sửa đổi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51"/>
    <w:p w14:paraId="7E18F246" w14:textId="0C277AB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xong,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ằ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quyền.”.</w:t>
      </w:r>
    </w:p>
    <w:p w14:paraId="1E1353DA" w14:textId="7CCFE77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2" w:name="RANGE!A10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208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52"/>
    <w:p w14:paraId="6684A5BD" w14:textId="679C14E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pháp.”.</w:t>
      </w:r>
    </w:p>
    <w:p w14:paraId="09D731CF" w14:textId="4813EA5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3" w:name="RANGE!A102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225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53"/>
    <w:p w14:paraId="1F9E8620" w14:textId="75DF685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tố 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biệt.</w:t>
      </w:r>
    </w:p>
    <w:p w14:paraId="1F8C4EBF" w14:textId="5CD8A5C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dụng.”.</w:t>
      </w:r>
    </w:p>
    <w:p w14:paraId="64B5B60C" w14:textId="634D315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4" w:name="RANGE!A10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233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54"/>
    <w:p w14:paraId="2A15E133" w14:textId="7124213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lastRenderedPageBreak/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233.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trư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ờ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ợ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</w:p>
    <w:p w14:paraId="246D1827" w14:textId="5E5F5E4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5" w:name="RANGE!A10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rõ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diễn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đích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chất,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gây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chặn,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chế;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tăng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nặng,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nhẹ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liệu,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nguyên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nghĩa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danh,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xu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ấ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bookmarkEnd w:id="55"/>
    <w:p w14:paraId="0844539B" w14:textId="6167298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rõ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tra.</w:t>
      </w:r>
    </w:p>
    <w:p w14:paraId="40482711" w14:textId="0463FD8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6" w:name="RANGE!A10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E1CF5">
        <w:rPr>
          <w:rFonts w:ascii="Arial" w:eastAsia="Times New Roman" w:hAnsi="Arial" w:cs="Arial"/>
          <w:color w:val="000000" w:themeColor="text1"/>
          <w:sz w:val="20"/>
          <w:szCs w:val="20"/>
        </w:rPr>
        <w:t>đã 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2B0F9523" w14:textId="2D1C45B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7" w:name="RANGE!A110"/>
      <w:bookmarkEnd w:id="5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trốn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đâu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E1433">
        <w:rPr>
          <w:rFonts w:ascii="Arial" w:eastAsia="Times New Roman" w:hAnsi="Arial" w:cs="Arial"/>
          <w:color w:val="000000" w:themeColor="text1"/>
          <w:sz w:val="20"/>
          <w:szCs w:val="20"/>
        </w:rPr>
        <w:t>truy nã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quả;</w:t>
      </w:r>
    </w:p>
    <w:p w14:paraId="0FD93104" w14:textId="6CD968B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8" w:name="RANGE!A111"/>
      <w:bookmarkEnd w:id="5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đang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tập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EE1CF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tra.</w:t>
      </w:r>
    </w:p>
    <w:p w14:paraId="1A3A1D01" w14:textId="12D9B1B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59" w:name="RANGE!A112"/>
      <w:bookmarkEnd w:id="5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thể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can.</w:t>
      </w:r>
    </w:p>
    <w:p w14:paraId="42776BD5" w14:textId="42A3AC7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0" w:name="RANGE!A113"/>
      <w:bookmarkEnd w:id="5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7A709441" w14:textId="63A8224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1" w:name="RANGE!A114"/>
      <w:bookmarkEnd w:id="6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239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61"/>
    <w:p w14:paraId="4BF48590" w14:textId="6BEC350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p w14:paraId="7EB4BA34" w14:textId="6F0A962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chuyển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chuyển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định.</w:t>
      </w:r>
    </w:p>
    <w:p w14:paraId="7658555F" w14:textId="5C50616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Chậm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dưới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dưới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kèm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dưới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đúng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35D020B6" w14:textId="5883858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2" w:name="RANGE!A11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29.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bổ 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243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62"/>
    <w:p w14:paraId="0C83C20F" w14:textId="001B506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243.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can</w:t>
      </w:r>
    </w:p>
    <w:p w14:paraId="35B8680E" w14:textId="7E4E56E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3" w:name="RANGE!A12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trạng.</w:t>
      </w:r>
    </w:p>
    <w:bookmarkEnd w:id="63"/>
    <w:p w14:paraId="7E7CBA2C" w14:textId="3ABD8D2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rõ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diễn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ế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đích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chất,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gây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ổ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chặn,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</w:t>
      </w:r>
      <w:r w:rsidR="00EE1CF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ỡ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chế;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tăng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nặng,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nhẹ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liệu,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nguyên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nghĩa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p w14:paraId="11FF2911" w14:textId="4AB5F83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rõ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danh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dụng.</w:t>
      </w:r>
    </w:p>
    <w:p w14:paraId="04D7270E" w14:textId="076E0A4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õ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trạng.</w:t>
      </w:r>
    </w:p>
    <w:p w14:paraId="4D01E833" w14:textId="074425D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4" w:name="RANGE!A12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</w:t>
      </w:r>
      <w:r w:rsidR="00EE1CF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cứ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5D35DB7F" w14:textId="04B550E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5" w:name="RANGE!A125"/>
      <w:bookmarkEnd w:id="6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trốn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đâu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E1433">
        <w:rPr>
          <w:rFonts w:ascii="Arial" w:eastAsia="Times New Roman" w:hAnsi="Arial" w:cs="Arial"/>
          <w:color w:val="000000" w:themeColor="text1"/>
          <w:sz w:val="20"/>
          <w:szCs w:val="20"/>
        </w:rPr>
        <w:t>truy nã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quả;</w:t>
      </w:r>
    </w:p>
    <w:p w14:paraId="76327159" w14:textId="08B457E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6" w:name="RANGE!A126"/>
      <w:bookmarkEnd w:id="6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đang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tập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nhằm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ố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</w:p>
    <w:p w14:paraId="083357D9" w14:textId="59A230A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7" w:name="RANGE!A127"/>
      <w:bookmarkEnd w:id="6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thể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can.</w:t>
      </w:r>
    </w:p>
    <w:p w14:paraId="34BDE4B1" w14:textId="7B38943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8" w:name="RANGE!A128"/>
      <w:bookmarkEnd w:id="6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73FB315D" w14:textId="1A967BD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69" w:name="RANGE!A129"/>
      <w:bookmarkEnd w:id="6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30.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Sửa đổi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262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69"/>
    <w:p w14:paraId="06A1BF8A" w14:textId="3665627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tuyên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quyền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đang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lợi,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nghĩa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tuyên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tiền,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tịch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trú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tập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kéo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ngày.”.</w:t>
      </w:r>
    </w:p>
    <w:p w14:paraId="063DC344" w14:textId="69A18A4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0" w:name="RANGE!A13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268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70"/>
    <w:p w14:paraId="0A78A8AD" w14:textId="2C239CD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268.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án</w:t>
      </w:r>
    </w:p>
    <w:p w14:paraId="51EBA553" w14:textId="7C1FEE3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1" w:name="RANGE!A13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tù.</w:t>
      </w:r>
    </w:p>
    <w:p w14:paraId="58324EFF" w14:textId="528580F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2" w:name="RANGE!A134"/>
      <w:bookmarkEnd w:id="7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ẩ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án:</w:t>
      </w:r>
    </w:p>
    <w:p w14:paraId="1D0D716B" w14:textId="7FCD09C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3" w:name="RANGE!A135"/>
      <w:bookmarkEnd w:id="72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vực;</w:t>
      </w:r>
    </w:p>
    <w:p w14:paraId="27C4D51D" w14:textId="29E15C3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4" w:name="RANGE!A136"/>
      <w:bookmarkEnd w:id="7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ư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tâm;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trị,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ngoại;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sắc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tôn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thiểu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số.</w:t>
      </w:r>
    </w:p>
    <w:bookmarkEnd w:id="74"/>
    <w:p w14:paraId="453078B3" w14:textId="3CB1768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</w:p>
    <w:p w14:paraId="6F934996" w14:textId="2548132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5" w:name="RANGE!A13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án:</w:t>
      </w:r>
    </w:p>
    <w:p w14:paraId="007AE22D" w14:textId="78A81966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6" w:name="RANGE!A139"/>
      <w:bookmarkEnd w:id="7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xâm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gia;</w:t>
      </w:r>
    </w:p>
    <w:p w14:paraId="0543945E" w14:textId="7469C4D6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7" w:name="RANGE!A140"/>
      <w:bookmarkEnd w:id="7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bình,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tranh;</w:t>
      </w:r>
    </w:p>
    <w:p w14:paraId="0C9FA096" w14:textId="2E5143E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8" w:name="RANGE!A141"/>
      <w:bookmarkEnd w:id="7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123,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125,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126,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227,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277,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278,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279,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283,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286,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337,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399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sự;</w:t>
      </w:r>
    </w:p>
    <w:p w14:paraId="62E04F93" w14:textId="3B2C75D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79" w:name="RANGE!A142"/>
      <w:bookmarkEnd w:id="7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nghĩa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Nam;</w:t>
      </w:r>
    </w:p>
    <w:bookmarkEnd w:id="79"/>
    <w:p w14:paraId="525993FF" w14:textId="30C851B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ngoài.</w:t>
      </w:r>
    </w:p>
    <w:p w14:paraId="518F88A2" w14:textId="2246BAA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0" w:name="RANGE!A14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án:</w:t>
      </w:r>
    </w:p>
    <w:bookmarkEnd w:id="80"/>
    <w:p w14:paraId="0A799761" w14:textId="514711B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vực;</w:t>
      </w:r>
    </w:p>
    <w:p w14:paraId="75B1269F" w14:textId="3B0561E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ngành;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lãnh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sắc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tôn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thiểu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số.”.</w:t>
      </w:r>
    </w:p>
    <w:p w14:paraId="28239F6B" w14:textId="39307E3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1" w:name="RANGE!A14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269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81"/>
    <w:p w14:paraId="79A796DF" w14:textId="19F7584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trú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cuối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trú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cuối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tùy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ẵ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Nội,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ẵ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Minh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xử.</w:t>
      </w:r>
    </w:p>
    <w:p w14:paraId="2D53E266" w14:textId="6BCBA43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ương.”.</w:t>
      </w:r>
    </w:p>
    <w:p w14:paraId="0621206D" w14:textId="51965B1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2" w:name="RANGE!A15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290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82"/>
    <w:p w14:paraId="3FE5A002" w14:textId="1A4544C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trốn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đâu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quả;”.</w:t>
      </w:r>
    </w:p>
    <w:p w14:paraId="67383F38" w14:textId="4380B0C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3" w:name="RANGE!A152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344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83"/>
    <w:p w14:paraId="73DE4705" w14:textId="4C3B837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</w:t>
      </w:r>
    </w:p>
    <w:p w14:paraId="31577870" w14:textId="19213D4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4" w:name="RANGE!A15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nghị.”.</w:t>
      </w:r>
    </w:p>
    <w:p w14:paraId="03B430A4" w14:textId="1C410AF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5" w:name="RANGE!A155"/>
      <w:bookmarkEnd w:id="8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bổ 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346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85"/>
    <w:p w14:paraId="32BAAFC9" w14:textId="7B986F6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nghiêm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trọng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tù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90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hồ 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p w14:paraId="3EF6924E" w14:textId="46FA433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90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p w14:paraId="14577D7A" w14:textId="00DEBDF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6" w:name="RANGE!A15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75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định:</w:t>
      </w:r>
    </w:p>
    <w:p w14:paraId="7B755B34" w14:textId="6E54FD8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7" w:name="RANGE!A159"/>
      <w:bookmarkEnd w:id="8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chỉ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thẩm;</w:t>
      </w:r>
    </w:p>
    <w:p w14:paraId="6038C855" w14:textId="5E9F595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8" w:name="RANGE!A160"/>
      <w:bookmarkEnd w:id="8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thẩm.”.</w:t>
      </w:r>
    </w:p>
    <w:p w14:paraId="7D6A5B30" w14:textId="1C4BB98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89" w:name="RANGE!A161"/>
      <w:bookmarkEnd w:id="8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347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89"/>
    <w:p w14:paraId="7439395E" w14:textId="0A30F82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chặn,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chế.</w:t>
      </w:r>
    </w:p>
    <w:p w14:paraId="525AD1F2" w14:textId="3162736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thay đổi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ổ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hủy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chặn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định.</w:t>
      </w:r>
    </w:p>
    <w:p w14:paraId="01350211" w14:textId="7D3B3B6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0" w:name="RANGE!A16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346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</w:p>
    <w:bookmarkEnd w:id="90"/>
    <w:p w14:paraId="699CEEC9" w14:textId="498C75C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ợ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còn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thấy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ẩ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mới.</w:t>
      </w:r>
    </w:p>
    <w:p w14:paraId="44818018" w14:textId="281BF3E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đang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thấy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tòa.”.</w:t>
      </w:r>
    </w:p>
    <w:p w14:paraId="371BED50" w14:textId="471D4B3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1" w:name="RANGE!A16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352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91"/>
    <w:p w14:paraId="456BF2AD" w14:textId="7F307D1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297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</w:p>
    <w:p w14:paraId="59499DCE" w14:textId="5F9AEC8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2" w:name="RANGE!A16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tên.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</w:t>
      </w:r>
    </w:p>
    <w:bookmarkEnd w:id="92"/>
    <w:p w14:paraId="7837C232" w14:textId="4BC0A71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vắng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định.”.</w:t>
      </w:r>
    </w:p>
    <w:p w14:paraId="0E21FA9E" w14:textId="79FEB14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3" w:name="RANGE!A17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38.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93"/>
    <w:p w14:paraId="48983C04" w14:textId="0C263F4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e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13433D46" w14:textId="7A39423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“e)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ơ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tịch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tịch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xin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tịch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chuyển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tù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ế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tịch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â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tịch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định.”;</w:t>
      </w:r>
    </w:p>
    <w:p w14:paraId="1592556A" w14:textId="69BF656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29E372B7" w14:textId="363A01A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trì,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phòng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này.”.</w:t>
      </w:r>
    </w:p>
    <w:p w14:paraId="15B49A98" w14:textId="6071B49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4" w:name="RANGE!A17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39.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94"/>
    <w:p w14:paraId="4C9B70F7" w14:textId="4D5058B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nghị.”.</w:t>
      </w:r>
    </w:p>
    <w:p w14:paraId="024992F8" w14:textId="1331B01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5" w:name="RANGE!A17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bổ 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5B97E266" w14:textId="78AB826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6" w:name="RANGE!A179"/>
      <w:bookmarkEnd w:id="9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96"/>
    <w:p w14:paraId="6CD546A2" w14:textId="1D7AE5B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EE1CF5">
        <w:rPr>
          <w:rFonts w:ascii="Arial" w:eastAsia="Times New Roman" w:hAnsi="Arial" w:cs="Arial"/>
          <w:color w:val="000000" w:themeColor="text1"/>
          <w:sz w:val="20"/>
          <w:szCs w:val="20"/>
        </w:rPr>
        <w:t>đã 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thấy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thiết,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tối cao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.”;</w:t>
      </w:r>
    </w:p>
    <w:p w14:paraId="4D03B50E" w14:textId="7603E00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7" w:name="RANGE!A18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97"/>
    <w:p w14:paraId="2245ABD6" w14:textId="1E5C26A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ố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.”.</w:t>
      </w:r>
    </w:p>
    <w:p w14:paraId="65DDEABC" w14:textId="2B370E4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8" w:name="RANGE!A18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382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98"/>
    <w:p w14:paraId="0D831EC5" w14:textId="78BA24F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382.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Thẩm quyền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thẩm</w:t>
      </w:r>
    </w:p>
    <w:p w14:paraId="7A401154" w14:textId="768C6BA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99" w:name="RANGE!A18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</w:t>
      </w:r>
    </w:p>
    <w:p w14:paraId="06E5B257" w14:textId="53E305E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0" w:name="RANGE!A186"/>
      <w:bookmarkEnd w:id="9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thống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bookmarkEnd w:id="100"/>
    <w:p w14:paraId="34F75998" w14:textId="737BC4E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p w14:paraId="1034F995" w14:textId="154C412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1" w:name="RANGE!A18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ầ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Ủ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biểu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ế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p w14:paraId="5B57890B" w14:textId="6F5B7B4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2" w:name="RANGE!A189"/>
      <w:bookmarkEnd w:id="10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</w:rPr>
        <w:t>tổng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</w:t>
      </w:r>
      <w:r w:rsidR="008B476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ã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</w:t>
      </w:r>
    </w:p>
    <w:p w14:paraId="48314283" w14:textId="0E96020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3" w:name="RANGE!A190"/>
      <w:bookmarkEnd w:id="102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toàn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án.”.</w:t>
      </w:r>
    </w:p>
    <w:p w14:paraId="24D17B6D" w14:textId="026A6D6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4" w:name="RANGE!A191"/>
      <w:bookmarkEnd w:id="10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04"/>
    <w:p w14:paraId="1378C44A" w14:textId="2545A3B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ở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phố.”.</w:t>
      </w:r>
    </w:p>
    <w:p w14:paraId="1B0F0D7F" w14:textId="271F703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5" w:name="RANGE!A19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474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05"/>
    <w:p w14:paraId="2B8586F9" w14:textId="06AF804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chuyển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</w:p>
    <w:p w14:paraId="3C97BD06" w14:textId="5AF10DF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tố 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</w:p>
    <w:p w14:paraId="243B5C5C" w14:textId="24AB3F2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</w:p>
    <w:p w14:paraId="1452EC59" w14:textId="3D6C040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4C41CB47" w14:textId="57C39E4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đ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13203E6F" w14:textId="3674B846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6" w:name="RANGE!A19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xử.</w:t>
      </w:r>
    </w:p>
    <w:bookmarkEnd w:id="106"/>
    <w:p w14:paraId="5707E16B" w14:textId="65CC236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645FAF71" w14:textId="6C228DA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ượ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45DA7FA1" w14:textId="004A695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ượ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ư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ượ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6A5F2DCF" w14:textId="63C46B2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chức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tối 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luật.”.</w:t>
      </w:r>
    </w:p>
    <w:p w14:paraId="606D54BC" w14:textId="70E8D0B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7" w:name="RANGE!A20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475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07"/>
    <w:p w14:paraId="5D5897C5" w14:textId="5CC17DE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ở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2AC35ADA" w14:textId="48065DE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phê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chuẩn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luật.”.</w:t>
      </w:r>
    </w:p>
    <w:p w14:paraId="23812175" w14:textId="0D976C7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8" w:name="RANGE!A20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476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08"/>
    <w:p w14:paraId="2BED4B30" w14:textId="1373275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476.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Thẩm quyền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sát,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cao</w:t>
      </w:r>
    </w:p>
    <w:p w14:paraId="496A476E" w14:textId="084B58D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09" w:name="RANGE!A20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ế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0D431C62" w14:textId="0F80622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0" w:name="RANGE!A210"/>
      <w:bookmarkEnd w:id="10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62A491C6" w14:textId="4214CDF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1" w:name="RANGE!A211"/>
      <w:bookmarkEnd w:id="11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tối cao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bookmarkEnd w:id="111"/>
    <w:p w14:paraId="5E793F48" w14:textId="6DFD819A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6C7D8BA3" w14:textId="58D7857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xử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luật.”.</w:t>
      </w:r>
    </w:p>
    <w:p w14:paraId="2762EE4B" w14:textId="32758C88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2" w:name="RANGE!A21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477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12"/>
    <w:p w14:paraId="195C7350" w14:textId="3F0E29B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477.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phán,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</w:t>
      </w:r>
      <w:r w:rsidR="000608F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ẩ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tòa,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</w:t>
      </w:r>
      <w:r w:rsidR="000608F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ẩ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m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cao</w:t>
      </w:r>
    </w:p>
    <w:p w14:paraId="0AC08328" w14:textId="6FA1614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3" w:name="RANGE!A21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</w:p>
    <w:bookmarkEnd w:id="113"/>
    <w:p w14:paraId="167446C3" w14:textId="4633B68A" w:rsidR="00824B66" w:rsidRPr="00824B66" w:rsidRDefault="00025B81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khu.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="00824B66"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B66"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05CB6748" w14:textId="058A7CD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6745F0B9" w14:textId="694480F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4" w:name="RANGE!A21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ấ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bookmarkEnd w:id="114"/>
    <w:p w14:paraId="0130D28F" w14:textId="5F726CD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490A7A43" w14:textId="43213F4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5" w:name="RANGE!A22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kể 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ủ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tối cao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bookmarkEnd w:id="115"/>
    <w:p w14:paraId="32012CAA" w14:textId="4084FD9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Thẩm phán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Phúc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tối 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đồng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ý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</w:t>
      </w:r>
    </w:p>
    <w:p w14:paraId="721B5045" w14:textId="43797BF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Phúc 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luật.”.</w:t>
      </w:r>
    </w:p>
    <w:p w14:paraId="1CE35118" w14:textId="0F257AC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6" w:name="RANGE!A22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481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16"/>
    <w:p w14:paraId="57AABA18" w14:textId="1F57BA7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đứng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</w:p>
    <w:p w14:paraId="4BB20349" w14:textId="4D929EE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</w:p>
    <w:p w14:paraId="0734D5D3" w14:textId="26216EE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</w:p>
    <w:p w14:paraId="10FBAC03" w14:textId="6C60B27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</w:p>
    <w:p w14:paraId="2202B6F3" w14:textId="319F034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</w:t>
      </w:r>
    </w:p>
    <w:p w14:paraId="5D31432B" w14:textId="751478C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quyết.”.</w:t>
      </w:r>
    </w:p>
    <w:p w14:paraId="45EABFFB" w14:textId="295B7B0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7" w:name="RANGE!A23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48.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483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17"/>
    <w:p w14:paraId="59D3E795" w14:textId="743DD79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khiếu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nại,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án.”.</w:t>
      </w:r>
    </w:p>
    <w:p w14:paraId="31683272" w14:textId="1CF03FE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8" w:name="RANGE!A23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49.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485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18"/>
    <w:p w14:paraId="056407CC" w14:textId="4BD80AE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1a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vệ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vệ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lý,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cao;”.</w:t>
      </w:r>
    </w:p>
    <w:p w14:paraId="698BE26A" w14:textId="1335360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19" w:name="RANGE!A23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50.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487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19"/>
    <w:p w14:paraId="3679FD63" w14:textId="535B799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vụ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tiến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vệ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trách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nhiệm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vệ.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Trường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vệ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thì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5F79F7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ỉ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vệ.”.</w:t>
      </w:r>
    </w:p>
    <w:p w14:paraId="00FA82A1" w14:textId="18067E8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0" w:name="RANGE!A23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một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501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p w14:paraId="25720ECA" w14:textId="60A3F20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1" w:name="RANGE!A238"/>
      <w:bookmarkEnd w:id="12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21"/>
    <w:p w14:paraId="23AE2CFC" w14:textId="3C8780E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ầ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ngoài.”;</w:t>
      </w:r>
    </w:p>
    <w:p w14:paraId="6C00771B" w14:textId="2BCE914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2" w:name="RANGE!A24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22"/>
    <w:p w14:paraId="68E627CD" w14:textId="24D2A3C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Chậm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nhất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kiểm 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hiện.</w:t>
      </w:r>
    </w:p>
    <w:p w14:paraId="6091D5BD" w14:textId="69F09C9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ỉ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định.</w:t>
      </w:r>
    </w:p>
    <w:p w14:paraId="55C18D93" w14:textId="2566CCC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</w:t>
      </w:r>
    </w:p>
    <w:p w14:paraId="7D61190A" w14:textId="6102425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3" w:name="RANGE!A24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hồ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nghị.</w:t>
      </w:r>
    </w:p>
    <w:bookmarkEnd w:id="123"/>
    <w:p w14:paraId="110A9045" w14:textId="0F449B9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tục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đối 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</w:p>
    <w:p w14:paraId="5D4D4F74" w14:textId="1C0ACE8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4" w:name="RANGE!A24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với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gồm:</w:t>
      </w:r>
    </w:p>
    <w:p w14:paraId="79EDEB4E" w14:textId="1330D21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5" w:name="RANGE!A247"/>
      <w:bookmarkEnd w:id="12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â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cáo,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nghị;</w:t>
      </w:r>
    </w:p>
    <w:p w14:paraId="37690B31" w14:textId="153A208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6" w:name="RANGE!A248"/>
      <w:bookmarkEnd w:id="12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b)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ỉ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nh.”.</w:t>
      </w:r>
    </w:p>
    <w:p w14:paraId="53DF3A61" w14:textId="3935E6E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7" w:name="RANGE!A249"/>
      <w:bookmarkEnd w:id="12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502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27"/>
    <w:p w14:paraId="35CF8470" w14:textId="49FBC24E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Chánh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chặn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tọa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dụng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khỏi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trú,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tiền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mặt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yêu 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họp.”.</w:t>
      </w:r>
    </w:p>
    <w:p w14:paraId="7518976C" w14:textId="03D37847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8" w:name="RANGE!A25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Sửa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đổi,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503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28"/>
    <w:p w14:paraId="4B76092A" w14:textId="726BAED5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 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yêu 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còn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phải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tù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độ.</w:t>
      </w:r>
    </w:p>
    <w:p w14:paraId="0A4A5EB6" w14:textId="5B68D06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thiết,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</w:rPr>
        <w:t>yêu 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lệnh,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đảm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xem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xét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gửi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an.”.</w:t>
      </w:r>
    </w:p>
    <w:p w14:paraId="62202669" w14:textId="443C8E69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29" w:name="RANGE!A25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506a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506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sau:</w:t>
      </w:r>
    </w:p>
    <w:bookmarkEnd w:id="129"/>
    <w:p w14:paraId="066E7020" w14:textId="02B1F05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“Điều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506a.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trư</w:t>
      </w:r>
      <w:r w:rsidR="000608F2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ớ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độ</w:t>
      </w:r>
    </w:p>
    <w:p w14:paraId="55D03744" w14:textId="599B07A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người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trong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trường hợp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khẩn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yêu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cầu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ngoài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theo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ước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mà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Cộng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nghĩa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viên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về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dẫn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độ.”.</w:t>
      </w:r>
    </w:p>
    <w:p w14:paraId="2FE51C06" w14:textId="17E76E41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0" w:name="RANGE!A25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giam”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giữ”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134,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332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333;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bổ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ể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vào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sau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“đã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khỏi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454.</w:t>
      </w:r>
    </w:p>
    <w:p w14:paraId="0370D060" w14:textId="44BDF2B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1" w:name="RANGE!A258"/>
      <w:bookmarkEnd w:id="13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phường,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trấn”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146.</w:t>
      </w:r>
    </w:p>
    <w:p w14:paraId="24F9EC26" w14:textId="11882F6D" w:rsidR="00824B66" w:rsidRPr="00824B66" w:rsidRDefault="00824B66" w:rsidP="000608F2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2" w:name="RANGE!A259"/>
      <w:bookmarkEnd w:id="13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152,</w:t>
      </w:r>
      <w:bookmarkEnd w:id="132"/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169,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170,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179,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180,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189,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193,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229,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231,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232,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235,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439,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449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457.</w:t>
      </w:r>
    </w:p>
    <w:p w14:paraId="22E524E1" w14:textId="0ADC2C7D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3" w:name="RANGE!A26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58.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tối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341.</w:t>
      </w:r>
    </w:p>
    <w:p w14:paraId="4BC4929F" w14:textId="1FACB8E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4" w:name="RANGE!A261"/>
      <w:bookmarkEnd w:id="13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59.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“chính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phường,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trấn”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113,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116,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123,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128,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138,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182,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185,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195,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198,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262,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8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395,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437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440.</w:t>
      </w:r>
    </w:p>
    <w:p w14:paraId="4F39B128" w14:textId="2403A49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5" w:name="RANGE!A262"/>
      <w:bookmarkEnd w:id="13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60.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“chính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địa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phương”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025B81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90.</w:t>
      </w:r>
    </w:p>
    <w:p w14:paraId="734E2BBD" w14:textId="0CCFDA0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6" w:name="RANGE!A263"/>
      <w:bookmarkEnd w:id="135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lastRenderedPageBreak/>
        <w:t>61.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phường,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thị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trấn”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ằ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xã”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262,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770DC1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286.</w:t>
      </w:r>
    </w:p>
    <w:p w14:paraId="18F0D432" w14:textId="4E753A04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7" w:name="RANGE!A264"/>
      <w:bookmarkEnd w:id="136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62.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huyện”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275;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“Tòa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dân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vực”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452.</w:t>
      </w:r>
    </w:p>
    <w:p w14:paraId="6A09303E" w14:textId="133740B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8" w:name="RANGE!A265"/>
      <w:bookmarkEnd w:id="137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63.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“khỏi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khỏi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kết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nhận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thức,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đủ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khả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khiển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290,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452;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tâm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thần”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454;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bắt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sở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khám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chữa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bệnh”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454.</w:t>
      </w:r>
    </w:p>
    <w:p w14:paraId="7D8CAF8F" w14:textId="7D54924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39" w:name="RANGE!A266"/>
      <w:bookmarkEnd w:id="138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64.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huyện”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hình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sự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Công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9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10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368.</w:t>
      </w:r>
    </w:p>
    <w:p w14:paraId="1937F684" w14:textId="360A99A0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40" w:name="RANGE!A267"/>
      <w:bookmarkEnd w:id="139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65.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ằ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Ủy ban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Tư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pháp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của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hội”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405,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406,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408,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411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412.</w:t>
      </w:r>
    </w:p>
    <w:p w14:paraId="12F8D948" w14:textId="7CEECB6C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41" w:name="RANGE!A268"/>
      <w:bookmarkEnd w:id="140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66.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cao”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ằ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tỉnh”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380.</w:t>
      </w:r>
    </w:p>
    <w:p w14:paraId="6FB462E4" w14:textId="0CE7CB03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42" w:name="RANGE!A269"/>
      <w:bookmarkEnd w:id="141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67.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“Cơ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quan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tra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thẩm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quyền”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262.</w:t>
      </w:r>
    </w:p>
    <w:p w14:paraId="7642A675" w14:textId="70BCAA82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43" w:name="RANGE!A270"/>
      <w:bookmarkEnd w:id="142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68.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Thay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thế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thuộc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Trung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ương”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bằng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“thành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phố”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các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163,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169,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274,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275.</w:t>
      </w:r>
    </w:p>
    <w:p w14:paraId="75F8CA6A" w14:textId="241938E6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44" w:name="RANGE!A271"/>
      <w:bookmarkEnd w:id="143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69.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</w:t>
      </w:r>
      <w:r w:rsidR="000608F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118,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5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146,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147,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148,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149,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156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158.</w:t>
      </w:r>
    </w:p>
    <w:p w14:paraId="647A44B5" w14:textId="4826A89F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bookmarkStart w:id="145" w:name="RANGE!A272"/>
      <w:bookmarkEnd w:id="144"/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70.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Bỏ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cụm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“Viện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trưởng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Viện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kiểm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sát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cùng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cấp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hoặc”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tại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đoạn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147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và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khoản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481.</w:t>
      </w:r>
    </w:p>
    <w:bookmarkEnd w:id="145"/>
    <w:p w14:paraId="41AACBDD" w14:textId="451041BB" w:rsidR="00824B66" w:rsidRP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Điều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2.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hành</w:t>
      </w:r>
    </w:p>
    <w:p w14:paraId="505BBDA4" w14:textId="33F672EC" w:rsidR="00824B66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có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hiệu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lực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thi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hành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từ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ngày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01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tháng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7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năm</w:t>
      </w:r>
      <w:r w:rsidRPr="00824B66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color w:val="000000" w:themeColor="text1"/>
          <w:sz w:val="20"/>
          <w:szCs w:val="20"/>
        </w:rPr>
        <w:t>2025.</w:t>
      </w:r>
    </w:p>
    <w:p w14:paraId="3D49B274" w14:textId="4D3950C2" w:rsidR="000608F2" w:rsidRPr="000608F2" w:rsidRDefault="000608F2" w:rsidP="000608F2">
      <w:pPr>
        <w:spacing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_________________________________________________________________________________</w:t>
      </w:r>
    </w:p>
    <w:p w14:paraId="0614135D" w14:textId="4044BDE7" w:rsidR="00454E03" w:rsidRDefault="00824B66" w:rsidP="00824B66">
      <w:pPr>
        <w:spacing w:after="120"/>
        <w:ind w:firstLine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Luật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này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được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Quốc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nước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Cộng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hòa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xã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hội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chủ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nghĩa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Việt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Nam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kh</w:t>
      </w:r>
      <w:r w:rsidR="000608F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>óa</w:t>
      </w:r>
      <w:r w:rsidRPr="00824B66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 xml:space="preserve"> </w:t>
      </w:r>
      <w:r w:rsidRPr="001D1384">
        <w:rPr>
          <w:rFonts w:ascii="Arial" w:eastAsia="Times New Roman" w:hAnsi="Arial" w:cs="Arial"/>
          <w:i/>
          <w:iCs/>
          <w:color w:val="000000" w:themeColor="text1"/>
          <w:sz w:val="20"/>
          <w:szCs w:val="20"/>
        </w:rPr>
        <w:t>XV,</w:t>
      </w:r>
      <w:r w:rsidR="000608F2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  <w:t xml:space="preserve"> kỳ họp thứ 9 thông qua ngày 27 tháng 6 năm 2025.</w:t>
      </w:r>
    </w:p>
    <w:p w14:paraId="3EE70BE9" w14:textId="77777777" w:rsidR="000608F2" w:rsidRDefault="000608F2" w:rsidP="00824B66">
      <w:pPr>
        <w:spacing w:after="120"/>
        <w:ind w:firstLine="720"/>
        <w:jc w:val="both"/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3"/>
        <w:gridCol w:w="4766"/>
      </w:tblGrid>
      <w:tr w:rsidR="000608F2" w:rsidRPr="00A13C91" w14:paraId="385196E1" w14:textId="77777777" w:rsidTr="00A302AE">
        <w:trPr>
          <w:tblCellSpacing w:w="0" w:type="dxa"/>
        </w:trPr>
        <w:tc>
          <w:tcPr>
            <w:tcW w:w="236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33EF" w14:textId="77777777" w:rsidR="000608F2" w:rsidRPr="00A13C91" w:rsidRDefault="000608F2" w:rsidP="00A302A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46" w:name="_Hlk200985401"/>
          </w:p>
        </w:tc>
        <w:tc>
          <w:tcPr>
            <w:tcW w:w="263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2308B" w14:textId="77777777" w:rsidR="000608F2" w:rsidRDefault="000608F2" w:rsidP="00A302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CHỦ TỊCH QUỐC HỘI</w:t>
            </w:r>
          </w:p>
          <w:p w14:paraId="52507265" w14:textId="77777777" w:rsidR="000608F2" w:rsidRDefault="000608F2" w:rsidP="00A302A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F747C2A" w14:textId="77777777" w:rsidR="000608F2" w:rsidRDefault="000608F2" w:rsidP="00A302A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FA63F7" w14:textId="77777777" w:rsidR="000608F2" w:rsidRDefault="000608F2" w:rsidP="00A302A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D1AF5C" w14:textId="77777777" w:rsidR="000608F2" w:rsidRDefault="000608F2" w:rsidP="00A302A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653291" w14:textId="0394153F" w:rsidR="000608F2" w:rsidRPr="000608F2" w:rsidRDefault="000608F2" w:rsidP="00A302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0608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Trần Thanh Mẫn</w:t>
            </w:r>
          </w:p>
        </w:tc>
      </w:tr>
      <w:bookmarkEnd w:id="146"/>
    </w:tbl>
    <w:p w14:paraId="3AD6A339" w14:textId="77777777" w:rsidR="000608F2" w:rsidRPr="000608F2" w:rsidRDefault="000608F2" w:rsidP="00824B66">
      <w:pPr>
        <w:spacing w:after="120"/>
        <w:ind w:firstLine="72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ectPr w:rsidR="000608F2" w:rsidRPr="000608F2" w:rsidSect="00824B66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0F1B7" w14:textId="77777777" w:rsidR="009A1155" w:rsidRDefault="009A1155">
      <w:r>
        <w:separator/>
      </w:r>
    </w:p>
  </w:endnote>
  <w:endnote w:type="continuationSeparator" w:id="0">
    <w:p w14:paraId="5E290F14" w14:textId="77777777" w:rsidR="009A1155" w:rsidRDefault="009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1496" w14:textId="49856CDC" w:rsidR="00472D0E" w:rsidRDefault="00472D0E">
    <w:pPr>
      <w:pStyle w:val="Footer"/>
    </w:pPr>
    <w:r w:rsidRPr="00902A6A">
      <w:rPr>
        <w:noProof/>
      </w:rPr>
      <w:drawing>
        <wp:inline distT="0" distB="0" distL="0" distR="0" wp14:anchorId="1EAE1A80" wp14:editId="183B6D87">
          <wp:extent cx="5727700" cy="572135"/>
          <wp:effectExtent l="0" t="0" r="635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A993C" w14:textId="0D78A58A" w:rsidR="00472D0E" w:rsidRDefault="00472D0E">
    <w:pPr>
      <w:pStyle w:val="Footer"/>
    </w:pPr>
    <w:r w:rsidRPr="00902A6A">
      <w:rPr>
        <w:noProof/>
      </w:rPr>
      <w:drawing>
        <wp:inline distT="0" distB="0" distL="0" distR="0" wp14:anchorId="68735C0C" wp14:editId="2C9F2C0D">
          <wp:extent cx="5727700" cy="572135"/>
          <wp:effectExtent l="0" t="0" r="6350" b="0"/>
          <wp:docPr id="60592937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A6E65" w14:textId="77777777" w:rsidR="009A1155" w:rsidRDefault="009A1155"/>
  </w:footnote>
  <w:footnote w:type="continuationSeparator" w:id="0">
    <w:p w14:paraId="4A24DFDE" w14:textId="77777777" w:rsidR="009A1155" w:rsidRDefault="009A11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9D00A" w14:textId="7C08B608" w:rsidR="00454E03" w:rsidRDefault="00454E03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7C656" w14:textId="753C4E69" w:rsidR="00454E03" w:rsidRDefault="00454E03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113"/>
    <w:multiLevelType w:val="multilevel"/>
    <w:tmpl w:val="E9F6275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1D07A3"/>
    <w:multiLevelType w:val="multilevel"/>
    <w:tmpl w:val="6086685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F55F22"/>
    <w:multiLevelType w:val="multilevel"/>
    <w:tmpl w:val="DDE2B9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380F35"/>
    <w:multiLevelType w:val="multilevel"/>
    <w:tmpl w:val="2DD012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15732A"/>
    <w:multiLevelType w:val="multilevel"/>
    <w:tmpl w:val="E6864E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2962A8"/>
    <w:multiLevelType w:val="multilevel"/>
    <w:tmpl w:val="2D50E0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532FD2"/>
    <w:multiLevelType w:val="multilevel"/>
    <w:tmpl w:val="AA88BE2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7F82E8A"/>
    <w:multiLevelType w:val="multilevel"/>
    <w:tmpl w:val="322E6D6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561D7C"/>
    <w:multiLevelType w:val="multilevel"/>
    <w:tmpl w:val="BE34724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F8D296C"/>
    <w:multiLevelType w:val="multilevel"/>
    <w:tmpl w:val="8E36512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AF24B3"/>
    <w:multiLevelType w:val="multilevel"/>
    <w:tmpl w:val="2F5C64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6135485"/>
    <w:multiLevelType w:val="multilevel"/>
    <w:tmpl w:val="70283DA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6B6821"/>
    <w:multiLevelType w:val="multilevel"/>
    <w:tmpl w:val="1800334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F937F1"/>
    <w:multiLevelType w:val="multilevel"/>
    <w:tmpl w:val="AC54B4B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8737F1"/>
    <w:multiLevelType w:val="multilevel"/>
    <w:tmpl w:val="D1E037F2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D95332"/>
    <w:multiLevelType w:val="multilevel"/>
    <w:tmpl w:val="B55287E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11086A"/>
    <w:multiLevelType w:val="multilevel"/>
    <w:tmpl w:val="DD2A0D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34D011B"/>
    <w:multiLevelType w:val="multilevel"/>
    <w:tmpl w:val="2FD67A4C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1E2F5F"/>
    <w:multiLevelType w:val="multilevel"/>
    <w:tmpl w:val="2BE0743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640731"/>
    <w:multiLevelType w:val="multilevel"/>
    <w:tmpl w:val="209E9A8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5F53E95"/>
    <w:multiLevelType w:val="multilevel"/>
    <w:tmpl w:val="1FF093F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92091A"/>
    <w:multiLevelType w:val="multilevel"/>
    <w:tmpl w:val="CA62C67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B2E020D"/>
    <w:multiLevelType w:val="multilevel"/>
    <w:tmpl w:val="A580D08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413C1A"/>
    <w:multiLevelType w:val="multilevel"/>
    <w:tmpl w:val="D3FCF74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D464EC"/>
    <w:multiLevelType w:val="multilevel"/>
    <w:tmpl w:val="0E02D1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7CA59FC"/>
    <w:multiLevelType w:val="multilevel"/>
    <w:tmpl w:val="D29A0D90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1764D2"/>
    <w:multiLevelType w:val="multilevel"/>
    <w:tmpl w:val="17626A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93B1D13"/>
    <w:multiLevelType w:val="multilevel"/>
    <w:tmpl w:val="2E20E85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3569486">
    <w:abstractNumId w:val="4"/>
  </w:num>
  <w:num w:numId="2" w16cid:durableId="146559018">
    <w:abstractNumId w:val="22"/>
  </w:num>
  <w:num w:numId="3" w16cid:durableId="1942253856">
    <w:abstractNumId w:val="17"/>
  </w:num>
  <w:num w:numId="4" w16cid:durableId="463742916">
    <w:abstractNumId w:val="11"/>
  </w:num>
  <w:num w:numId="5" w16cid:durableId="996112263">
    <w:abstractNumId w:val="7"/>
  </w:num>
  <w:num w:numId="6" w16cid:durableId="673067947">
    <w:abstractNumId w:val="20"/>
  </w:num>
  <w:num w:numId="7" w16cid:durableId="1198081148">
    <w:abstractNumId w:val="25"/>
  </w:num>
  <w:num w:numId="8" w16cid:durableId="1643002786">
    <w:abstractNumId w:val="18"/>
  </w:num>
  <w:num w:numId="9" w16cid:durableId="2049144143">
    <w:abstractNumId w:val="0"/>
  </w:num>
  <w:num w:numId="10" w16cid:durableId="444546601">
    <w:abstractNumId w:val="24"/>
  </w:num>
  <w:num w:numId="11" w16cid:durableId="940137828">
    <w:abstractNumId w:val="12"/>
  </w:num>
  <w:num w:numId="12" w16cid:durableId="1977563661">
    <w:abstractNumId w:val="26"/>
  </w:num>
  <w:num w:numId="13" w16cid:durableId="1450851224">
    <w:abstractNumId w:val="1"/>
  </w:num>
  <w:num w:numId="14" w16cid:durableId="852108641">
    <w:abstractNumId w:val="5"/>
  </w:num>
  <w:num w:numId="15" w16cid:durableId="1455905153">
    <w:abstractNumId w:val="19"/>
  </w:num>
  <w:num w:numId="16" w16cid:durableId="1130704971">
    <w:abstractNumId w:val="16"/>
  </w:num>
  <w:num w:numId="17" w16cid:durableId="856239863">
    <w:abstractNumId w:val="9"/>
  </w:num>
  <w:num w:numId="18" w16cid:durableId="559631791">
    <w:abstractNumId w:val="21"/>
  </w:num>
  <w:num w:numId="19" w16cid:durableId="659161644">
    <w:abstractNumId w:val="8"/>
  </w:num>
  <w:num w:numId="20" w16cid:durableId="568735938">
    <w:abstractNumId w:val="13"/>
  </w:num>
  <w:num w:numId="21" w16cid:durableId="2112581184">
    <w:abstractNumId w:val="14"/>
  </w:num>
  <w:num w:numId="22" w16cid:durableId="399982881">
    <w:abstractNumId w:val="15"/>
  </w:num>
  <w:num w:numId="23" w16cid:durableId="1702512595">
    <w:abstractNumId w:val="23"/>
  </w:num>
  <w:num w:numId="24" w16cid:durableId="1643581161">
    <w:abstractNumId w:val="10"/>
  </w:num>
  <w:num w:numId="25" w16cid:durableId="1158231594">
    <w:abstractNumId w:val="2"/>
  </w:num>
  <w:num w:numId="26" w16cid:durableId="2082018116">
    <w:abstractNumId w:val="3"/>
  </w:num>
  <w:num w:numId="27" w16cid:durableId="1886061547">
    <w:abstractNumId w:val="27"/>
  </w:num>
  <w:num w:numId="28" w16cid:durableId="885609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03"/>
    <w:rsid w:val="00025B81"/>
    <w:rsid w:val="000608F2"/>
    <w:rsid w:val="00270A6D"/>
    <w:rsid w:val="00454E03"/>
    <w:rsid w:val="00472D0E"/>
    <w:rsid w:val="005F79F7"/>
    <w:rsid w:val="00682EED"/>
    <w:rsid w:val="00770DC1"/>
    <w:rsid w:val="007C433C"/>
    <w:rsid w:val="00824B66"/>
    <w:rsid w:val="008B4767"/>
    <w:rsid w:val="009434CC"/>
    <w:rsid w:val="009A1155"/>
    <w:rsid w:val="00C77A81"/>
    <w:rsid w:val="00D34F14"/>
    <w:rsid w:val="00E808A7"/>
    <w:rsid w:val="00EE1433"/>
    <w:rsid w:val="00EE1CF5"/>
    <w:rsid w:val="00E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D385F"/>
  <w15:docId w15:val="{F89E09AB-9EF2-4309-9BF1-B435AF69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</w:rPr>
  </w:style>
  <w:style w:type="character" w:customStyle="1" w:styleId="utranghocchntrang2">
    <w:name w:val="Đầu trang hoặc chân trang (2)_"/>
    <w:basedOn w:val="DefaultParagraphFont"/>
    <w:link w:val="utranghocchntra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thchnh">
    <w:name w:val="Chú thích ảnh_"/>
    <w:basedOn w:val="DefaultParagraphFont"/>
    <w:link w:val="Chthchnh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shd w:val="clear" w:color="auto" w:fill="auto"/>
    </w:rPr>
  </w:style>
  <w:style w:type="paragraph" w:customStyle="1" w:styleId="Vnbnnidung0">
    <w:name w:val="Văn bản nội dung"/>
    <w:basedOn w:val="Normal"/>
    <w:link w:val="Vnbnnidung"/>
    <w:pPr>
      <w:spacing w:after="100" w:line="286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utranghocchntrang20">
    <w:name w:val="Đầu trang hoặc chân trang (2)"/>
    <w:basedOn w:val="Normal"/>
    <w:link w:val="utranghocchntrang2"/>
    <w:rPr>
      <w:rFonts w:ascii="Times New Roman" w:eastAsia="Times New Roman" w:hAnsi="Times New Roman" w:cs="Times New Roman"/>
      <w:sz w:val="20"/>
      <w:szCs w:val="20"/>
    </w:rPr>
  </w:style>
  <w:style w:type="paragraph" w:customStyle="1" w:styleId="Chthchnh0">
    <w:name w:val="Chú thích ảnh"/>
    <w:basedOn w:val="Normal"/>
    <w:link w:val="Chthchnh"/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4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B66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4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B6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8634</Words>
  <Characters>49218</Characters>
  <Application>Microsoft Office Word</Application>
  <DocSecurity>0</DocSecurity>
  <Lines>410</Lines>
  <Paragraphs>115</Paragraphs>
  <ScaleCrop>false</ScaleCrop>
  <Company/>
  <LinksUpToDate>false</LinksUpToDate>
  <CharactersWithSpaces>57737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QUYNH ANH NGUYEN</cp:lastModifiedBy>
  <cp:revision>7</cp:revision>
  <dcterms:created xsi:type="dcterms:W3CDTF">2025-06-28T16:02:00Z</dcterms:created>
  <dcterms:modified xsi:type="dcterms:W3CDTF">2025-09-24T04:22:00Z</dcterms:modified>
</cp:coreProperties>
</file>