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module ADS1115 đo điện áp – dòng điện, đồng hồ thời gian thực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1"/>
      </w:pPr>
      <w:r>
        <w:t>CHƯƠNG 2. CƠ SỞ LÝ THUYẾT VÀ TỔNG QUAN LINH KIỆN</w:t>
      </w:r>
    </w:p>
    <w:p>
      <w:pPr>
        <w:pStyle w:val="Heading2"/>
      </w:pPr>
      <w:r>
        <w:t>2.1. Pin năng lượng Mặt Trời</w:t>
      </w:r>
    </w:p>
    <w:p>
      <w:pPr/>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pPr/>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pPr/>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pPr>
        <w:pStyle w:val="Heading2"/>
      </w:pPr>
      <w:r>
        <w:t>2.2. Cảm biến quang trở (LDR)</w:t>
      </w:r>
    </w:p>
    <w:p>
      <w:pPr/>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pPr/>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pPr>
        <w:pStyle w:val="Heading2"/>
      </w:pPr>
      <w:r>
        <w:t>2.3. Diode quang (photodiode)</w:t>
      </w:r>
    </w:p>
    <w:p>
      <w:pPr/>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pPr/>
      <w:r>
        <w:t>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ngoài ý muốn và chọn dải phổ phù hợp. Trong cấu hình đề tài, photodiode được giới thiệu như phương án cảm biến thay thế, không mặc định lắp chung với LDR.</w:t>
      </w:r>
    </w:p>
    <w:p>
      <w:pPr>
        <w:pStyle w:val="Heading2"/>
      </w:pPr>
      <w:r>
        <w:t>2.4. Bộ điều khiển ESP32</w:t>
      </w:r>
    </w:p>
    <w:p>
      <w:pPr/>
      <w:r>
        <w:t>ESP32 (kiến trúc Xtensa LX6 hai nhân, 240 MHz, 4 MB flash) được chọn làm bộ điều khiển duy nhất của mô hình. Bo có 18 kênh ADC 12 bit, trong đó 8 kênh ADC1 (GPIO36, 39, 34, 35, 32, 33, 25, 26) ổn định ngay cả khi bật WiFi, đủ cho bốn kênh LDR và hai biến trở hồi tiếp; khối LEDC cung cấp PWM; các bus I²C/UART dùng cho RTC và module đo U–I. Mức logic 3,3 V nên không đưa tín hiệu 5 V trực tiếp vào chân ESP32 khi chưa có mạch chia áp hoặc chuyển mức; nguồn logic phải lọc tách khỏi nhiễu do động cơ [8].</w:t>
      </w:r>
    </w:p>
    <w:p>
      <w:pPr/>
      <w:r>
        <w:t>So với các bo AVR 8 bit, ESP32 dư năng lực tính các hàm lượng giác (atan) ngay trong vòng điều khiển, nhờ đó thực hiện được phương pháp suy ra góc cần quay từ ma trận LDR mà không phải dò bước theo thời gian. Báo cáo không dùng bo Arduino nào trong mạch; Arduino chỉ xuất hiện với vai trò môi trường phát triển IDE ở quyển lập trình.</w:t>
      </w:r>
    </w:p>
    <w:p>
      <w:pPr>
        <w:pStyle w:val="Heading2"/>
      </w:pPr>
      <w:r>
        <w:t>2.5. Động cơ gạt nước ô tô trục vít và hồi tiếp vị trí</w:t>
      </w:r>
    </w:p>
    <w:p>
      <w:pPr/>
      <w:r>
        <w:t>Cơ cấu chấp hành đề xuất là động cơ gạt nước kính ô tô 12 V kèm hộp giảm tốc trục vít – bánh vít. Ưu điểm quyết định của lựa chọn này là cặp trục vít tự hãm: khi ngắt điện hoặc dừng cấp lệnh, trục vít không bị bánh vít kéo quay ngược, nên tấm pin tự giữ nguyên vị trí dưới tác động của gió và trọng lượng bản thân mà không cần nuôi điện giữ; động cơ còn có mô-men danh định lớn (khoảng 8–12 N·m), giá thành thấp, sẵn có và có công tắc tự đỗ (auto-park) hữu ích khi tìm mốc home.</w:t>
      </w:r>
    </w:p>
    <w:p>
      <w:pPr/>
      <w:r>
        <w:t>Hạn chế cần xử lý: tốc độ quay cố định, dòng làm việc 3–6 A nên phải đóng cắt bằng module relay hoặc cầu H MOSFET kèm cầu chì riêng; động cơ không tự báo góc nên phải lắp thêm biến trở xoay đồng trục làm hồi tiếp vị trí để chương trình biết góc hiện tại và dừng đúng góc đích. Chiều quay được đảo bằng cách đổi cực qua hai kênh relay.</w:t>
      </w:r>
    </w:p>
    <w:p>
      <w:pPr>
        <w:pStyle w:val="Heading2"/>
      </w:pPr>
      <w:r>
        <w:t>2.6. Công tắc hành trình</w:t>
      </w:r>
    </w:p>
    <w:p>
      <w:pPr/>
      <w: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pPr/>
      <w: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pPr>
        <w:pStyle w:val="Heading2"/>
      </w:pPr>
      <w:r>
        <w:t>2.7. Vị trí Mặt Trời và góc theo ngày, giờ</w:t>
      </w:r>
    </w:p>
    <w:p>
      <w:pPr>
        <w:pStyle w:val="Heading3"/>
      </w:pPr>
      <w:r>
        <w:t>2.7.1.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một trục</w:t>
      </w:r>
    </w:p>
    <w:p>
      <w:pPr/>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pPr/>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pPr>
        <w:pStyle w:val="Heading2"/>
      </w:pPr>
      <w:r>
        <w:t>2.8.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phương án phù hợp với đề tài vì kết hợp được tính ổn định của mô hình với khả năng tự hiệu chuẩn của cảm biến [4, 6].</w:t>
      </w:r>
    </w:p>
    <w:p>
      <w:pPr>
        <w:pStyle w:val="Heading3"/>
      </w:pPr>
      <w:r>
        <w:t>2.9.5. Cảm biến Mặt Trời quang học chuyên dụng</w:t>
      </w:r>
    </w:p>
    <w:p>
      <w:pPr/>
      <w: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t>Việc lựa chọn cần cân bằng sai số góc, năng lượng thuần sau khi trừ điện năng truyền động, giá thành, tải gió, độ bền, bảo trì, độ phức tạp và khả năng vận hành khi mây hoặc mất cảm biến. Với mô hình một trục, phương án lai thiên văn-LDR có vùng chết và chế độ giữ vị trí khi tín hiệu kém là lựa chọn đề xuất; với mô hình hai trục, dùng SPA làm đường đặt nền và LDR chỉ hiệu chỉnh có điều kiện giúp hạn chế phụ thuộc vào tín hiệu quang. Hiệu quả của mỗi phương án chỉ có thể kết luận sau khi thử nghiệm cùng điều kiện với tấm pin cố định.</w:t>
      </w:r>
    </w:p>
    <w:p>
      <w:pPr>
        <w:pStyle w:val="Heading2"/>
      </w:pPr>
      <w:r>
        <w:t>2.10. Xử lý tín hiệu và tiêu chí đánh giá</w:t>
      </w:r>
    </w:p>
    <w:p>
      <w:pPr/>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pPr/>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pPr>
        <w:pStyle w:val="Heading1"/>
      </w:pPr>
      <w:r>
        <w:t>CHƯƠNG 3. KẾT QUẢ NGHIÊN CỨU VÀ KIỂM CHỨNG PHƯƠNG PHÁP BẰNG MÔ PHỎNG SỐ</w:t>
      </w:r>
    </w:p>
    <w:p>
      <w:pPr>
        <w:pStyle w:val="Heading2"/>
      </w:pPr>
      <w:r>
        <w:t>3.1. Cấu hình mô phỏng</w:t>
      </w:r>
    </w:p>
    <w:p>
      <w:pPr/>
      <w:r>
        <w:t>Phương pháp đề xuất được kiểm chứng bằng mô phỏng số viết bằng Python (tools/mo_phong.py trong kho báo cáo), không suy diễn bằng tay. Vị trí mô phỏng là Mỹ Hào, Hưng Yên (20,93° Bắc; 106,06° Đông); bốn ngày đại diện 21/3, 21/6, 23/9 và 21/12; bước thời gian 1–5 phút từ 5h đến 19h giờ Mặt Trời. Vectơ Mặt Trời tính từ xích vĩ và góc giờ; thành phần trực xạ thu được tỉ lệ với cosin góc tới; tấm cố định đối chứng nghiêng 21° hướng Nam.</w:t>
      </w:r>
    </w:p>
    <w:p>
      <w:pPr/>
      <w:r>
        <w:t>Cụm bốn LDR được mô hình hóa đúng cấu hình gá: trong mặt phẳng quay, cảm biến bên phải có trục cảm quang lệch +β_s và bên trái lệch −β_s so với pháp tuyến, nên đáp ứng tỉ lệ với cos(Δ ∓ β_s) với Δ là góc lệch giữa hướng Mặt Trời và pháp tuyến. Trên mô hình này lần lượt đặt thêm sai khác độ lợi ±5% giữa các kênh, nhiễu đọc 2% và thành phần khuếch tán 15% để khảo sát độ bền của phương pháp.</w:t>
      </w:r>
    </w:p>
    <w:p>
      <w:pPr>
        <w:pStyle w:val="Heading2"/>
      </w:pPr>
      <w:r>
        <w:t>3.2. Kết quả hiệu suất thu trực xạ của từng cấu hình</w:t>
      </w:r>
    </w:p>
    <w:p>
      <w:pPr>
        <w:pStyle w:val="Caption"/>
        <w:spacing w:after="80"/>
      </w:pPr>
      <w:r>
        <w:t>Bảng 1. Năng lượng trực xạ thu được trong ngày (đơn vị tương đối cos·dt)</w:t>
      </w:r>
    </w:p>
    <w:tbl>
      <w:tblPr>
        <w:tblStyle w:val="TableGrid"/>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Pr>
          <w:p>
            <w:pPr>
              <w:spacing w:after="40"/>
              <w:ind w:firstLine="0"/>
            </w:pPr>
            <w:r>
              <w:rPr>
                <w:b/>
                <w:sz w:val="22"/>
              </w:rPr>
              <w:t>Ngày đại diện</w:t>
            </w:r>
          </w:p>
        </w:tc>
        <w:tc>
          <w:tcPr>
            <w:tcW w:type="dxa" w:w="1505"/>
          </w:tcPr>
          <w:p>
            <w:pPr>
              <w:spacing w:after="40"/>
              <w:ind w:firstLine="0"/>
            </w:pPr>
            <w:r>
              <w:rPr>
                <w:b/>
                <w:sz w:val="22"/>
              </w:rPr>
              <w:t>Tấm cố định 21°</w:t>
            </w:r>
          </w:p>
        </w:tc>
        <w:tc>
          <w:tcPr>
            <w:tcW w:type="dxa" w:w="1505"/>
          </w:tcPr>
          <w:p>
            <w:pPr>
              <w:spacing w:after="40"/>
              <w:ind w:firstLine="0"/>
            </w:pPr>
            <w:r>
              <w:rPr>
                <w:b/>
                <w:sz w:val="22"/>
              </w:rPr>
              <w:t>Bám 1 trục</w:t>
            </w:r>
          </w:p>
        </w:tc>
        <w:tc>
          <w:tcPr>
            <w:tcW w:type="dxa" w:w="1505"/>
          </w:tcPr>
          <w:p>
            <w:pPr>
              <w:spacing w:after="40"/>
              <w:ind w:firstLine="0"/>
            </w:pPr>
            <w:r>
              <w:rPr>
                <w:b/>
                <w:sz w:val="22"/>
              </w:rPr>
              <w:t>Tăng so cố định</w:t>
            </w:r>
          </w:p>
        </w:tc>
        <w:tc>
          <w:tcPr>
            <w:tcW w:type="dxa" w:w="1505"/>
          </w:tcPr>
          <w:p>
            <w:pPr>
              <w:spacing w:after="40"/>
              <w:ind w:firstLine="0"/>
            </w:pPr>
            <w:r>
              <w:rPr>
                <w:b/>
                <w:sz w:val="22"/>
              </w:rPr>
              <w:t>Bám 2 trục</w:t>
            </w:r>
          </w:p>
        </w:tc>
        <w:tc>
          <w:tcPr>
            <w:tcW w:type="dxa" w:w="1505"/>
          </w:tcPr>
          <w:p>
            <w:pPr>
              <w:spacing w:after="40"/>
              <w:ind w:firstLine="0"/>
            </w:pPr>
            <w:r>
              <w:rPr>
                <w:b/>
                <w:sz w:val="22"/>
              </w:rPr>
              <w:t>Tăng so 1 trục</w:t>
            </w:r>
          </w:p>
        </w:tc>
      </w:tr>
      <w:tr>
        <w:tc>
          <w:tcPr>
            <w:tcW w:type="dxa" w:w="1505"/>
          </w:tcPr>
          <w:p>
            <w:pPr>
              <w:spacing w:after="40"/>
              <w:ind w:firstLine="0"/>
            </w:pPr>
            <w:r>
              <w:rPr>
                <w:sz w:val="22"/>
              </w:rPr>
              <w:t>21/3</w:t>
            </w:r>
          </w:p>
        </w:tc>
        <w:tc>
          <w:tcPr>
            <w:tcW w:type="dxa" w:w="1505"/>
          </w:tcPr>
          <w:p>
            <w:pPr>
              <w:spacing w:after="40"/>
              <w:ind w:firstLine="0"/>
            </w:pPr>
            <w:r>
              <w:rPr>
                <w:sz w:val="22"/>
              </w:rPr>
              <w:t>67,5</w:t>
            </w:r>
          </w:p>
        </w:tc>
        <w:tc>
          <w:tcPr>
            <w:tcW w:type="dxa" w:w="1505"/>
          </w:tcPr>
          <w:p>
            <w:pPr>
              <w:spacing w:after="40"/>
              <w:ind w:firstLine="0"/>
            </w:pPr>
            <w:r>
              <w:rPr>
                <w:sz w:val="22"/>
              </w:rPr>
              <w:t>138,1</w:t>
            </w:r>
          </w:p>
        </w:tc>
        <w:tc>
          <w:tcPr>
            <w:tcW w:type="dxa" w:w="1505"/>
          </w:tcPr>
          <w:p>
            <w:pPr>
              <w:spacing w:after="40"/>
              <w:ind w:firstLine="0"/>
            </w:pPr>
            <w:r>
              <w:rPr>
                <w:sz w:val="22"/>
              </w:rPr>
              <w:t>+104,5%</w:t>
            </w:r>
          </w:p>
        </w:tc>
        <w:tc>
          <w:tcPr>
            <w:tcW w:type="dxa" w:w="1505"/>
          </w:tcPr>
          <w:p>
            <w:pPr>
              <w:spacing w:after="40"/>
              <w:ind w:firstLine="0"/>
            </w:pPr>
            <w:r>
              <w:rPr>
                <w:sz w:val="22"/>
              </w:rPr>
              <w:t>143,0</w:t>
            </w:r>
          </w:p>
        </w:tc>
        <w:tc>
          <w:tcPr>
            <w:tcW w:type="dxa" w:w="1505"/>
          </w:tcPr>
          <w:p>
            <w:pPr>
              <w:spacing w:after="40"/>
              <w:ind w:firstLine="0"/>
            </w:pPr>
            <w:r>
              <w:rPr>
                <w:sz w:val="22"/>
              </w:rPr>
              <w:t>+3,6%</w:t>
            </w:r>
          </w:p>
        </w:tc>
      </w:tr>
      <w:tr>
        <w:tc>
          <w:tcPr>
            <w:tcW w:type="dxa" w:w="1505"/>
          </w:tcPr>
          <w:p>
            <w:pPr>
              <w:spacing w:after="40"/>
              <w:ind w:firstLine="0"/>
            </w:pPr>
            <w:r>
              <w:rPr>
                <w:sz w:val="22"/>
              </w:rPr>
              <w:t>21/6</w:t>
            </w:r>
          </w:p>
        </w:tc>
        <w:tc>
          <w:tcPr>
            <w:tcW w:type="dxa" w:w="1505"/>
          </w:tcPr>
          <w:p>
            <w:pPr>
              <w:spacing w:after="40"/>
              <w:ind w:firstLine="0"/>
            </w:pPr>
            <w:r>
              <w:rPr>
                <w:sz w:val="22"/>
              </w:rPr>
              <w:t>104,0</w:t>
            </w:r>
          </w:p>
        </w:tc>
        <w:tc>
          <w:tcPr>
            <w:tcW w:type="dxa" w:w="1505"/>
          </w:tcPr>
          <w:p>
            <w:pPr>
              <w:spacing w:after="40"/>
              <w:ind w:firstLine="0"/>
            </w:pPr>
            <w:r>
              <w:rPr>
                <w:sz w:val="22"/>
              </w:rPr>
              <w:t>155,1</w:t>
            </w:r>
          </w:p>
        </w:tc>
        <w:tc>
          <w:tcPr>
            <w:tcW w:type="dxa" w:w="1505"/>
          </w:tcPr>
          <w:p>
            <w:pPr>
              <w:spacing w:after="40"/>
              <w:ind w:firstLine="0"/>
            </w:pPr>
            <w:r>
              <w:rPr>
                <w:sz w:val="22"/>
              </w:rPr>
              <w:t>+49,1%</w:t>
            </w:r>
          </w:p>
        </w:tc>
        <w:tc>
          <w:tcPr>
            <w:tcW w:type="dxa" w:w="1505"/>
          </w:tcPr>
          <w:p>
            <w:pPr>
              <w:spacing w:after="40"/>
              <w:ind w:firstLine="0"/>
            </w:pPr>
            <w:r>
              <w:rPr>
                <w:sz w:val="22"/>
              </w:rPr>
              <w:t>159,0</w:t>
            </w:r>
          </w:p>
        </w:tc>
        <w:tc>
          <w:tcPr>
            <w:tcW w:type="dxa" w:w="1505"/>
          </w:tcPr>
          <w:p>
            <w:pPr>
              <w:spacing w:after="40"/>
              <w:ind w:firstLine="0"/>
            </w:pPr>
            <w:r>
              <w:rPr>
                <w:sz w:val="22"/>
              </w:rPr>
              <w:t>+2,5%</w:t>
            </w:r>
          </w:p>
        </w:tc>
      </w:tr>
      <w:tr>
        <w:tc>
          <w:tcPr>
            <w:tcW w:type="dxa" w:w="1505"/>
          </w:tcPr>
          <w:p>
            <w:pPr>
              <w:spacing w:after="40"/>
              <w:ind w:firstLine="0"/>
            </w:pPr>
            <w:r>
              <w:rPr>
                <w:sz w:val="22"/>
              </w:rPr>
              <w:t>23/9</w:t>
            </w:r>
          </w:p>
        </w:tc>
        <w:tc>
          <w:tcPr>
            <w:tcW w:type="dxa" w:w="1505"/>
          </w:tcPr>
          <w:p>
            <w:pPr>
              <w:spacing w:after="40"/>
              <w:ind w:firstLine="0"/>
            </w:pPr>
            <w:r>
              <w:rPr>
                <w:sz w:val="22"/>
              </w:rPr>
              <w:t>66,5</w:t>
            </w:r>
          </w:p>
        </w:tc>
        <w:tc>
          <w:tcPr>
            <w:tcW w:type="dxa" w:w="1505"/>
          </w:tcPr>
          <w:p>
            <w:pPr>
              <w:spacing w:after="40"/>
              <w:ind w:firstLine="0"/>
            </w:pPr>
            <w:r>
              <w:rPr>
                <w:sz w:val="22"/>
              </w:rPr>
              <w:t>137,7</w:t>
            </w:r>
          </w:p>
        </w:tc>
        <w:tc>
          <w:tcPr>
            <w:tcW w:type="dxa" w:w="1505"/>
          </w:tcPr>
          <w:p>
            <w:pPr>
              <w:spacing w:after="40"/>
              <w:ind w:firstLine="0"/>
            </w:pPr>
            <w:r>
              <w:rPr>
                <w:sz w:val="22"/>
              </w:rPr>
              <w:t>+107,1%</w:t>
            </w:r>
          </w:p>
        </w:tc>
        <w:tc>
          <w:tcPr>
            <w:tcW w:type="dxa" w:w="1505"/>
          </w:tcPr>
          <w:p>
            <w:pPr>
              <w:spacing w:after="40"/>
              <w:ind w:firstLine="0"/>
            </w:pPr>
            <w:r>
              <w:rPr>
                <w:sz w:val="22"/>
              </w:rPr>
              <w:t>143,0</w:t>
            </w:r>
          </w:p>
        </w:tc>
        <w:tc>
          <w:tcPr>
            <w:tcW w:type="dxa" w:w="1505"/>
          </w:tcPr>
          <w:p>
            <w:pPr>
              <w:spacing w:after="40"/>
              <w:ind w:firstLine="0"/>
            </w:pPr>
            <w:r>
              <w:rPr>
                <w:sz w:val="22"/>
              </w:rPr>
              <w:t>+3,8%</w:t>
            </w:r>
          </w:p>
        </w:tc>
      </w:tr>
      <w:tr>
        <w:tc>
          <w:tcPr>
            <w:tcW w:type="dxa" w:w="1505"/>
          </w:tcPr>
          <w:p>
            <w:pPr>
              <w:spacing w:after="40"/>
              <w:ind w:firstLine="0"/>
            </w:pPr>
            <w:r>
              <w:rPr>
                <w:sz w:val="22"/>
              </w:rPr>
              <w:t>21/12</w:t>
            </w:r>
          </w:p>
        </w:tc>
        <w:tc>
          <w:tcPr>
            <w:tcW w:type="dxa" w:w="1505"/>
          </w:tcPr>
          <w:p>
            <w:pPr>
              <w:spacing w:after="40"/>
              <w:ind w:firstLine="0"/>
            </w:pPr>
            <w:r>
              <w:rPr>
                <w:sz w:val="22"/>
              </w:rPr>
              <w:t>29,1</w:t>
            </w:r>
          </w:p>
        </w:tc>
        <w:tc>
          <w:tcPr>
            <w:tcW w:type="dxa" w:w="1505"/>
          </w:tcPr>
          <w:p>
            <w:pPr>
              <w:spacing w:after="40"/>
              <w:ind w:firstLine="0"/>
            </w:pPr>
            <w:r>
              <w:rPr>
                <w:sz w:val="22"/>
              </w:rPr>
              <w:t>102,2</w:t>
            </w:r>
          </w:p>
        </w:tc>
        <w:tc>
          <w:tcPr>
            <w:tcW w:type="dxa" w:w="1505"/>
          </w:tcPr>
          <w:p>
            <w:pPr>
              <w:spacing w:after="40"/>
              <w:ind w:firstLine="0"/>
            </w:pPr>
            <w:r>
              <w:rPr>
                <w:sz w:val="22"/>
              </w:rPr>
              <w:t>+251,3%</w:t>
            </w:r>
          </w:p>
        </w:tc>
        <w:tc>
          <w:tcPr>
            <w:tcW w:type="dxa" w:w="1505"/>
          </w:tcPr>
          <w:p>
            <w:pPr>
              <w:spacing w:after="40"/>
              <w:ind w:firstLine="0"/>
            </w:pPr>
            <w:r>
              <w:rPr>
                <w:sz w:val="22"/>
              </w:rPr>
              <w:t>129,0</w:t>
            </w:r>
          </w:p>
        </w:tc>
        <w:tc>
          <w:tcPr>
            <w:tcW w:type="dxa" w:w="1505"/>
          </w:tcPr>
          <w:p>
            <w:pPr>
              <w:spacing w:after="40"/>
              <w:ind w:firstLine="0"/>
            </w:pPr>
            <w:r>
              <w:rPr>
                <w:sz w:val="22"/>
              </w:rPr>
              <w:t>+26,2%</w:t>
            </w:r>
          </w:p>
        </w:tc>
      </w:tr>
    </w:tbl>
    <w:p>
      <w:pPr/>
    </w:p>
    <w:p>
      <w:pPr/>
      <w:r>
        <w:t>Kết quả cho thấy bám một trục Đông–Tây đã thu thêm 49% đến 251% năng lượng trực xạ so với tấm cố định tùy mùa, mùa đông chênh lệch lớn nhất vì Mặt Trời đi thấp và lệch Nam; hệ hai trục nhỉnh hơn một trục 2,5–3,8% vào các ngày gần phân điểm nhưng tới 26,2% ngày đông chí. Đây là căn cứ định lượng để chốt phạm vi cơ khí: mô hình một trục đủ đại diện cho phần thuật toán, còn cấu hình hai trục dùng khi cần khảo sát mùa đông.</w:t>
      </w:r>
    </w:p>
    <w:p>
      <w:pPr>
        <w:pStyle w:val="Heading2"/>
      </w:pPr>
      <w:r>
        <w:t>3.3. Kết quả độ chính xác của phép suy góc từ ma trận LDR</w:t>
      </w:r>
    </w:p>
    <w:p>
      <w:pPr/>
      <w:r>
        <w:t>Từ mô hình đáp ứng cos(Δ ∓ β_s), quan hệ chính xác giữa đại lượng đo được và góc lệch là e = (L_phải − L_trái)/(L_phải + L_trái) = tan Δ·tan β_s, suy ra Δ = atan(e/tan β_s). Phép suy góc này được khảo sát Monte Carlo 400 lần với góc lệch ban đầu 2–12°:</w:t>
      </w:r>
    </w:p>
    <w:p>
      <w:pPr>
        <w:pStyle w:val="Caption"/>
        <w:spacing w:after="80"/>
      </w:pPr>
      <w:r>
        <w:t>Bảng 2. Sai số của phép suy góc cần quay từ ma trận 4 LDR (β_s = 30°)</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Điều kiện tín hiệu</w:t>
            </w:r>
          </w:p>
        </w:tc>
        <w:tc>
          <w:tcPr>
            <w:tcW w:type="dxa" w:w="4514"/>
          </w:tcPr>
          <w:p>
            <w:pPr>
              <w:spacing w:after="40"/>
              <w:ind w:firstLine="0"/>
            </w:pPr>
            <w:r>
              <w:rPr>
                <w:b/>
                <w:sz w:val="22"/>
              </w:rPr>
              <w:t>Sai số RMSE của góc suy ra</w:t>
            </w:r>
          </w:p>
        </w:tc>
      </w:tr>
      <w:tr>
        <w:tc>
          <w:tcPr>
            <w:tcW w:type="dxa" w:w="4514"/>
          </w:tcPr>
          <w:p>
            <w:pPr>
              <w:spacing w:after="40"/>
              <w:ind w:firstLine="0"/>
            </w:pPr>
            <w:r>
              <w:rPr>
                <w:sz w:val="22"/>
              </w:rPr>
              <w:t>Lý tưởng (kênh đồng đều, không nhiễu)</w:t>
            </w:r>
          </w:p>
        </w:tc>
        <w:tc>
          <w:tcPr>
            <w:tcW w:type="dxa" w:w="4514"/>
          </w:tcPr>
          <w:p>
            <w:pPr>
              <w:spacing w:after="40"/>
              <w:ind w:firstLine="0"/>
            </w:pPr>
            <w:r>
              <w:rPr>
                <w:sz w:val="22"/>
              </w:rPr>
              <w:t>0,00°</w:t>
            </w:r>
          </w:p>
        </w:tc>
      </w:tr>
      <w:tr>
        <w:tc>
          <w:tcPr>
            <w:tcW w:type="dxa" w:w="4514"/>
          </w:tcPr>
          <w:p>
            <w:pPr>
              <w:spacing w:after="40"/>
              <w:ind w:firstLine="0"/>
            </w:pPr>
            <w:r>
              <w:rPr>
                <w:sz w:val="22"/>
              </w:rPr>
              <w:t>Sai khác độ lợi ±5% giữa các kênh, chưa hiệu chuẩn</w:t>
            </w:r>
          </w:p>
        </w:tc>
        <w:tc>
          <w:tcPr>
            <w:tcW w:type="dxa" w:w="4514"/>
          </w:tcPr>
          <w:p>
            <w:pPr>
              <w:spacing w:after="40"/>
              <w:ind w:firstLine="0"/>
            </w:pPr>
            <w:r>
              <w:rPr>
                <w:sz w:val="22"/>
              </w:rPr>
              <w:t>1,98°</w:t>
            </w:r>
          </w:p>
        </w:tc>
      </w:tr>
      <w:tr>
        <w:tc>
          <w:tcPr>
            <w:tcW w:type="dxa" w:w="4514"/>
          </w:tcPr>
          <w:p>
            <w:pPr>
              <w:spacing w:after="40"/>
              <w:ind w:firstLine="0"/>
            </w:pPr>
            <w:r>
              <w:rPr>
                <w:sz w:val="22"/>
              </w:rPr>
              <w:t>Sai khác độ lợi ±5%, đã hiệu chuẩn hệ số kênh</w:t>
            </w:r>
          </w:p>
        </w:tc>
        <w:tc>
          <w:tcPr>
            <w:tcW w:type="dxa" w:w="4514"/>
          </w:tcPr>
          <w:p>
            <w:pPr>
              <w:spacing w:after="40"/>
              <w:ind w:firstLine="0"/>
            </w:pPr>
            <w:r>
              <w:rPr>
                <w:sz w:val="22"/>
              </w:rPr>
              <w:t>0,00°</w:t>
            </w:r>
          </w:p>
        </w:tc>
      </w:tr>
      <w:tr>
        <w:tc>
          <w:tcPr>
            <w:tcW w:type="dxa" w:w="4514"/>
          </w:tcPr>
          <w:p>
            <w:pPr>
              <w:spacing w:after="40"/>
              <w:ind w:firstLine="0"/>
            </w:pPr>
            <w:r>
              <w:rPr>
                <w:sz w:val="22"/>
              </w:rPr>
              <w:t>Nhiễu đọc 2%</w:t>
            </w:r>
          </w:p>
        </w:tc>
        <w:tc>
          <w:tcPr>
            <w:tcW w:type="dxa" w:w="4514"/>
          </w:tcPr>
          <w:p>
            <w:pPr>
              <w:spacing w:after="40"/>
              <w:ind w:firstLine="0"/>
            </w:pPr>
            <w:r>
              <w:rPr>
                <w:sz w:val="22"/>
              </w:rPr>
              <w:t>1,29°</w:t>
            </w:r>
          </w:p>
        </w:tc>
      </w:tr>
      <w:tr>
        <w:tc>
          <w:tcPr>
            <w:tcW w:type="dxa" w:w="4514"/>
          </w:tcPr>
          <w:p>
            <w:pPr>
              <w:spacing w:after="40"/>
              <w:ind w:firstLine="0"/>
            </w:pPr>
            <w:r>
              <w:rPr>
                <w:sz w:val="22"/>
              </w:rPr>
              <w:t>Thành phần khuếch tán 15%</w:t>
            </w:r>
          </w:p>
        </w:tc>
        <w:tc>
          <w:tcPr>
            <w:tcW w:type="dxa" w:w="4514"/>
          </w:tcPr>
          <w:p>
            <w:pPr>
              <w:spacing w:after="40"/>
              <w:ind w:firstLine="0"/>
            </w:pPr>
            <w:r>
              <w:rPr>
                <w:sz w:val="22"/>
              </w:rPr>
              <w:t>1,09°</w:t>
            </w:r>
          </w:p>
        </w:tc>
      </w:tr>
      <w:tr>
        <w:tc>
          <w:tcPr>
            <w:tcW w:type="dxa" w:w="4514"/>
          </w:tcPr>
          <w:p>
            <w:pPr>
              <w:spacing w:after="40"/>
              <w:ind w:firstLine="0"/>
            </w:pPr>
            <w:r>
              <w:rPr>
                <w:sz w:val="22"/>
              </w:rPr>
              <w:t>Tổng hợp cả ba, đã hiệu chuẩn hệ số kênh</w:t>
            </w:r>
          </w:p>
        </w:tc>
        <w:tc>
          <w:tcPr>
            <w:tcW w:type="dxa" w:w="4514"/>
          </w:tcPr>
          <w:p>
            <w:pPr>
              <w:spacing w:after="40"/>
              <w:ind w:firstLine="0"/>
            </w:pPr>
            <w:r>
              <w:rPr>
                <w:sz w:val="22"/>
              </w:rPr>
              <w:t>1,65°</w:t>
            </w:r>
          </w:p>
        </w:tc>
      </w:tr>
    </w:tbl>
    <w:p>
      <w:pPr/>
    </w:p>
    <w:p>
      <w:pPr/>
      <w:r>
        <w:t>Bảng trên chốt hai quyết định thiết kế: một là bắt buộc hiệu chuẩn hệ số độ lợi bốn kênh dưới nguồn sáng khuếch tán (khử trọn sai số do lệch kênh); hai là chọn góc gá β_s = 30° vì tan β_s = 0,577 đủ lớn để góc lệch 3° đã tạo e ≈ 0,030, lớn hơn nhiều mức nhiễu đọc, nhưng chưa gây bão hòa cảm biến trong dải lệch ±40°. Với vùng chết δ = 3°, sai số dư sau hiệu chuẩn khoảng 1,65° là chấp nhận được so với sai số cơ khí của khớp trục vít.</w:t>
      </w:r>
    </w:p>
    <w:p>
      <w:pPr>
        <w:pStyle w:val="Heading2"/>
      </w:pPr>
      <w:r>
        <w:t>3.4. So sánh với phương pháp bám bước theo thời gian</w:t>
      </w:r>
    </w:p>
    <w:p>
      <w:pPr/>
      <w:r>
        <w:t>Vòng kín cả ngày được mô phỏng cho hai luật điều khiển: luật cũ dịch chuyển một bước góc cố định mỗi lần sai lệch vượt ngưỡng (quay theo thời gian) và luật mới suy góc trực tiếp từ ma trận rồi quay tới góc đích có hồi tiếp biến trở. Cả hai cùng chịu nhiễu 1%, lệch độ lợi 3% và khuếch tán 10%:</w:t>
      </w:r>
    </w:p>
    <w:p>
      <w:pPr>
        <w:pStyle w:val="Caption"/>
        <w:spacing w:after="80"/>
      </w:pPr>
      <w:r>
        <w:t>Bảng 3. So sánh luật suy góc từ ma trận và luật bám bước theo thời gian</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Ngày</w:t>
            </w:r>
          </w:p>
        </w:tc>
        <w:tc>
          <w:tcPr>
            <w:tcW w:type="dxa" w:w="3010"/>
          </w:tcPr>
          <w:p>
            <w:pPr>
              <w:spacing w:after="40"/>
              <w:ind w:firstLine="0"/>
            </w:pPr>
            <w:r>
              <w:rPr>
                <w:b/>
                <w:sz w:val="22"/>
              </w:rPr>
              <w:t>Ma trận δ=3°: sai số TB / số lần chạy</w:t>
            </w:r>
          </w:p>
        </w:tc>
        <w:tc>
          <w:tcPr>
            <w:tcW w:type="dxa" w:w="3010"/>
          </w:tcPr>
          <w:p>
            <w:pPr>
              <w:spacing w:after="40"/>
              <w:ind w:firstLine="0"/>
            </w:pPr>
            <w:r>
              <w:rPr>
                <w:b/>
                <w:sz w:val="22"/>
              </w:rPr>
              <w:t>Bước theo thời gian: sai số TB / số lần chạy</w:t>
            </w:r>
          </w:p>
        </w:tc>
      </w:tr>
      <w:tr>
        <w:tc>
          <w:tcPr>
            <w:tcW w:type="dxa" w:w="3010"/>
          </w:tcPr>
          <w:p>
            <w:pPr>
              <w:spacing w:after="40"/>
              <w:ind w:firstLine="0"/>
            </w:pPr>
            <w:r>
              <w:rPr>
                <w:sz w:val="22"/>
              </w:rPr>
              <w:t>21/3</w:t>
            </w:r>
          </w:p>
        </w:tc>
        <w:tc>
          <w:tcPr>
            <w:tcW w:type="dxa" w:w="3010"/>
          </w:tcPr>
          <w:p>
            <w:pPr>
              <w:spacing w:after="40"/>
              <w:ind w:firstLine="0"/>
            </w:pPr>
            <w:r>
              <w:rPr>
                <w:sz w:val="22"/>
              </w:rPr>
              <w:t>1,14° / 46 lần</w:t>
            </w:r>
          </w:p>
        </w:tc>
        <w:tc>
          <w:tcPr>
            <w:tcW w:type="dxa" w:w="3010"/>
          </w:tcPr>
          <w:p>
            <w:pPr>
              <w:spacing w:after="40"/>
              <w:ind w:firstLine="0"/>
            </w:pPr>
            <w:r>
              <w:rPr>
                <w:sz w:val="22"/>
              </w:rPr>
              <w:t>2,95° / 111 lần</w:t>
            </w:r>
          </w:p>
        </w:tc>
      </w:tr>
      <w:tr>
        <w:tc>
          <w:tcPr>
            <w:tcW w:type="dxa" w:w="3010"/>
          </w:tcPr>
          <w:p>
            <w:pPr>
              <w:spacing w:after="40"/>
              <w:ind w:firstLine="0"/>
            </w:pPr>
            <w:r>
              <w:rPr>
                <w:sz w:val="22"/>
              </w:rPr>
              <w:t>21/6</w:t>
            </w:r>
          </w:p>
        </w:tc>
        <w:tc>
          <w:tcPr>
            <w:tcW w:type="dxa" w:w="3010"/>
          </w:tcPr>
          <w:p>
            <w:pPr>
              <w:spacing w:after="40"/>
              <w:ind w:firstLine="0"/>
            </w:pPr>
            <w:r>
              <w:rPr>
                <w:sz w:val="22"/>
              </w:rPr>
              <w:t>1,10° / 48 lần</w:t>
            </w:r>
          </w:p>
        </w:tc>
        <w:tc>
          <w:tcPr>
            <w:tcW w:type="dxa" w:w="3010"/>
          </w:tcPr>
          <w:p>
            <w:pPr>
              <w:spacing w:after="40"/>
              <w:ind w:firstLine="0"/>
            </w:pPr>
            <w:r>
              <w:rPr>
                <w:sz w:val="22"/>
              </w:rPr>
              <w:t>2,65° / 110 lần</w:t>
            </w:r>
          </w:p>
        </w:tc>
      </w:tr>
      <w:tr>
        <w:tc>
          <w:tcPr>
            <w:tcW w:type="dxa" w:w="3010"/>
          </w:tcPr>
          <w:p>
            <w:pPr>
              <w:spacing w:after="40"/>
              <w:ind w:firstLine="0"/>
            </w:pPr>
            <w:r>
              <w:rPr>
                <w:sz w:val="22"/>
              </w:rPr>
              <w:t>23/9</w:t>
            </w:r>
          </w:p>
        </w:tc>
        <w:tc>
          <w:tcPr>
            <w:tcW w:type="dxa" w:w="3010"/>
          </w:tcPr>
          <w:p>
            <w:pPr>
              <w:spacing w:after="40"/>
              <w:ind w:firstLine="0"/>
            </w:pPr>
            <w:r>
              <w:rPr>
                <w:sz w:val="22"/>
              </w:rPr>
              <w:t>1,13° / 46 lần</w:t>
            </w:r>
          </w:p>
        </w:tc>
        <w:tc>
          <w:tcPr>
            <w:tcW w:type="dxa" w:w="3010"/>
          </w:tcPr>
          <w:p>
            <w:pPr>
              <w:spacing w:after="40"/>
              <w:ind w:firstLine="0"/>
            </w:pPr>
            <w:r>
              <w:rPr>
                <w:sz w:val="22"/>
              </w:rPr>
              <w:t>2,94° / 111 lần</w:t>
            </w:r>
          </w:p>
        </w:tc>
      </w:tr>
      <w:tr>
        <w:tc>
          <w:tcPr>
            <w:tcW w:type="dxa" w:w="3010"/>
          </w:tcPr>
          <w:p>
            <w:pPr>
              <w:spacing w:after="40"/>
              <w:ind w:firstLine="0"/>
            </w:pPr>
            <w:r>
              <w:rPr>
                <w:sz w:val="22"/>
              </w:rPr>
              <w:t>21/12</w:t>
            </w:r>
          </w:p>
        </w:tc>
        <w:tc>
          <w:tcPr>
            <w:tcW w:type="dxa" w:w="3010"/>
          </w:tcPr>
          <w:p>
            <w:pPr>
              <w:spacing w:after="40"/>
              <w:ind w:firstLine="0"/>
            </w:pPr>
            <w:r>
              <w:rPr>
                <w:sz w:val="22"/>
              </w:rPr>
              <w:t>1,14° / 47 lần</w:t>
            </w:r>
          </w:p>
        </w:tc>
        <w:tc>
          <w:tcPr>
            <w:tcW w:type="dxa" w:w="3010"/>
          </w:tcPr>
          <w:p>
            <w:pPr>
              <w:spacing w:after="40"/>
              <w:ind w:firstLine="0"/>
            </w:pPr>
            <w:r>
              <w:rPr>
                <w:sz w:val="22"/>
              </w:rPr>
              <w:t>3,17° / 110 lần</w:t>
            </w:r>
          </w:p>
        </w:tc>
      </w:tr>
    </w:tbl>
    <w:p>
      <w:pPr/>
    </w:p>
    <w:p>
      <w:pPr>
        <w:ind w:firstLine="0"/>
        <w:jc w:val="center"/>
      </w:pPr>
      <w:r>
        <w:drawing>
          <wp:inline xmlns:a="http://schemas.openxmlformats.org/drawingml/2006/main" xmlns:pic="http://schemas.openxmlformats.org/drawingml/2006/picture">
            <wp:extent cx="5760000" cy="4465618"/>
            <wp:docPr id="1" name="Picture 1"/>
            <wp:cNvGraphicFramePr>
              <a:graphicFrameLocks noChangeAspect="1"/>
            </wp:cNvGraphicFramePr>
            <a:graphic>
              <a:graphicData uri="http://schemas.openxmlformats.org/drawingml/2006/picture">
                <pic:pic>
                  <pic:nvPicPr>
                    <pic:cNvPr id="0" name="ket_qua_mo_phong_1_truc.png"/>
                    <pic:cNvPicPr/>
                  </pic:nvPicPr>
                  <pic:blipFill>
                    <a:blip r:embed="rId10"/>
                    <a:stretch>
                      <a:fillRect/>
                    </a:stretch>
                  </pic:blipFill>
                  <pic:spPr>
                    <a:xfrm>
                      <a:off x="0" y="0"/>
                      <a:ext cx="5760000" cy="4465618"/>
                    </a:xfrm>
                    <a:prstGeom prst="rect"/>
                  </pic:spPr>
                </pic:pic>
              </a:graphicData>
            </a:graphic>
          </wp:inline>
        </w:drawing>
      </w:r>
    </w:p>
    <w:p>
      <w:pPr>
        <w:pStyle w:val="Caption"/>
      </w:pPr>
      <w:r>
        <w:t>Hình 1. Góc bám và sai số trong ngày 21/6 của phương pháp ma trận LDR</w:t>
      </w:r>
    </w:p>
    <w:p>
      <w:pPr/>
      <w:r>
        <w:t>Phương pháp ma trận giảm sai số bám trung bình từ 2,65–3,17° xuống còn 1,10–1,14°, đồng thời giảm số lần khởi động động cơ từ 110–111 lần xuống 46–48 lần mỗi ngày, tức giảm khoảng 58% số lần chạy và hao mòn cơ khí. Đồ thị cho thấy đường góc bám trùm gần sát đường góc lý tưởng và sai số chỉ nhô lên vào lúc sáng sớm khi tín hiệu còn yếu.</w:t>
      </w:r>
    </w:p>
    <w:p>
      <w:pPr>
        <w:pStyle w:val="Heading2"/>
      </w:pPr>
      <w:r>
        <w:t>3.5. Phương pháp chốt cho hai mô hình</w:t>
      </w:r>
    </w:p>
    <w:p>
      <w:pPr>
        <w:pStyle w:val="ListBullet"/>
      </w:pPr>
      <w:r>
        <w:t>Mô hình một trục: dùng e_quay của ma trận bốn LDR suy ra Δ_quay = atan(e_quay/tan β_s); quay tấm pin tới góc đích θ + Δ_quay đọc từ biến trở hồi tiếp; vùng chết δ = 3°; β_s = 30°.</w:t>
      </w:r>
    </w:p>
    <w:p>
      <w:pPr>
        <w:pStyle w:val="ListBullet"/>
      </w:pPr>
      <w:r>
        <w:t>Mô hình hai trục: dùng cả e_nghiêng và e_quay suy ra hai góc lệch; chỉnh trục nghiêng trước rồi tới trục phương vị, mỗi trục một biến trở hồi tiếp và một động cơ gạt nước trục vít.</w:t>
      </w:r>
    </w:p>
    <w:p>
      <w:pPr>
        <w:pStyle w:val="ListBullet"/>
      </w:pPr>
      <w:r>
        <w:t>Cả hai mô hình không quay theo thời gian: động cơ chỉ chạy khi |Δ| &gt; δ và tự dừng khi hồi tiếp báo tới góc đích; trục vít tự hãm giữ vị trí khi ngắt điện.</w:t>
      </w:r>
    </w:p>
    <w:p>
      <w:pPr>
        <w:pStyle w:val="ListBullet"/>
      </w:pPr>
      <w:r>
        <w:t>Bắt buộc hiệu chuẩn hệ số độ lợi bốn kênh và lưu bảng hệ số trong chương trình; kiểm tra chất lượng tín hiệu (tổng sáng, bão hòa, biến động) trước khi phát lệnh.</w:t>
      </w:r>
    </w:p>
    <w:p>
      <w:pPr>
        <w:pStyle w:val="Heading1"/>
      </w:pPr>
      <w:r>
        <w:t>CHƯƠNG 4. TIẾN ĐỘ THỰC HIỆN VÀ KẾ HOẠCH TUẦN NÀY</w:t>
      </w:r>
    </w:p>
    <w:p>
      <w:pPr>
        <w:pStyle w:val="Heading2"/>
      </w:pPr>
      <w:r>
        <w:t>4.1. Kết quả đạt được trong tuần 5/10 – 10/10/2026</w:t>
      </w:r>
    </w:p>
    <w:p>
      <w:pPr>
        <w:pStyle w:val="ListBullet"/>
      </w:pPr>
      <w:r>
        <w:t>Chốt phương pháp điều khiển cho cả hai mô hình: đọc ma trận bốn LDR và suy ra góc cần quay bằng quan hệ Δ = atan(e/tan β_s), thay thế hoàn toàn cách quay bước theo thời gian.</w:t>
      </w:r>
    </w:p>
    <w:p>
      <w:pPr>
        <w:pStyle w:val="ListBullet"/>
      </w:pPr>
      <w:r>
        <w:t>Xây dựng và chạy mô phỏng số (tools/mo_phong.py): thu được bảng hiệu suất trực xạ cố định/1 trục/2 trục, bảng sai số suy góc Monte Carlo 400 lần và bảng so sánh với luật bám bước (Chương 3).</w:t>
      </w:r>
    </w:p>
    <w:p>
      <w:pPr>
        <w:pStyle w:val="ListBullet"/>
      </w:pPr>
      <w:r>
        <w:t>Chốt tham số cảm biến và điều khiển từ số liệu mô phỏng: β_s = 30°, vùng chết δ = 3°, bắt buộc hiệu chuẩn hệ số kênh.</w:t>
      </w:r>
    </w:p>
    <w:p>
      <w:pPr>
        <w:pStyle w:val="ListBullet"/>
      </w:pPr>
      <w:r>
        <w:t>Chốt linh kiện điều khiển và chấp hành: ESP32 là vi điều khiển duy nhất, động cơ gạt nước ô tô trục vít tự giữ vị trí khi ngắt điện, hồi tiếp góc bằng biến trở xoay.</w:t>
      </w:r>
    </w:p>
    <w:p>
      <w:pPr>
        <w:pStyle w:val="Heading2"/>
      </w:pPr>
      <w:r>
        <w:t>4.2. Các công việc còn lại của tuần này (5/10 – 10/10/2026)</w:t>
      </w:r>
    </w:p>
    <w:p>
      <w:pPr>
        <w:pStyle w:val="ListBullet"/>
      </w:pPr>
      <w:r>
        <w:t>Đối chiếu vectơ Mặt Trời của mô phỏng với thuật toán SPA/pvlib để xác nhận sai số hình học dưới 0,5°.</w:t>
      </w:r>
    </w:p>
    <w:p>
      <w:pPr>
        <w:pStyle w:val="ListBullet"/>
      </w:pPr>
      <w:r>
        <w:t>Chế giá thử góc gá β_s và đo kiểm chứng đáp ứng cos(Δ ∓ β_s) của cụm LDR thực tế.</w:t>
      </w:r>
    </w:p>
    <w:p>
      <w:pPr>
        <w:pStyle w:val="ListBullet"/>
      </w:pPr>
      <w:r>
        <w:t>Gửi quyển nghiên cứu xin góp ý của giảng viên hướng dẫn và chỉnh sửa theo nhận xét.</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Texas Instruments, ADS1115 Ultra-Small, Low-Power, I2C-Based, 860-SPS, 16-Bit ADC, Datasheet. https://www.ti.com/lit/ds/symlink/ads1115.pdf</w:t>
      </w:r>
    </w:p>
    <w:p>
      <w:pPr/>
      <w:r>
        <w:t>[11] Analog Devices, DS3231 Extremely Accurate I²C-Integrated RTC/TCXO/Crystal, Datasheet. https://www.analog.com/media/en/technical-documentation/data-sheets/DS3231.pdf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ADS1115 đo U–I.</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DS3231.</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U, I pin và điện năng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