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chốt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1"/>
      </w:pPr>
      <w:r>
        <w:t>CHƯƠNG 2. CƠ SỞ LÝ THUYẾT VÀ TỔNG QUAN LINH KIỆN</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Bộ điều khiển ESP32</w:t>
      </w:r>
    </w:p>
    <w:p>
      <w:pPr/>
      <w:r>
        <w:t>Toàn bộ mạch điều khiển dùng một bo ESP32 duy nhất (kiến trúc Xtensa LX6 hai nhân, 240 MHz, 4 MB flash). Bo có 18 kênh ADC 12 bit, trong đó tám kênh ADC1 (GPIO36, 39, 34, 35, 32, 33, 25, 26) hoạt động ổn định cả khi bật WiFi, đủ cho bốn kênh LDR của ma trận và hai biến trở hồi tiếp góc của hai trục; LEDC cung cấp PWM; hai bus I²C/UART phục vụ RTC DS3231 và module ADS1115 đo U–I. Logic 3,3 V nên tín hiệu từ mạch công suất phải qua chia áp hoặc chuyển mức; nguồn logic lọc tách khỏi nhiễu động cơ [8].</w:t>
      </w:r>
    </w:p>
    <w:p>
      <w:pPr/>
      <w:r>
        <w:t>ESP32 dư năng lực tính atan ngay trong vòng điều khiển, nhờ đó thực hiện được phương pháp suy ra góc cần quay từ ma trận LDR cho cả hai trục thay vì dò bước theo thời gian. Báo cáo không dùng bo Arduino nào trong mạch; Arduino chỉ xuất hiện với vai trò môi trường phát triển IDE ở quyển lập trình.</w:t>
      </w:r>
    </w:p>
    <w:p>
      <w:pPr>
        <w:pStyle w:val="Heading2"/>
      </w:pPr>
      <w:r>
        <w:t>2.5. Động cơ gạt nước ô tô trục vít và hồi tiếp vị trí</w:t>
      </w:r>
    </w:p>
    <w:p>
      <w:pPr/>
      <w:r>
        <w:t>Cả hai trục dùng động cơ gạt nước kính ô tô 12 V kèm hộp giảm tốc trục vít – bánh vít. Ưu điểm quyết định: cặp trục vít tự hãm nên khi ngắt điện hoặc dừng lệnh, tấm pin tự giữ vị trí dưới gió và trọng lượng bản thân mà không cần nuôi điện giữ — đặc biệt quan trọng với trục nghiêng luôn chịu mô-men trọng trường. Động cơ có mô-men danh định lớn (khoảng 8–12 N·m), giá thấp, sẵn có, kèm công tắc tự đỗ hữu ích khi tìm mốc home.</w:t>
      </w:r>
    </w:p>
    <w:p>
      <w:pPr/>
      <w:r>
        <w:t>Hạn chế cần xử lý: tốc độ cố định, dòng 3–6 A nên đóng cắt bằng module relay hoặc cầu H MOSFET kèm cầu chì riêng mỗi trục; mỗi trục lắp thêm biến trở xoay đồng trục làm hồi tiếp vị trí; chiều quay đảo bằng đổi cực qua hai kênh relay cho mỗi motor.</w:t>
      </w:r>
    </w:p>
    <w:p>
      <w:pPr>
        <w:pStyle w:val="Heading2"/>
      </w:pPr>
      <w:r>
        <w:t>2.6. Công tắc hành trình</w:t>
      </w:r>
    </w:p>
    <w:p>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một phương án tổng quan có thể dùng khi cần kết hợp hai nguồn thông tin [4, 6]. Báo cáo này không triển khai điều khiển lai; phương án được chọn trình bày tại Chương 3 là so sánh trực tiếp điện trở của bốn LDR.</w:t>
      </w:r>
    </w:p>
    <w:p>
      <w:pPr>
        <w:pStyle w:val="Heading3"/>
      </w:pPr>
      <w:r>
        <w:t>2.9.5. Cảm biến Mặt Trời quang học chuyên dụng</w:t>
      </w:r>
    </w:p>
    <w:p>
      <w:pPr/>
      <w: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t>Việc lựa chọn vùng chết và ngưỡng phát lệnh cần cân bằng giữa độ nhạy, rung cơ cấu, thời gian đáp ứng và độ bền. Với mô hình hai trục này, chốt phương pháp đọc ma trận điện trở bốn kênh; mỗi trục suy ra góc lệch từ chênh lệch chuẩn hóa hai phía đối diện theo công thức Δ = atan(e/tan β_s) và quay trực tiếp tới góc đích theo hồi tiếp biến trở. Khi cả hai trục vào vùng chết 3°, dừng cơ cấu, chờ hết chu kỳ đọc rồi lấy mẫu mới. Hiệu quả chỉ được kết luận sau khi thử nghiệm cùng điều kiện với tấm pin cố định.</w:t>
      </w:r>
    </w:p>
    <w:p>
      <w:pPr>
        <w:pStyle w:val="Heading2"/>
      </w:pPr>
      <w:r>
        <w:t>2.10.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1"/>
      </w:pPr>
      <w:r>
        <w:t>CHƯƠNG 3. KẾT QUẢ NGHIÊN CỨU VÀ KIỂM CHỨNG PHƯƠNG PHÁP BẰNG MÔ PHỎNG SỐ</w:t>
      </w:r>
    </w:p>
    <w:p>
      <w:pPr>
        <w:pStyle w:val="Heading2"/>
      </w:pPr>
      <w:r>
        <w:t>3.1. Cấu hình mô phỏng</w:t>
      </w:r>
    </w:p>
    <w:p>
      <w:pPr/>
      <w:r>
        <w:t>Phương pháp đề xuất được kiểm chứng bằng mô phỏng số viết bằng Python (tools/mo_phong.py trong kho báo cáo). Vị trí Mỹ Hào, Hưng Yên (20,93° Bắc; 106,06° Đông); bốn ngày đại diện 21/3, 21/6, 23/9, 21/12; bước thời gian 1–5 phút. Vectơ Mặt Trời tính từ xích vĩ và góc giờ; năng lượng trực xạ thu được tỉ lệ cosin góc tới; tấm đối chứng cố định nghiêng 21° hướng Nam.</w:t>
      </w:r>
    </w:p>
    <w:p>
      <w:pPr/>
      <w:r>
        <w:t>Cụm bốn LDR mô hình hóa đúng cấu hình gá β_s: trong mỗi mặt phẳng, cặp cảm biến lệch ±β_s so với pháp tuyến nên đáp ứng tỉ lệ với cos(Δ ∓ β_s); trên đó đặt thêm sai khác độ lợi ±5%, nhiễu đọc 2% và thành phần khuếch tán 15%. Trục nghiêng và trục phương vị dùng cùng một công thức suy góc với sai lệch của cặp kênh tương ứng.</w:t>
      </w:r>
    </w:p>
    <w:p>
      <w:pPr>
        <w:pStyle w:val="Heading2"/>
      </w:pPr>
      <w:r>
        <w:t>3.2. Kết quả hiệu suất thu trực xạ của từng cấu hình</w:t>
      </w:r>
    </w:p>
    <w:p>
      <w:pPr>
        <w:pStyle w:val="Caption"/>
        <w:spacing w:after="80"/>
      </w:pPr>
      <w:r>
        <w:t>Bảng 1. Năng lượng trực xạ thu được trong ngày (đơn vị tương đối cos·dt)</w:t>
      </w:r>
    </w:p>
    <w:tbl>
      <w:tblPr>
        <w:tblStyle w:val="TableGrid"/>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Pr>
          <w:p>
            <w:pPr>
              <w:spacing w:after="40"/>
              <w:ind w:firstLine="0"/>
            </w:pPr>
            <w:r>
              <w:rPr>
                <w:b/>
                <w:sz w:val="22"/>
              </w:rPr>
              <w:t>Ngày đại diện</w:t>
            </w:r>
          </w:p>
        </w:tc>
        <w:tc>
          <w:tcPr>
            <w:tcW w:type="dxa" w:w="1505"/>
          </w:tcPr>
          <w:p>
            <w:pPr>
              <w:spacing w:after="40"/>
              <w:ind w:firstLine="0"/>
            </w:pPr>
            <w:r>
              <w:rPr>
                <w:b/>
                <w:sz w:val="22"/>
              </w:rPr>
              <w:t>Tấm cố định 21°</w:t>
            </w:r>
          </w:p>
        </w:tc>
        <w:tc>
          <w:tcPr>
            <w:tcW w:type="dxa" w:w="1505"/>
          </w:tcPr>
          <w:p>
            <w:pPr>
              <w:spacing w:after="40"/>
              <w:ind w:firstLine="0"/>
            </w:pPr>
            <w:r>
              <w:rPr>
                <w:b/>
                <w:sz w:val="22"/>
              </w:rPr>
              <w:t>Bám 1 trục</w:t>
            </w:r>
          </w:p>
        </w:tc>
        <w:tc>
          <w:tcPr>
            <w:tcW w:type="dxa" w:w="1505"/>
          </w:tcPr>
          <w:p>
            <w:pPr>
              <w:spacing w:after="40"/>
              <w:ind w:firstLine="0"/>
            </w:pPr>
            <w:r>
              <w:rPr>
                <w:b/>
                <w:sz w:val="22"/>
              </w:rPr>
              <w:t>Tăng so cố định</w:t>
            </w:r>
          </w:p>
        </w:tc>
        <w:tc>
          <w:tcPr>
            <w:tcW w:type="dxa" w:w="1505"/>
          </w:tcPr>
          <w:p>
            <w:pPr>
              <w:spacing w:after="40"/>
              <w:ind w:firstLine="0"/>
            </w:pPr>
            <w:r>
              <w:rPr>
                <w:b/>
                <w:sz w:val="22"/>
              </w:rPr>
              <w:t>Bám 2 trục</w:t>
            </w:r>
          </w:p>
        </w:tc>
        <w:tc>
          <w:tcPr>
            <w:tcW w:type="dxa" w:w="1505"/>
          </w:tcPr>
          <w:p>
            <w:pPr>
              <w:spacing w:after="40"/>
              <w:ind w:firstLine="0"/>
            </w:pPr>
            <w:r>
              <w:rPr>
                <w:b/>
                <w:sz w:val="22"/>
              </w:rPr>
              <w:t>Tăng so 1 trục</w:t>
            </w:r>
          </w:p>
        </w:tc>
      </w:tr>
      <w:tr>
        <w:tc>
          <w:tcPr>
            <w:tcW w:type="dxa" w:w="1505"/>
          </w:tcPr>
          <w:p>
            <w:pPr>
              <w:spacing w:after="40"/>
              <w:ind w:firstLine="0"/>
            </w:pPr>
            <w:r>
              <w:rPr>
                <w:sz w:val="22"/>
              </w:rPr>
              <w:t>21/3</w:t>
            </w:r>
          </w:p>
        </w:tc>
        <w:tc>
          <w:tcPr>
            <w:tcW w:type="dxa" w:w="1505"/>
          </w:tcPr>
          <w:p>
            <w:pPr>
              <w:spacing w:after="40"/>
              <w:ind w:firstLine="0"/>
            </w:pPr>
            <w:r>
              <w:rPr>
                <w:sz w:val="22"/>
              </w:rPr>
              <w:t>67,5</w:t>
            </w:r>
          </w:p>
        </w:tc>
        <w:tc>
          <w:tcPr>
            <w:tcW w:type="dxa" w:w="1505"/>
          </w:tcPr>
          <w:p>
            <w:pPr>
              <w:spacing w:after="40"/>
              <w:ind w:firstLine="0"/>
            </w:pPr>
            <w:r>
              <w:rPr>
                <w:sz w:val="22"/>
              </w:rPr>
              <w:t>138,1</w:t>
            </w:r>
          </w:p>
        </w:tc>
        <w:tc>
          <w:tcPr>
            <w:tcW w:type="dxa" w:w="1505"/>
          </w:tcPr>
          <w:p>
            <w:pPr>
              <w:spacing w:after="40"/>
              <w:ind w:firstLine="0"/>
            </w:pPr>
            <w:r>
              <w:rPr>
                <w:sz w:val="22"/>
              </w:rPr>
              <w:t>+104,5%</w:t>
            </w:r>
          </w:p>
        </w:tc>
        <w:tc>
          <w:tcPr>
            <w:tcW w:type="dxa" w:w="1505"/>
          </w:tcPr>
          <w:p>
            <w:pPr>
              <w:spacing w:after="40"/>
              <w:ind w:firstLine="0"/>
            </w:pPr>
            <w:r>
              <w:rPr>
                <w:sz w:val="22"/>
              </w:rPr>
              <w:t>143,0</w:t>
            </w:r>
          </w:p>
        </w:tc>
        <w:tc>
          <w:tcPr>
            <w:tcW w:type="dxa" w:w="1505"/>
          </w:tcPr>
          <w:p>
            <w:pPr>
              <w:spacing w:after="40"/>
              <w:ind w:firstLine="0"/>
            </w:pPr>
            <w:r>
              <w:rPr>
                <w:sz w:val="22"/>
              </w:rPr>
              <w:t>+3,6%</w:t>
            </w:r>
          </w:p>
        </w:tc>
      </w:tr>
      <w:tr>
        <w:tc>
          <w:tcPr>
            <w:tcW w:type="dxa" w:w="1505"/>
          </w:tcPr>
          <w:p>
            <w:pPr>
              <w:spacing w:after="40"/>
              <w:ind w:firstLine="0"/>
            </w:pPr>
            <w:r>
              <w:rPr>
                <w:sz w:val="22"/>
              </w:rPr>
              <w:t>21/6</w:t>
            </w:r>
          </w:p>
        </w:tc>
        <w:tc>
          <w:tcPr>
            <w:tcW w:type="dxa" w:w="1505"/>
          </w:tcPr>
          <w:p>
            <w:pPr>
              <w:spacing w:after="40"/>
              <w:ind w:firstLine="0"/>
            </w:pPr>
            <w:r>
              <w:rPr>
                <w:sz w:val="22"/>
              </w:rPr>
              <w:t>104,0</w:t>
            </w:r>
          </w:p>
        </w:tc>
        <w:tc>
          <w:tcPr>
            <w:tcW w:type="dxa" w:w="1505"/>
          </w:tcPr>
          <w:p>
            <w:pPr>
              <w:spacing w:after="40"/>
              <w:ind w:firstLine="0"/>
            </w:pPr>
            <w:r>
              <w:rPr>
                <w:sz w:val="22"/>
              </w:rPr>
              <w:t>155,1</w:t>
            </w:r>
          </w:p>
        </w:tc>
        <w:tc>
          <w:tcPr>
            <w:tcW w:type="dxa" w:w="1505"/>
          </w:tcPr>
          <w:p>
            <w:pPr>
              <w:spacing w:after="40"/>
              <w:ind w:firstLine="0"/>
            </w:pPr>
            <w:r>
              <w:rPr>
                <w:sz w:val="22"/>
              </w:rPr>
              <w:t>+49,1%</w:t>
            </w:r>
          </w:p>
        </w:tc>
        <w:tc>
          <w:tcPr>
            <w:tcW w:type="dxa" w:w="1505"/>
          </w:tcPr>
          <w:p>
            <w:pPr>
              <w:spacing w:after="40"/>
              <w:ind w:firstLine="0"/>
            </w:pPr>
            <w:r>
              <w:rPr>
                <w:sz w:val="22"/>
              </w:rPr>
              <w:t>159,0</w:t>
            </w:r>
          </w:p>
        </w:tc>
        <w:tc>
          <w:tcPr>
            <w:tcW w:type="dxa" w:w="1505"/>
          </w:tcPr>
          <w:p>
            <w:pPr>
              <w:spacing w:after="40"/>
              <w:ind w:firstLine="0"/>
            </w:pPr>
            <w:r>
              <w:rPr>
                <w:sz w:val="22"/>
              </w:rPr>
              <w:t>+2,5%</w:t>
            </w:r>
          </w:p>
        </w:tc>
      </w:tr>
      <w:tr>
        <w:tc>
          <w:tcPr>
            <w:tcW w:type="dxa" w:w="1505"/>
          </w:tcPr>
          <w:p>
            <w:pPr>
              <w:spacing w:after="40"/>
              <w:ind w:firstLine="0"/>
            </w:pPr>
            <w:r>
              <w:rPr>
                <w:sz w:val="22"/>
              </w:rPr>
              <w:t>23/9</w:t>
            </w:r>
          </w:p>
        </w:tc>
        <w:tc>
          <w:tcPr>
            <w:tcW w:type="dxa" w:w="1505"/>
          </w:tcPr>
          <w:p>
            <w:pPr>
              <w:spacing w:after="40"/>
              <w:ind w:firstLine="0"/>
            </w:pPr>
            <w:r>
              <w:rPr>
                <w:sz w:val="22"/>
              </w:rPr>
              <w:t>66,5</w:t>
            </w:r>
          </w:p>
        </w:tc>
        <w:tc>
          <w:tcPr>
            <w:tcW w:type="dxa" w:w="1505"/>
          </w:tcPr>
          <w:p>
            <w:pPr>
              <w:spacing w:after="40"/>
              <w:ind w:firstLine="0"/>
            </w:pPr>
            <w:r>
              <w:rPr>
                <w:sz w:val="22"/>
              </w:rPr>
              <w:t>137,7</w:t>
            </w:r>
          </w:p>
        </w:tc>
        <w:tc>
          <w:tcPr>
            <w:tcW w:type="dxa" w:w="1505"/>
          </w:tcPr>
          <w:p>
            <w:pPr>
              <w:spacing w:after="40"/>
              <w:ind w:firstLine="0"/>
            </w:pPr>
            <w:r>
              <w:rPr>
                <w:sz w:val="22"/>
              </w:rPr>
              <w:t>+107,1%</w:t>
            </w:r>
          </w:p>
        </w:tc>
        <w:tc>
          <w:tcPr>
            <w:tcW w:type="dxa" w:w="1505"/>
          </w:tcPr>
          <w:p>
            <w:pPr>
              <w:spacing w:after="40"/>
              <w:ind w:firstLine="0"/>
            </w:pPr>
            <w:r>
              <w:rPr>
                <w:sz w:val="22"/>
              </w:rPr>
              <w:t>143,0</w:t>
            </w:r>
          </w:p>
        </w:tc>
        <w:tc>
          <w:tcPr>
            <w:tcW w:type="dxa" w:w="1505"/>
          </w:tcPr>
          <w:p>
            <w:pPr>
              <w:spacing w:after="40"/>
              <w:ind w:firstLine="0"/>
            </w:pPr>
            <w:r>
              <w:rPr>
                <w:sz w:val="22"/>
              </w:rPr>
              <w:t>+3,8%</w:t>
            </w:r>
          </w:p>
        </w:tc>
      </w:tr>
      <w:tr>
        <w:tc>
          <w:tcPr>
            <w:tcW w:type="dxa" w:w="1505"/>
          </w:tcPr>
          <w:p>
            <w:pPr>
              <w:spacing w:after="40"/>
              <w:ind w:firstLine="0"/>
            </w:pPr>
            <w:r>
              <w:rPr>
                <w:sz w:val="22"/>
              </w:rPr>
              <w:t>21/12</w:t>
            </w:r>
          </w:p>
        </w:tc>
        <w:tc>
          <w:tcPr>
            <w:tcW w:type="dxa" w:w="1505"/>
          </w:tcPr>
          <w:p>
            <w:pPr>
              <w:spacing w:after="40"/>
              <w:ind w:firstLine="0"/>
            </w:pPr>
            <w:r>
              <w:rPr>
                <w:sz w:val="22"/>
              </w:rPr>
              <w:t>29,1</w:t>
            </w:r>
          </w:p>
        </w:tc>
        <w:tc>
          <w:tcPr>
            <w:tcW w:type="dxa" w:w="1505"/>
          </w:tcPr>
          <w:p>
            <w:pPr>
              <w:spacing w:after="40"/>
              <w:ind w:firstLine="0"/>
            </w:pPr>
            <w:r>
              <w:rPr>
                <w:sz w:val="22"/>
              </w:rPr>
              <w:t>102,2</w:t>
            </w:r>
          </w:p>
        </w:tc>
        <w:tc>
          <w:tcPr>
            <w:tcW w:type="dxa" w:w="1505"/>
          </w:tcPr>
          <w:p>
            <w:pPr>
              <w:spacing w:after="40"/>
              <w:ind w:firstLine="0"/>
            </w:pPr>
            <w:r>
              <w:rPr>
                <w:sz w:val="22"/>
              </w:rPr>
              <w:t>+251,3%</w:t>
            </w:r>
          </w:p>
        </w:tc>
        <w:tc>
          <w:tcPr>
            <w:tcW w:type="dxa" w:w="1505"/>
          </w:tcPr>
          <w:p>
            <w:pPr>
              <w:spacing w:after="40"/>
              <w:ind w:firstLine="0"/>
            </w:pPr>
            <w:r>
              <w:rPr>
                <w:sz w:val="22"/>
              </w:rPr>
              <w:t>129,0</w:t>
            </w:r>
          </w:p>
        </w:tc>
        <w:tc>
          <w:tcPr>
            <w:tcW w:type="dxa" w:w="1505"/>
          </w:tcPr>
          <w:p>
            <w:pPr>
              <w:spacing w:after="40"/>
              <w:ind w:firstLine="0"/>
            </w:pPr>
            <w:r>
              <w:rPr>
                <w:sz w:val="22"/>
              </w:rPr>
              <w:t>+26,2%</w:t>
            </w:r>
          </w:p>
        </w:tc>
      </w:tr>
    </w:tbl>
    <w:p>
      <w:pPr/>
    </w:p>
    <w:p>
      <w:pPr/>
      <w:r>
        <w:t>Bám một trục Đông–Tây tăng 49–251% năng lượng trực xạ so với tấm cố định tùy mùa. Cấu hình hai trục — đúng đối tượng của báo cáo này — nhỉnh hơn một trục 2,5–3,8% quanh phân điểm nhưng tới 26,2% ngày đông chí, vì mùa đông Mặt Trời vừa đi thấp vừa lệch Nam, chỉ chỉnh phương vị thì không bù được độ cao. Đây là căn cứ định lượng chốt phạm vi chế tạo hai trục.</w:t>
      </w:r>
    </w:p>
    <w:p>
      <w:pPr>
        <w:pStyle w:val="Heading2"/>
      </w:pPr>
      <w:r>
        <w:t>3.3. Kết quả độ chính xác của phép suy góc từ ma trận LDR</w:t>
      </w:r>
    </w:p>
    <w:p>
      <w:pPr/>
      <w:r>
        <w:t>Với đáp ứng cos(Δ ∓ β_s), sai lệch chuẩn hóa của mỗi trục liên hệ đóng với góc lệch: e = tan Δ · tan β_s, suy ra Δ = atan(e/tan β_s). Khảo sát Monte Carlo 400 lần, góc lệch ban đầu 2–12°:</w:t>
      </w:r>
    </w:p>
    <w:p>
      <w:pPr>
        <w:pStyle w:val="Caption"/>
        <w:spacing w:after="80"/>
      </w:pPr>
      <w:r>
        <w:t>Bảng 2. Sai số của phép suy góc cần quay từ ma trận 4 LDR (β_s = 30°)</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Điều kiện tín hiệu</w:t>
            </w:r>
          </w:p>
        </w:tc>
        <w:tc>
          <w:tcPr>
            <w:tcW w:type="dxa" w:w="4514"/>
          </w:tcPr>
          <w:p>
            <w:pPr>
              <w:spacing w:after="40"/>
              <w:ind w:firstLine="0"/>
            </w:pPr>
            <w:r>
              <w:rPr>
                <w:b/>
                <w:sz w:val="22"/>
              </w:rPr>
              <w:t>Sai số RMSE của góc suy ra</w:t>
            </w:r>
          </w:p>
        </w:tc>
      </w:tr>
      <w:tr>
        <w:tc>
          <w:tcPr>
            <w:tcW w:type="dxa" w:w="4514"/>
          </w:tcPr>
          <w:p>
            <w:pPr>
              <w:spacing w:after="40"/>
              <w:ind w:firstLine="0"/>
            </w:pPr>
            <w:r>
              <w:rPr>
                <w:sz w:val="22"/>
              </w:rPr>
              <w:t>Lý tưởng (kênh đồng đều, không nhiễu)</w:t>
            </w:r>
          </w:p>
        </w:tc>
        <w:tc>
          <w:tcPr>
            <w:tcW w:type="dxa" w:w="4514"/>
          </w:tcPr>
          <w:p>
            <w:pPr>
              <w:spacing w:after="40"/>
              <w:ind w:firstLine="0"/>
            </w:pPr>
            <w:r>
              <w:rPr>
                <w:sz w:val="22"/>
              </w:rPr>
              <w:t>0,00°</w:t>
            </w:r>
          </w:p>
        </w:tc>
      </w:tr>
      <w:tr>
        <w:tc>
          <w:tcPr>
            <w:tcW w:type="dxa" w:w="4514"/>
          </w:tcPr>
          <w:p>
            <w:pPr>
              <w:spacing w:after="40"/>
              <w:ind w:firstLine="0"/>
            </w:pPr>
            <w:r>
              <w:rPr>
                <w:sz w:val="22"/>
              </w:rPr>
              <w:t>Sai khác độ lợi ±5% giữa các kênh, chưa hiệu chuẩn</w:t>
            </w:r>
          </w:p>
        </w:tc>
        <w:tc>
          <w:tcPr>
            <w:tcW w:type="dxa" w:w="4514"/>
          </w:tcPr>
          <w:p>
            <w:pPr>
              <w:spacing w:after="40"/>
              <w:ind w:firstLine="0"/>
            </w:pPr>
            <w:r>
              <w:rPr>
                <w:sz w:val="22"/>
              </w:rPr>
              <w:t>1,98°</w:t>
            </w:r>
          </w:p>
        </w:tc>
      </w:tr>
      <w:tr>
        <w:tc>
          <w:tcPr>
            <w:tcW w:type="dxa" w:w="4514"/>
          </w:tcPr>
          <w:p>
            <w:pPr>
              <w:spacing w:after="40"/>
              <w:ind w:firstLine="0"/>
            </w:pPr>
            <w:r>
              <w:rPr>
                <w:sz w:val="22"/>
              </w:rPr>
              <w:t>Sai khác độ lợi ±5%, đã hiệu chuẩn hệ số kênh</w:t>
            </w:r>
          </w:p>
        </w:tc>
        <w:tc>
          <w:tcPr>
            <w:tcW w:type="dxa" w:w="4514"/>
          </w:tcPr>
          <w:p>
            <w:pPr>
              <w:spacing w:after="40"/>
              <w:ind w:firstLine="0"/>
            </w:pPr>
            <w:r>
              <w:rPr>
                <w:sz w:val="22"/>
              </w:rPr>
              <w:t>0,00°</w:t>
            </w:r>
          </w:p>
        </w:tc>
      </w:tr>
      <w:tr>
        <w:tc>
          <w:tcPr>
            <w:tcW w:type="dxa" w:w="4514"/>
          </w:tcPr>
          <w:p>
            <w:pPr>
              <w:spacing w:after="40"/>
              <w:ind w:firstLine="0"/>
            </w:pPr>
            <w:r>
              <w:rPr>
                <w:sz w:val="22"/>
              </w:rPr>
              <w:t>Nhiễu đọc 2%</w:t>
            </w:r>
          </w:p>
        </w:tc>
        <w:tc>
          <w:tcPr>
            <w:tcW w:type="dxa" w:w="4514"/>
          </w:tcPr>
          <w:p>
            <w:pPr>
              <w:spacing w:after="40"/>
              <w:ind w:firstLine="0"/>
            </w:pPr>
            <w:r>
              <w:rPr>
                <w:sz w:val="22"/>
              </w:rPr>
              <w:t>1,29°</w:t>
            </w:r>
          </w:p>
        </w:tc>
      </w:tr>
      <w:tr>
        <w:tc>
          <w:tcPr>
            <w:tcW w:type="dxa" w:w="4514"/>
          </w:tcPr>
          <w:p>
            <w:pPr>
              <w:spacing w:after="40"/>
              <w:ind w:firstLine="0"/>
            </w:pPr>
            <w:r>
              <w:rPr>
                <w:sz w:val="22"/>
              </w:rPr>
              <w:t>Thành phần khuếch tán 15%</w:t>
            </w:r>
          </w:p>
        </w:tc>
        <w:tc>
          <w:tcPr>
            <w:tcW w:type="dxa" w:w="4514"/>
          </w:tcPr>
          <w:p>
            <w:pPr>
              <w:spacing w:after="40"/>
              <w:ind w:firstLine="0"/>
            </w:pPr>
            <w:r>
              <w:rPr>
                <w:sz w:val="22"/>
              </w:rPr>
              <w:t>1,09°</w:t>
            </w:r>
          </w:p>
        </w:tc>
      </w:tr>
      <w:tr>
        <w:tc>
          <w:tcPr>
            <w:tcW w:type="dxa" w:w="4514"/>
          </w:tcPr>
          <w:p>
            <w:pPr>
              <w:spacing w:after="40"/>
              <w:ind w:firstLine="0"/>
            </w:pPr>
            <w:r>
              <w:rPr>
                <w:sz w:val="22"/>
              </w:rPr>
              <w:t>Tổng hợp cả ba, đã hiệu chuẩn hệ số kênh</w:t>
            </w:r>
          </w:p>
        </w:tc>
        <w:tc>
          <w:tcPr>
            <w:tcW w:type="dxa" w:w="4514"/>
          </w:tcPr>
          <w:p>
            <w:pPr>
              <w:spacing w:after="40"/>
              <w:ind w:firstLine="0"/>
            </w:pPr>
            <w:r>
              <w:rPr>
                <w:sz w:val="22"/>
              </w:rPr>
              <w:t>1,65°</w:t>
            </w:r>
          </w:p>
        </w:tc>
      </w:tr>
    </w:tbl>
    <w:p>
      <w:pPr/>
    </w:p>
    <w:p>
      <w:pPr/>
      <w:r>
        <w:t>Hai quyết định thiết kế được chốt từ bảng: bắt buộc hiệu chuẩn hệ số độ lợi bốn kênh dưới sáng khuếch tán; chọn β_s = 30° vì tan β_s = 0,577 đủ nhạy (Δ = 3° cho e ≈ 0,030, lớn hơn nhiều nhiễu đọc) mà không bão hòa trong dải lệch ±40°. Kết quả áp dụng cho cả hai trục vì công thức suy góc là như nhau.</w:t>
      </w:r>
    </w:p>
    <w:p>
      <w:pPr>
        <w:pStyle w:val="Heading2"/>
      </w:pPr>
      <w:r>
        <w:t>3.4. So sánh với phương pháp bám bước theo thời gian</w:t>
      </w:r>
    </w:p>
    <w:p>
      <w:pPr/>
      <w:r>
        <w:t>Vòng kín cả ngày được mô phỏng cho luật cũ (dịch một bước góc cố định mỗi lần vượt ngưỡng — quay theo thời gian) và luật mới (suy góc từ ma trận, quay tới góc đích theo hồi tiếp biến trở), cùng chịu nhiễu 1%, lệch độ lợi 3%, khuếch tán 10%. Bảng dưới là kết quả trên trục phương vị; trục nghiêng có hành vi tương tự vì cùng công thức:</w:t>
      </w:r>
    </w:p>
    <w:p>
      <w:pPr>
        <w:pStyle w:val="Caption"/>
        <w:spacing w:after="80"/>
      </w:pPr>
      <w:r>
        <w:t>Bảng 3. So sánh luật suy góc từ ma trận và luật bám bước theo thời gian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Ngày</w:t>
            </w:r>
          </w:p>
        </w:tc>
        <w:tc>
          <w:tcPr>
            <w:tcW w:type="dxa" w:w="3010"/>
          </w:tcPr>
          <w:p>
            <w:pPr>
              <w:spacing w:after="40"/>
              <w:ind w:firstLine="0"/>
            </w:pPr>
            <w:r>
              <w:rPr>
                <w:b/>
                <w:sz w:val="22"/>
              </w:rPr>
              <w:t>Ma trận δ=3°: sai số TB / số lần chạy</w:t>
            </w:r>
          </w:p>
        </w:tc>
        <w:tc>
          <w:tcPr>
            <w:tcW w:type="dxa" w:w="3010"/>
          </w:tcPr>
          <w:p>
            <w:pPr>
              <w:spacing w:after="40"/>
              <w:ind w:firstLine="0"/>
            </w:pPr>
            <w:r>
              <w:rPr>
                <w:b/>
                <w:sz w:val="22"/>
              </w:rPr>
              <w:t>Bước theo thời gian: sai số TB / số lần chạy</w:t>
            </w:r>
          </w:p>
        </w:tc>
      </w:tr>
      <w:tr>
        <w:tc>
          <w:tcPr>
            <w:tcW w:type="dxa" w:w="3010"/>
          </w:tcPr>
          <w:p>
            <w:pPr>
              <w:spacing w:after="40"/>
              <w:ind w:firstLine="0"/>
            </w:pPr>
            <w:r>
              <w:rPr>
                <w:sz w:val="22"/>
              </w:rPr>
              <w:t>21/3</w:t>
            </w:r>
          </w:p>
        </w:tc>
        <w:tc>
          <w:tcPr>
            <w:tcW w:type="dxa" w:w="3010"/>
          </w:tcPr>
          <w:p>
            <w:pPr>
              <w:spacing w:after="40"/>
              <w:ind w:firstLine="0"/>
            </w:pPr>
            <w:r>
              <w:rPr>
                <w:sz w:val="22"/>
              </w:rPr>
              <w:t>1,14° / 46 lần</w:t>
            </w:r>
          </w:p>
        </w:tc>
        <w:tc>
          <w:tcPr>
            <w:tcW w:type="dxa" w:w="3010"/>
          </w:tcPr>
          <w:p>
            <w:pPr>
              <w:spacing w:after="40"/>
              <w:ind w:firstLine="0"/>
            </w:pPr>
            <w:r>
              <w:rPr>
                <w:sz w:val="22"/>
              </w:rPr>
              <w:t>2,95° / 111 lần</w:t>
            </w:r>
          </w:p>
        </w:tc>
      </w:tr>
      <w:tr>
        <w:tc>
          <w:tcPr>
            <w:tcW w:type="dxa" w:w="3010"/>
          </w:tcPr>
          <w:p>
            <w:pPr>
              <w:spacing w:after="40"/>
              <w:ind w:firstLine="0"/>
            </w:pPr>
            <w:r>
              <w:rPr>
                <w:sz w:val="22"/>
              </w:rPr>
              <w:t>21/6</w:t>
            </w:r>
          </w:p>
        </w:tc>
        <w:tc>
          <w:tcPr>
            <w:tcW w:type="dxa" w:w="3010"/>
          </w:tcPr>
          <w:p>
            <w:pPr>
              <w:spacing w:after="40"/>
              <w:ind w:firstLine="0"/>
            </w:pPr>
            <w:r>
              <w:rPr>
                <w:sz w:val="22"/>
              </w:rPr>
              <w:t>1,10° / 48 lần</w:t>
            </w:r>
          </w:p>
        </w:tc>
        <w:tc>
          <w:tcPr>
            <w:tcW w:type="dxa" w:w="3010"/>
          </w:tcPr>
          <w:p>
            <w:pPr>
              <w:spacing w:after="40"/>
              <w:ind w:firstLine="0"/>
            </w:pPr>
            <w:r>
              <w:rPr>
                <w:sz w:val="22"/>
              </w:rPr>
              <w:t>2,65° / 110 lần</w:t>
            </w:r>
          </w:p>
        </w:tc>
      </w:tr>
      <w:tr>
        <w:tc>
          <w:tcPr>
            <w:tcW w:type="dxa" w:w="3010"/>
          </w:tcPr>
          <w:p>
            <w:pPr>
              <w:spacing w:after="40"/>
              <w:ind w:firstLine="0"/>
            </w:pPr>
            <w:r>
              <w:rPr>
                <w:sz w:val="22"/>
              </w:rPr>
              <w:t>23/9</w:t>
            </w:r>
          </w:p>
        </w:tc>
        <w:tc>
          <w:tcPr>
            <w:tcW w:type="dxa" w:w="3010"/>
          </w:tcPr>
          <w:p>
            <w:pPr>
              <w:spacing w:after="40"/>
              <w:ind w:firstLine="0"/>
            </w:pPr>
            <w:r>
              <w:rPr>
                <w:sz w:val="22"/>
              </w:rPr>
              <w:t>1,13° / 46 lần</w:t>
            </w:r>
          </w:p>
        </w:tc>
        <w:tc>
          <w:tcPr>
            <w:tcW w:type="dxa" w:w="3010"/>
          </w:tcPr>
          <w:p>
            <w:pPr>
              <w:spacing w:after="40"/>
              <w:ind w:firstLine="0"/>
            </w:pPr>
            <w:r>
              <w:rPr>
                <w:sz w:val="22"/>
              </w:rPr>
              <w:t>2,94° / 111 lần</w:t>
            </w:r>
          </w:p>
        </w:tc>
      </w:tr>
      <w:tr>
        <w:tc>
          <w:tcPr>
            <w:tcW w:type="dxa" w:w="3010"/>
          </w:tcPr>
          <w:p>
            <w:pPr>
              <w:spacing w:after="40"/>
              <w:ind w:firstLine="0"/>
            </w:pPr>
            <w:r>
              <w:rPr>
                <w:sz w:val="22"/>
              </w:rPr>
              <w:t>21/12</w:t>
            </w:r>
          </w:p>
        </w:tc>
        <w:tc>
          <w:tcPr>
            <w:tcW w:type="dxa" w:w="3010"/>
          </w:tcPr>
          <w:p>
            <w:pPr>
              <w:spacing w:after="40"/>
              <w:ind w:firstLine="0"/>
            </w:pPr>
            <w:r>
              <w:rPr>
                <w:sz w:val="22"/>
              </w:rPr>
              <w:t>1,14° / 47 lần</w:t>
            </w:r>
          </w:p>
        </w:tc>
        <w:tc>
          <w:tcPr>
            <w:tcW w:type="dxa" w:w="3010"/>
          </w:tcPr>
          <w:p>
            <w:pPr>
              <w:spacing w:after="40"/>
              <w:ind w:firstLine="0"/>
            </w:pPr>
            <w:r>
              <w:rPr>
                <w:sz w:val="22"/>
              </w:rPr>
              <w:t>3,17° / 110 lần</w:t>
            </w:r>
          </w:p>
        </w:tc>
      </w:tr>
    </w:tbl>
    <w:p>
      <w:pPr/>
    </w:p>
    <w:p>
      <w:pPr>
        <w:ind w:firstLine="0"/>
        <w:jc w:val="center"/>
      </w:pPr>
      <w:r>
        <w:drawing>
          <wp:inline xmlns:a="http://schemas.openxmlformats.org/drawingml/2006/main" xmlns:pic="http://schemas.openxmlformats.org/drawingml/2006/picture">
            <wp:extent cx="5760000" cy="4465618"/>
            <wp:docPr id="1" name="Picture 1"/>
            <wp:cNvGraphicFramePr>
              <a:graphicFrameLocks noChangeAspect="1"/>
            </wp:cNvGraphicFramePr>
            <a:graphic>
              <a:graphicData uri="http://schemas.openxmlformats.org/drawingml/2006/picture">
                <pic:pic>
                  <pic:nvPicPr>
                    <pic:cNvPr id="0" name="ket_qua_mo_phong_1_truc.png"/>
                    <pic:cNvPicPr/>
                  </pic:nvPicPr>
                  <pic:blipFill>
                    <a:blip r:embed="rId22"/>
                    <a:stretch>
                      <a:fillRect/>
                    </a:stretch>
                  </pic:blipFill>
                  <pic:spPr>
                    <a:xfrm>
                      <a:off x="0" y="0"/>
                      <a:ext cx="5760000" cy="4465618"/>
                    </a:xfrm>
                    <a:prstGeom prst="rect"/>
                  </pic:spPr>
                </pic:pic>
              </a:graphicData>
            </a:graphic>
          </wp:inline>
        </w:drawing>
      </w:r>
    </w:p>
    <w:p>
      <w:pPr>
        <w:pStyle w:val="Caption"/>
      </w:pPr>
      <w:r>
        <w:t>Hình 1. Góc bám và sai số trong ngày 21/6 của phương pháp ma trận LDR</w:t>
      </w:r>
    </w:p>
    <w:p>
      <w:pPr/>
      <w:r>
        <w:t>Phương pháp ma trận giảm sai số bám trung bình từ 2,65–3,17° xuống 1,10–1,14° và giảm số lần khởi động động cơ từ 110–111 xuống 46–48 lần mỗi ngày (−58%), có ý nghĩa trực tiếp với độ bền hai cụm trục vít của mô hình hai trục.</w:t>
      </w:r>
    </w:p>
    <w:p>
      <w:pPr>
        <w:pStyle w:val="Heading2"/>
      </w:pPr>
      <w:r>
        <w:t>3.5. Phương pháp chốt cho mô hình hai trục</w:t>
      </w:r>
    </w:p>
    <w:p>
      <w:pPr>
        <w:pStyle w:val="ListBullet"/>
      </w:pPr>
      <w:r>
        <w:t>Đọc ma trận bốn LDR mỗi chu kỳ; tính e_nghiêng từ cặp trên–dưới và e_quay từ cặp trái–phải.</w:t>
      </w:r>
    </w:p>
    <w:p>
      <w:pPr>
        <w:pStyle w:val="ListBullet"/>
      </w:pPr>
      <w:r>
        <w:t>Suy hai góc lệch bằng Δ = atan(e/tan β_s); chỉnh trục nghiêng trước, tới phiên trục phương vị, mỗi trục quay tới góc đích đọc từ biến trở hồi tiếp riêng.</w:t>
      </w:r>
    </w:p>
    <w:p>
      <w:pPr>
        <w:pStyle w:val="ListBullet"/>
      </w:pPr>
      <w:r>
        <w:t>Vùng chết δ = 3° cho cả hai trục; β_s = 30°; không quay theo thời gian ở bất kỳ nhánh nào.</w:t>
      </w:r>
    </w:p>
    <w:p>
      <w:pPr>
        <w:pStyle w:val="ListBullet"/>
      </w:pPr>
      <w:r>
        <w:t>Bắt buộc hiệu chuẩn hệ số độ lợi bốn kênh; kiểm tra tổng sáng, bão hòa và biến động trước khi phát lệnh; trục vít tự hãm giữ vị trí khi ngắt điện.</w:t>
      </w:r>
    </w:p>
    <w:p>
      <w:pPr>
        <w:pStyle w:val="Heading1"/>
      </w:pPr>
      <w:r>
        <w:t>CHƯƠNG 4. TIẾN ĐỘ THỰC HIỆN VÀ KẾ HOẠCH TUẦN NÀY</w:t>
      </w:r>
    </w:p>
    <w:p>
      <w:pPr>
        <w:pStyle w:val="Heading2"/>
      </w:pPr>
      <w:r>
        <w:t>4.1. Kết quả đạt được trong tuần 5/10 – 10/10/2026</w:t>
      </w:r>
    </w:p>
    <w:p>
      <w:pPr>
        <w:pStyle w:val="ListBullet"/>
      </w:pPr>
      <w:r>
        <w:t>Chốt phương pháp điều khiển hai trục: ma trận bốn LDR suy ra đồng thời Δ_nghiêng và Δ_quay bằng quan hệ đóng Δ = atan(e/tan β_s); bỏ hoàn toàn cách quay bước theo thời gian.</w:t>
      </w:r>
    </w:p>
    <w:p>
      <w:pPr>
        <w:pStyle w:val="ListBullet"/>
      </w:pPr>
      <w:r>
        <w:t>Chạy mô phỏng số: chứng minh cấu hình hai trục vượt một trục 26,2% năng lượng trực xạ ngày đông chí; sai số suy góc sau hiệu chuẩn còn 1,65° ở điều kiện tổng hợp (Chương 3).</w:t>
      </w:r>
    </w:p>
    <w:p>
      <w:pPr>
        <w:pStyle w:val="ListBullet"/>
      </w:pPr>
      <w:r>
        <w:t>Chốt tham số: β_s = 30°, vùng chết δ = 3°, thứ tự chỉnh nghiêng trước – phương vị sau.</w:t>
      </w:r>
    </w:p>
    <w:p>
      <w:pPr>
        <w:pStyle w:val="ListBullet"/>
      </w:pPr>
      <w:r>
        <w:t>Chốt phần cứng: ESP32 là vi điều khiển duy nhất cho cả hai trục; hai động cơ gạt nước ô tô trục vít tự giữ vị trí khi ngắt điện; hai biến trở hồi tiếp góc.</w:t>
      </w:r>
    </w:p>
    <w:p>
      <w:pPr>
        <w:pStyle w:val="Heading2"/>
      </w:pPr>
      <w:r>
        <w:t>4.2. Các công việc còn lại của tuần này (5/10 – 10/10/2026)</w:t>
      </w:r>
    </w:p>
    <w:p>
      <w:pPr>
        <w:pStyle w:val="ListBullet"/>
      </w:pPr>
      <w:r>
        <w:t>Đối chiếu vectơ Mặt Trời mô phỏng với SPA/pvlib, yêu cầu sai số hình học dưới 0,5°.</w:t>
      </w:r>
    </w:p>
    <w:p>
      <w:pPr>
        <w:pStyle w:val="ListBullet"/>
      </w:pPr>
      <w:r>
        <w:t>Chế giá thử β_s và đo kiểm chứng đáp ứng cos(Δ ∓ β_s) với cụm LDR thực.</w:t>
      </w:r>
    </w:p>
    <w:p>
      <w:pPr>
        <w:pStyle w:val="ListBullet"/>
      </w:pPr>
      <w:r>
        <w:t>Mở rộng mô phỏng vòng kín cho đồng thời hai trục để xác nhận thứ tự nghiêng–phương vị.</w:t>
      </w:r>
    </w:p>
    <w:p>
      <w:pPr>
        <w:pStyle w:val="ListBullet"/>
      </w:pPr>
      <w:r>
        <w:t>Gửi quyển nghiên cứu xin góp ý của giảng viên hướng dẫn.</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Analog Devices, DS3231 Extremely Accurate I²C-Integrated RTC/TCXO/Crystal, Datasheet. https://www.analog.com/media/en/technical-documentation/data-sheets/DS3231.pdf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DS3231.</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