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80"/>
        <w:jc w:val="center"/>
      </w:pPr>
      <w:r>
        <w:rPr>
          <w:rFonts w:ascii="Arial" w:cs="Arial" w:eastAsia="Arial" w:hAnsi="Arial"/>
          <w:b/>
          <w:bCs/>
          <w:color w:val="B08D45"/>
          <w:sz w:val="26"/>
          <w:szCs w:val="26"/>
        </w:rPr>
        <w:t xml:space="preserve">STARTUP VALIDATION REPORT</w:t>
      </w:r>
    </w:p>
    <w:p>
      <w:pPr>
        <w:pBdr>
          <w:bottom w:val="single" w:color="B08D45" w:sz="4" w:space="8"/>
        </w:pBdr>
        <w:spacing w:after="400"/>
      </w:pPr>
      <w:r>
        <w:t xml:space="preserve"/>
      </w:r>
    </w:p>
    <w:p>
      <w:pPr>
        <w:spacing w:after="200"/>
        <w:jc w:val="center"/>
      </w:pPr>
      <w:r>
        <w:rPr>
          <w:rFonts w:ascii="Arial" w:cs="Arial" w:eastAsia="Arial" w:hAnsi="Arial"/>
          <w:b/>
          <w:bCs/>
          <w:color w:val="0F1A30"/>
          <w:sz w:val="56"/>
          <w:szCs w:val="56"/>
        </w:rPr>
        <w:t xml:space="preserve">CareerCopilot.AI</w:t>
      </w:r>
    </w:p>
    <w:p>
      <w:pPr>
        <w:spacing w:after="600"/>
        <w:jc w:val="center"/>
      </w:pPr>
      <w:r>
        <w:rPr>
          <w:rFonts w:ascii="Arial" w:cs="Arial" w:eastAsia="Arial" w:hAnsi="Arial"/>
          <w:i/>
          <w:iCs/>
          <w:color w:val="44546A"/>
          <w:sz w:val="24"/>
          <w:szCs w:val="24"/>
        </w:rPr>
        <w:t xml:space="preserve">An AI-Powered Career Guidance Platform for College Students &amp; Fresh Graduates</w:t>
      </w:r>
    </w:p>
    <w:p>
      <w:pPr>
        <w:spacing w:after="120"/>
        <w:jc w:val="center"/>
      </w:pPr>
      <w:r>
        <w:rPr>
          <w:color w:val="595959"/>
          <w:sz w:val="22"/>
          <w:szCs w:val="22"/>
        </w:rPr>
        <w:t xml:space="preserve">Prepared for: Founder / Early-Stage Review</w:t>
      </w:r>
    </w:p>
    <w:p>
      <w:pPr>
        <w:spacing w:after="120"/>
        <w:jc w:val="center"/>
      </w:pPr>
      <w:r>
        <w:rPr>
          <w:color w:val="595959"/>
          <w:sz w:val="22"/>
          <w:szCs w:val="22"/>
        </w:rPr>
        <w:t xml:space="preserve">Market Focus: India (Pan-India, Engineering &amp; IT Students)</w:t>
      </w:r>
    </w:p>
    <w:p>
      <w:pPr>
        <w:spacing w:after="1200"/>
        <w:jc w:val="center"/>
      </w:pPr>
      <w:r>
        <w:rPr>
          <w:color w:val="595959"/>
          <w:sz w:val="22"/>
          <w:szCs w:val="22"/>
        </w:rPr>
        <w:t xml:space="preserve">Date: June 25, 2026</w:t>
      </w:r>
    </w:p>
    <w:p>
      <w:pPr>
        <w:spacing w:after="40" w:before="2000"/>
        <w:jc w:val="center"/>
      </w:pPr>
      <w:r>
        <w:rPr>
          <w:b/>
          <w:bCs/>
          <w:color w:val="44546A"/>
          <w:sz w:val="18"/>
          <w:szCs w:val="18"/>
        </w:rPr>
        <w:t xml:space="preserve">CONFIDENTIAL — PREPARED FOR FOUNDER USE</w:t>
      </w:r>
    </w:p>
    <w:p>
      <w:pPr>
        <w:spacing w:after="0"/>
        <w:jc w:val="center"/>
      </w:pPr>
      <w:r>
        <w:rPr>
          <w:color w:val="595959"/>
          <w:sz w:val="16"/>
          <w:szCs w:val="16"/>
        </w:rPr>
        <w:t xml:space="preserve">Independent Startup Validation Analysis | Market Research &amp; Strategic Advisory</w:t>
      </w:r>
    </w:p>
    <w:p>
      <w:r>
        <w:br w:type="page"/>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pPr>
      <w:r>
        <w:t xml:space="preserve">Table of Contents</w:t>
      </w:r>
    </w:p>
    <w:p>
      <w:pPr>
        <w:spacing w:after="200"/>
      </w:pPr>
      <w:r>
        <w:rPr>
          <w:i/>
          <w:iCs/>
          <w:color w:val="595959"/>
          <w:sz w:val="16"/>
          <w:szCs w:val="16"/>
        </w:rPr>
        <w:t xml:space="preserve">(Right-click and select “Update Field” in Word to populate page numbers if not shown automatically)</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pBdr>
          <w:bottom w:val="single" w:color="B08D45" w:sz="6" w:space="1"/>
        </w:pBdr>
        <w:spacing w:after="240" w:before="60"/>
      </w:pPr>
      <w:r>
        <w:t xml:space="preserve"/>
      </w:r>
    </w:p>
    <w:p>
      <w:pPr>
        <w:spacing w:after="200" w:before="0"/>
        <w:jc w:val="left"/>
      </w:pPr>
      <w:r>
        <w:t xml:space="preserve">CareerCopilot.AI is an AI-powered career guidance platform targeting college students and fresh graduates in India, beginning with engineering and IT students. The platform consolidates resume building, personalized learning roadmaps, interview preparation, and application tracking into a single, end-to-end career copilot — replacing today's fragmented mix of YouTube videos, blogs, and informal peer advice.</w:t>
      </w:r>
    </w:p>
    <w:p>
      <w:pPr>
        <w:pStyle w:val="Heading2"/>
      </w:pPr>
      <w:r>
        <w:t xml:space="preserve">Overall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Founder-Market Fit</w:t>
            </w:r>
          </w:p>
        </w:tc>
        <w:tc>
          <w:tcPr>
            <w:tcW w:type="dxa" w:w="312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Market Opportunity</w:t>
            </w:r>
          </w:p>
        </w:tc>
        <w:tc>
          <w:tcPr>
            <w:tcW w:type="dxa" w:w="312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Overall Recommendation</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2E7D4F"/>
                <w:sz w:val="22"/>
                <w:szCs w:val="22"/>
              </w:rPr>
              <w:t xml:space="preserve">7.6 / 10 — Strong</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2"/>
                <w:szCs w:val="22"/>
              </w:rPr>
              <w:t xml:space="preserve">High Volume, Low ARPU</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2E7D4F"/>
                <w:sz w:val="22"/>
                <w:szCs w:val="22"/>
              </w:rPr>
              <w:t xml:space="preserve">CONDITIONAL GO</w:t>
            </w:r>
          </w:p>
        </w:tc>
      </w:tr>
    </w:tbl>
    <w:p>
      <w:pPr>
        <w:spacing w:after="100" w:before="0"/>
        <w:jc w:val="left"/>
      </w:pPr>
      <w:r>
        <w:t xml:space="preserve"/>
      </w:r>
    </w:p>
    <w:p>
      <w:pPr>
        <w:pStyle w:val="Heading2"/>
      </w:pPr>
      <w:r>
        <w:t xml:space="preserve">Key Findings</w:t>
      </w:r>
    </w:p>
    <w:p>
      <w:pPr>
        <w:pStyle w:val="ListParagraph"/>
        <w:numPr>
          <w:ilvl w:val="0"/>
          <w:numId w:val="2"/>
        </w:numPr>
        <w:spacing w:after="90"/>
      </w:pPr>
      <w:r>
        <w:t xml:space="preserve">The problem is real and acute: low employability among Indian engineering graduates is well documented, with industry estimates suggesting fewer than half of graduates are considered industry-ready, creating sustained demand for structured career support.</w:t>
      </w:r>
    </w:p>
    <w:p>
      <w:pPr>
        <w:pStyle w:val="ListParagraph"/>
        <w:numPr>
          <w:ilvl w:val="0"/>
          <w:numId w:val="2"/>
        </w:numPr>
        <w:spacing w:after="90"/>
      </w:pPr>
      <w:r>
        <w:t xml:space="preserve">The category is crowded but fragmented. Established players (Careerflow, Rezi, Kickresume, Foundit/Zuno, Expertia AI) each own a slice of the journey — resume, interview prep, or job matching — but few offer one integrated, India-priced, student-first journey from college to first job.</w:t>
      </w:r>
    </w:p>
    <w:p>
      <w:pPr>
        <w:pStyle w:val="ListParagraph"/>
        <w:numPr>
          <w:ilvl w:val="0"/>
          <w:numId w:val="2"/>
        </w:numPr>
        <w:spacing w:after="90"/>
      </w:pPr>
      <w:r>
        <w:t xml:space="preserve">Willingness to pay among students is the single largest open risk. Indian students are price-sensitive, and most validation so far is anecdotal (informal peer conversations), not committed demand (no waitlist, no pre-orders, no paying pilot users).</w:t>
      </w:r>
    </w:p>
    <w:p>
      <w:pPr>
        <w:pStyle w:val="ListParagraph"/>
        <w:numPr>
          <w:ilvl w:val="0"/>
          <w:numId w:val="2"/>
        </w:numPr>
        <w:spacing w:after="90"/>
      </w:pPr>
      <w:r>
        <w:t xml:space="preserve">Founder-market fit is strong on lived experience and empathy for the problem, but currently unproven on technical/AI execution and go-to-market distribution — both addressable in the next 30–90 days.</w:t>
      </w:r>
    </w:p>
    <w:p>
      <w:pPr>
        <w:pStyle w:val="ListParagraph"/>
        <w:numPr>
          <w:ilvl w:val="0"/>
          <w:numId w:val="2"/>
        </w:numPr>
        <w:spacing w:after="90"/>
      </w:pPr>
      <w:r>
        <w:t xml:space="preserve">A B2C-only model focused on individual students will face a long, low-ARPU sales cycle. The more defensible long-term wedge is B2C-led growth with a B2B2C layer (colleges, training institutes, placement cells) monetizing the same product.</w:t>
      </w:r>
    </w:p>
    <w:p>
      <w:pPr>
        <w:spacing w:after="80" w:before="0"/>
        <w:jc w:val="left"/>
      </w:pPr>
      <w:r>
        <w:t xml:space="preserve"/>
      </w:r>
    </w:p>
    <w:p>
      <w:pPr>
        <w:pStyle w:val="Heading2"/>
      </w:pPr>
      <w:r>
        <w:t xml:space="preserve">Top 3 Strategic Priorities (Next 30 Days)</w:t>
      </w:r>
    </w:p>
    <w:p>
      <w:pPr>
        <w:pStyle w:val="ListParagraph"/>
        <w:numPr>
          <w:ilvl w:val="0"/>
          <w:numId w:val="3"/>
        </w:numPr>
        <w:spacing w:after="90"/>
      </w:pPr>
      <w:r>
        <w:t xml:space="preserve">Validate willingness to pay before writing more code: run 50–100 structured interviews and launch a landing-page waitlist with a paid pre-order or refundable deposit option.</w:t>
      </w:r>
    </w:p>
    <w:p>
      <w:pPr>
        <w:pStyle w:val="ListParagraph"/>
        <w:numPr>
          <w:ilvl w:val="0"/>
          <w:numId w:val="3"/>
        </w:numPr>
        <w:spacing w:after="90"/>
      </w:pPr>
      <w:r>
        <w:t xml:space="preserve">Narrow the wedge: launch with ONE killer feature (e.g., ATS resume builder + role-specific learning roadmap) rather than the full 5-feature suite, to get to a usable MVP faster and test real engagement.</w:t>
      </w:r>
    </w:p>
    <w:p>
      <w:pPr>
        <w:pStyle w:val="ListParagraph"/>
        <w:numPr>
          <w:ilvl w:val="0"/>
          <w:numId w:val="3"/>
        </w:numPr>
        <w:spacing w:after="90"/>
      </w:pPr>
      <w:r>
        <w:t xml:space="preserve">Open one institutional conversation: approach a single college placement cell or training institute to explore a pilot — this tests the B2B2C distribution channel that materially changes the economics of this business.</w:t>
      </w:r>
    </w:p>
    <w:p>
      <w:pPr>
        <w:spacing w:after="0" w:before="0"/>
        <w:jc w:val="left"/>
      </w:pPr>
      <w:r>
        <w:t xml:space="preserve"/>
      </w:r>
    </w:p>
    <w:p>
      <w:r>
        <w:br w:type="page"/>
      </w:r>
    </w:p>
    <w:p>
      <w:pPr>
        <w:pStyle w:val="Heading1"/>
      </w:pPr>
      <w:r>
        <w:t xml:space="preserve">2. Problem Validation</w:t>
      </w:r>
    </w:p>
    <w:p>
      <w:pPr>
        <w:pBdr>
          <w:bottom w:val="single" w:color="B08D45" w:sz="6" w:space="1"/>
        </w:pBdr>
        <w:spacing w:after="240" w:before="60"/>
      </w:pPr>
      <w:r>
        <w:t xml:space="preserve"/>
      </w:r>
    </w:p>
    <w:p>
      <w:pPr>
        <w:pStyle w:val="Heading2"/>
      </w:pPr>
      <w:r>
        <w:t xml:space="preserve">2.1 Is This a Real, Painful Problem?</w:t>
      </w:r>
    </w:p>
    <w:p>
      <w:pPr>
        <w:spacing w:after="160" w:before="0"/>
        <w:jc w:val="left"/>
      </w:pPr>
      <w:r>
        <w:t xml:space="preserve">Yes — and the data backs it up. The employability gap in India is one of the most consistently cited structural issues in the country's higher education and labor market discussion, not a niche anecdotal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Evidence Point</w:t>
            </w:r>
          </w:p>
        </w:tc>
        <w:tc>
          <w:tcPr>
            <w:tcW w:type="dxa" w:w="468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Why It Matters</w:t>
            </w:r>
          </w:p>
        </w:tc>
      </w:tr>
      <w:tr>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India produces roughly 1.5 million engineering graduates per year, but historically only a small minority secure jobs directly in their field within the first year.</w:t>
            </w:r>
          </w:p>
        </w:tc>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Confirms a massive, recurring annual cohort experiencing the exact pain point the product addresses.</w:t>
            </w:r>
          </w:p>
        </w:tc>
      </w:tr>
      <w:tr>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The India Skills Report 2026 puts overall graduate employability at around 56%, meaning a large share of graduates still need additional preparation to meet employer expectations.</w:t>
            </w:r>
          </w:p>
        </w:tc>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Validates that the skills/readiness gap is current (2026 data), not historical or already solved.</w:t>
            </w:r>
          </w:p>
        </w:tc>
      </w:tr>
      <w:tr>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Roughly 60% of Indian employers report a skills gap among graduates entering the workforce.</w:t>
            </w:r>
          </w:p>
        </w:tc>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Confirms the problem is two-sided: students feel underprepared, and employers independently confirm it.</w:t>
            </w:r>
          </w:p>
        </w:tc>
      </w:tr>
      <w:tr>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Strong, sustained engagement with career-content creators and communities on YouTube, LinkedIn, and student forums.</w:t>
            </w:r>
          </w:p>
        </w:tc>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Shows active, ongoing self-directed search behavior — exactly the gap an integrated product would fill.</w:t>
            </w:r>
          </w:p>
        </w:tc>
      </w:tr>
    </w:tbl>
    <w:p>
      <w:pPr>
        <w:spacing w:after="160" w:before="0"/>
        <w:jc w:val="left"/>
      </w:pPr>
      <w:r>
        <w:t xml:space="preserve"/>
      </w:r>
    </w:p>
    <w:p>
      <w:pPr>
        <w:pStyle w:val="Heading2"/>
      </w:pPr>
      <w:r>
        <w:t xml:space="preserve">2.2 Severity &amp;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Dimension</w:t>
            </w:r>
          </w:p>
        </w:tc>
        <w:tc>
          <w:tcPr>
            <w:tcW w:type="dxa" w:w="312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Assessment</w:t>
            </w:r>
          </w:p>
        </w:tc>
        <w:tc>
          <w:tcPr>
            <w:tcW w:type="dxa" w:w="312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Rationale</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Frequency</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2E7D4F"/>
                <w:sz w:val="20"/>
                <w:szCs w:val="20"/>
              </w:rPr>
              <w:t xml:space="preserve">High</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Every student faces this repeatedly: every semester, every internship cycle, every application.</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Severity</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2E7D4F"/>
                <w:sz w:val="20"/>
                <w:szCs w:val="20"/>
              </w:rPr>
              <w:t xml:space="preserve">High</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Directly affects employability, income, and family/social expectations — high emotional and financial stakes.</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Current Workaround Cost</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0"/>
                <w:szCs w:val="20"/>
              </w:rPr>
              <w:t xml:space="preserve">Moderate–High</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Free but slow and unreliable (YouTube/blogs); paid alternatives (coaching, counselors) are costly and inconsistent in quality.</w:t>
            </w:r>
          </w:p>
        </w:tc>
      </w:tr>
    </w:tbl>
    <w:p>
      <w:pPr>
        <w:spacing w:after="160" w:before="0"/>
        <w:jc w:val="left"/>
      </w:pPr>
      <w:r>
        <w:t xml:space="preserve"/>
      </w:r>
    </w:p>
    <w:p>
      <w:pPr>
        <w:pStyle w:val="Heading2"/>
      </w:pPr>
      <w:r>
        <w:t xml:space="preserve">2.3 Validation Strength — Reality Check</w:t>
      </w:r>
    </w:p>
    <w:p>
      <w:pPr>
        <w:spacing w:after="100" w:before="0"/>
        <w:jc w:val="left"/>
      </w:pPr>
      <w:r>
        <w:t xml:space="preserve">This is the most important caveat in this report. The problem is well-documented at a market level, but your personal validation is currently anecdotal: informal peer conversations and observed content engagement. There is no waitlist, no signed letters of intent, no paid pilot, and no usage data from a working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What You Have</w:t>
            </w:r>
          </w:p>
        </w:tc>
        <w:tc>
          <w:tcPr>
            <w:tcW w:type="dxa" w:w="468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What You Don't Have Yet</w:t>
            </w:r>
          </w:p>
        </w:tc>
      </w:tr>
      <w:tr>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40"/>
              <w:jc w:val="left"/>
            </w:pPr>
            <w:r>
              <w:rPr>
                <w:i w:val="false"/>
                <w:iCs w:val="false"/>
                <w:color w:val="000000"/>
                <w:sz w:val="20"/>
                <w:szCs w:val="20"/>
              </w:rPr>
              <w:t xml:space="preserve">Informal peer/classmate discussions</w:t>
            </w:r>
          </w:p>
          <w:p>
            <w:pPr>
              <w:spacing w:after="40"/>
              <w:jc w:val="left"/>
            </w:pPr>
            <w:r>
              <w:rPr>
                <w:i w:val="false"/>
                <w:iCs w:val="false"/>
                <w:color w:val="000000"/>
                <w:sz w:val="20"/>
                <w:szCs w:val="20"/>
              </w:rPr>
              <w:t xml:space="preserve">Anecdotal agreement that resume + interview prep is hard</w:t>
            </w:r>
          </w:p>
          <w:p>
            <w:pPr>
              <w:spacing w:after="40"/>
              <w:jc w:val="left"/>
            </w:pPr>
            <w:r>
              <w:rPr>
                <w:i w:val="false"/>
                <w:iCs w:val="false"/>
                <w:color w:val="000000"/>
                <w:sz w:val="20"/>
                <w:szCs w:val="20"/>
              </w:rPr>
              <w:t xml:space="preserve">Observed engagement with career content online</w:t>
            </w:r>
          </w:p>
          <w:p>
            <w:pPr>
              <w:spacing w:after="40"/>
              <w:jc w:val="left"/>
            </w:pPr>
            <w:r>
              <w:rPr>
                <w:i w:val="false"/>
                <w:iCs w:val="false"/>
                <w:color w:val="000000"/>
                <w:sz w:val="20"/>
                <w:szCs w:val="20"/>
              </w:rPr>
              <w:t xml:space="preserve">Confirmation that competitors solve only part of the problem</w:t>
            </w:r>
          </w:p>
        </w:tc>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40"/>
              <w:jc w:val="left"/>
            </w:pPr>
            <w:r>
              <w:rPr>
                <w:i w:val="false"/>
                <w:iCs w:val="false"/>
                <w:color w:val="000000"/>
                <w:sz w:val="20"/>
                <w:szCs w:val="20"/>
              </w:rPr>
              <w:t xml:space="preserve">A waitlist or pre-launch signups</w:t>
            </w:r>
          </w:p>
          <w:p>
            <w:pPr>
              <w:spacing w:after="40"/>
              <w:jc w:val="left"/>
            </w:pPr>
            <w:r>
              <w:rPr>
                <w:i w:val="false"/>
                <w:iCs w:val="false"/>
                <w:color w:val="000000"/>
                <w:sz w:val="20"/>
                <w:szCs w:val="20"/>
              </w:rPr>
              <w:t xml:space="preserve">Any committed or paying users</w:t>
            </w:r>
          </w:p>
          <w:p>
            <w:pPr>
              <w:spacing w:after="40"/>
              <w:jc w:val="left"/>
            </w:pPr>
            <w:r>
              <w:rPr>
                <w:i w:val="false"/>
                <w:iCs w:val="false"/>
                <w:color w:val="000000"/>
                <w:sz w:val="20"/>
                <w:szCs w:val="20"/>
              </w:rPr>
              <w:t xml:space="preserve">Structured interview data (sample size, demographics)</w:t>
            </w:r>
          </w:p>
          <w:p>
            <w:pPr>
              <w:spacing w:after="40"/>
              <w:jc w:val="left"/>
            </w:pPr>
            <w:r>
              <w:rPr>
                <w:i w:val="false"/>
                <w:iCs w:val="false"/>
                <w:color w:val="000000"/>
                <w:sz w:val="20"/>
                <w:szCs w:val="20"/>
              </w:rPr>
              <w:t xml:space="preserve">Evidence of willingness to pay a specific price</w:t>
            </w:r>
          </w:p>
        </w:tc>
      </w:tr>
    </w:tbl>
    <w:p>
      <w:pPr>
        <w:spacing w:after="0" w:before="0"/>
        <w:jc w:val="left"/>
      </w:pPr>
      <w:r>
        <w:rPr>
          <w:i/>
          <w:iCs/>
          <w:color w:val="44546A"/>
        </w:rPr>
        <w:t xml:space="preserve">Recommendation: Treat the market-level evidence as strong validation that the problem category is real. Treat your personal validation as Stage 0 (pre-validation) — the highest-leverage next step is closing this gap, not building more product.</w:t>
      </w:r>
    </w:p>
    <w:p>
      <w:r>
        <w:br w:type="page"/>
      </w:r>
    </w:p>
    <w:p>
      <w:pPr>
        <w:pStyle w:val="Heading1"/>
      </w:pPr>
      <w:r>
        <w:t xml:space="preserve">3. Founder-Market Fit Score</w:t>
      </w:r>
    </w:p>
    <w:p>
      <w:pPr>
        <w:pBdr>
          <w:bottom w:val="single" w:color="B08D45" w:sz="6" w:space="1"/>
        </w:pBdr>
        <w:spacing w:after="240" w:before="60"/>
      </w:pPr>
      <w:r>
        <w:t xml:space="preserve"/>
      </w:r>
    </w:p>
    <w:p>
      <w:pPr>
        <w:spacing w:after="200" w:before="0"/>
        <w:jc w:val="left"/>
      </w:pPr>
      <w:r>
        <w:t xml:space="preserve">Founder-market fit measures how well-positioned you personally are to win in this specific market — not whether the idea is good in the abstract. Scored out of 10 across five weighted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2200"/>
        <w:gridCol w:w="3660"/>
      </w:tblGrid>
      <w:tr>
        <w:tc>
          <w:tcPr>
            <w:tcW w:type="dxa" w:w="24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Dimension</w:t>
            </w:r>
          </w:p>
        </w:tc>
        <w:tc>
          <w:tcPr>
            <w:tcW w:type="dxa" w:w="11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Score</w:t>
            </w:r>
          </w:p>
        </w:tc>
        <w:tc>
          <w:tcPr>
            <w:tcW w:type="dxa" w:w="22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
            </w:r>
          </w:p>
        </w:tc>
        <w:tc>
          <w:tcPr>
            <w:tcW w:type="dxa" w:w="366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Notes</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19"/>
                <w:szCs w:val="19"/>
              </w:rPr>
              <w:t xml:space="preserve">Personal Experience with Problem</w:t>
            </w:r>
          </w:p>
        </w:tc>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2E7D4F"/>
                <w:sz w:val="20"/>
                <w:szCs w:val="20"/>
              </w:rPr>
              <w:t xml:space="preserve">9/10</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i w:val="false"/>
                <w:iCs w:val="false"/>
                <w:color w:val="2E7D4F"/>
                <w:sz w:val="18"/>
                <w:szCs w:val="18"/>
              </w:rPr>
              <w:t xml:space="preserve">▓▓▓▓▓▓▓▓▓▓▓▓▓▓░░</w:t>
            </w:r>
          </w:p>
        </w:tc>
        <w:tc>
          <w:tcPr>
            <w:tcW w:type="dxa" w:w="3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Lived the exact problem as a student — strongest asset in this evaluation.</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19"/>
                <w:szCs w:val="19"/>
              </w:rPr>
              <w:t xml:space="preserve">Domain/Industry Knowledge</w:t>
            </w:r>
          </w:p>
        </w:tc>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0"/>
                <w:szCs w:val="20"/>
              </w:rPr>
              <w:t xml:space="preserve">6/10</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i w:val="false"/>
                <w:iCs w:val="false"/>
                <w:color w:val="B8860B"/>
                <w:sz w:val="18"/>
                <w:szCs w:val="18"/>
              </w:rPr>
              <w:t xml:space="preserve">▓▓▓▓▓▓▓▓▓▓░░░░░░</w:t>
            </w:r>
          </w:p>
        </w:tc>
        <w:tc>
          <w:tcPr>
            <w:tcW w:type="dxa" w:w="3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Good intuitive grasp of student pain points; formal career-counseling or EdTech industry experience not yet established.</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19"/>
                <w:szCs w:val="19"/>
              </w:rPr>
              <w:t xml:space="preserve">Technical Execution Capability</w:t>
            </w:r>
          </w:p>
        </w:tc>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0"/>
                <w:szCs w:val="20"/>
              </w:rPr>
              <w:t xml:space="preserve">6/10</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i w:val="false"/>
                <w:iCs w:val="false"/>
                <w:color w:val="B8860B"/>
                <w:sz w:val="18"/>
                <w:szCs w:val="18"/>
              </w:rPr>
              <w:t xml:space="preserve">▓▓▓▓▓▓▓▓▓▓░░░░░░</w:t>
            </w:r>
          </w:p>
        </w:tc>
        <w:tc>
          <w:tcPr>
            <w:tcW w:type="dxa" w:w="3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Unconfirmed — no MVP or prototype yet. AI-driven personalization is technically non-trivial (resume parsing, roadmap generation, interview AI).</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19"/>
                <w:szCs w:val="19"/>
              </w:rPr>
              <w:t xml:space="preserve">Network &amp; Distribution Access</w:t>
            </w:r>
          </w:p>
        </w:tc>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0"/>
                <w:szCs w:val="20"/>
              </w:rPr>
              <w:t xml:space="preserve">6/10</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i w:val="false"/>
                <w:iCs w:val="false"/>
                <w:color w:val="B8860B"/>
                <w:sz w:val="18"/>
                <w:szCs w:val="18"/>
              </w:rPr>
              <w:t xml:space="preserve">▓▓▓▓▓▓▓▓▓▓░░░░░░</w:t>
            </w:r>
          </w:p>
        </w:tc>
        <w:tc>
          <w:tcPr>
            <w:tcW w:type="dxa" w:w="3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Strong access to peer/student networks (organic GTM); institutional and B2B relationships (colleges, training institutes) not yet built.</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19"/>
                <w:szCs w:val="19"/>
              </w:rPr>
              <w:t xml:space="preserve">Resilience / Commitment Signal</w:t>
            </w:r>
          </w:p>
        </w:tc>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2E7D4F"/>
                <w:sz w:val="20"/>
                <w:szCs w:val="20"/>
              </w:rPr>
              <w:t xml:space="preserve">8/10</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i w:val="false"/>
                <w:iCs w:val="false"/>
                <w:color w:val="2E7D4F"/>
                <w:sz w:val="18"/>
                <w:szCs w:val="18"/>
              </w:rPr>
              <w:t xml:space="preserve">▓▓▓▓▓▓▓▓▓▓▓▓▓░░░</w:t>
            </w:r>
          </w:p>
        </w:tc>
        <w:tc>
          <w:tcPr>
            <w:tcW w:type="dxa" w:w="3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Framed as a mission-driven, personally meaningful problem — a positive long-horizon commitment signal, though not yet tested under real pressure (paying customers, churn, etc.).</w:t>
            </w:r>
          </w:p>
        </w:tc>
      </w:tr>
    </w:tbl>
    <w:p>
      <w:pPr>
        <w:spacing w:after="160" w:before="0"/>
        <w:jc w:val="left"/>
      </w:pPr>
      <w:r>
        <w:t xml:space="preserve"/>
      </w:r>
    </w:p>
    <w:p>
      <w:pPr>
        <w:pStyle w:val="Heading2"/>
      </w:pPr>
      <w:r>
        <w:t xml:space="preserve">Composite Founder-Market Fit Score: 7.6 / 10 — Strong, with Execution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Strengths to Leverage</w:t>
            </w:r>
          </w:p>
        </w:tc>
        <w:tc>
          <w:tcPr>
            <w:tcW w:type="dxa" w:w="468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Gaps to Close in 30–90 Days</w:t>
            </w:r>
          </w:p>
        </w:tc>
      </w:tr>
      <w:tr>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40"/>
              <w:jc w:val="left"/>
            </w:pPr>
            <w:r>
              <w:rPr>
                <w:i w:val="false"/>
                <w:iCs w:val="false"/>
                <w:color w:val="000000"/>
                <w:sz w:val="20"/>
                <w:szCs w:val="20"/>
              </w:rPr>
              <w:t xml:space="preserve">Authentic personal story (powerful for content-led growth and fundraising narrative)</w:t>
            </w:r>
          </w:p>
          <w:p>
            <w:pPr>
              <w:spacing w:after="40"/>
              <w:jc w:val="left"/>
            </w:pPr>
            <w:r>
              <w:rPr>
                <w:i w:val="false"/>
                <w:iCs w:val="false"/>
                <w:color w:val="000000"/>
                <w:sz w:val="20"/>
                <w:szCs w:val="20"/>
              </w:rPr>
              <w:t xml:space="preserve">Direct empathy with the exact ICP — you ARE the customer</w:t>
            </w:r>
          </w:p>
          <w:p>
            <w:pPr>
              <w:spacing w:after="40"/>
              <w:jc w:val="left"/>
            </w:pPr>
            <w:r>
              <w:rPr>
                <w:i w:val="false"/>
                <w:iCs w:val="false"/>
                <w:color w:val="000000"/>
                <w:sz w:val="20"/>
                <w:szCs w:val="20"/>
              </w:rPr>
              <w:t xml:space="preserve">High intrinsic motivation, low risk of early founder burnout from lack of belief</w:t>
            </w:r>
          </w:p>
        </w:tc>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40"/>
              <w:jc w:val="left"/>
            </w:pPr>
            <w:r>
              <w:rPr>
                <w:i w:val="false"/>
                <w:iCs w:val="false"/>
                <w:color w:val="000000"/>
                <w:sz w:val="20"/>
                <w:szCs w:val="20"/>
              </w:rPr>
              <w:t xml:space="preserve">Build or commission a working MVP to de-risk technical execution</w:t>
            </w:r>
          </w:p>
          <w:p>
            <w:pPr>
              <w:spacing w:after="40"/>
              <w:jc w:val="left"/>
            </w:pPr>
            <w:r>
              <w:rPr>
                <w:i w:val="false"/>
                <w:iCs w:val="false"/>
                <w:color w:val="000000"/>
                <w:sz w:val="20"/>
                <w:szCs w:val="20"/>
              </w:rPr>
              <w:t xml:space="preserve">Start one structured conversation with a college/training institute</w:t>
            </w:r>
          </w:p>
          <w:p>
            <w:pPr>
              <w:spacing w:after="40"/>
              <w:jc w:val="left"/>
            </w:pPr>
            <w:r>
              <w:rPr>
                <w:i w:val="false"/>
                <w:iCs w:val="false"/>
                <w:color w:val="000000"/>
                <w:sz w:val="20"/>
                <w:szCs w:val="20"/>
              </w:rPr>
              <w:t xml:space="preserve">Document the problem with real interview data, not just informal chats</w:t>
            </w:r>
          </w:p>
        </w:tc>
      </w:tr>
    </w:tbl>
    <w:p>
      <w:pPr>
        <w:spacing w:after="0" w:before="0"/>
        <w:jc w:val="left"/>
      </w:pPr>
      <w:r>
        <w:t xml:space="preserve"/>
      </w:r>
    </w:p>
    <w:p>
      <w:r>
        <w:br w:type="page"/>
      </w:r>
    </w:p>
    <w:p>
      <w:pPr>
        <w:pStyle w:val="Heading1"/>
      </w:pPr>
      <w:r>
        <w:t xml:space="preserve">4. TAM, SAM, SOM Analysis</w:t>
      </w:r>
    </w:p>
    <w:p>
      <w:pPr>
        <w:pBdr>
          <w:bottom w:val="single" w:color="B08D45" w:sz="6" w:space="1"/>
        </w:pBdr>
        <w:spacing w:after="240" w:before="60"/>
      </w:pPr>
      <w:r>
        <w:t xml:space="preserve"/>
      </w:r>
    </w:p>
    <w:p>
      <w:pPr>
        <w:spacing w:after="200" w:before="0"/>
        <w:jc w:val="left"/>
      </w:pPr>
      <w:r>
        <w:t xml:space="preserve">All figures below are built bottom-up from publicly available AICTE, IBEF, and industry market-sizing data (2025–2026), using conservative assumptions clearly stated at each step. Treat these as directional sizing for strategic decision-making, not audited projections.</w:t>
      </w:r>
    </w:p>
    <w:p>
      <w:pPr>
        <w:pStyle w:val="Heading2"/>
      </w:pPr>
      <w:r>
        <w:t xml:space="preserve">4.1 Market Sizing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240"/>
        <w:gridCol w:w="2000"/>
      </w:tblGrid>
      <w:tr>
        <w:tc>
          <w:tcPr>
            <w:tcW w:type="dxa" w:w="312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Layer</w:t>
            </w:r>
          </w:p>
        </w:tc>
        <w:tc>
          <w:tcPr>
            <w:tcW w:type="dxa" w:w="424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Definition &amp; Calculation</w:t>
            </w:r>
          </w:p>
        </w:tc>
        <w:tc>
          <w:tcPr>
            <w:tcW w:type="dxa" w:w="20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Estimate</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0"/>
                <w:szCs w:val="20"/>
              </w:rPr>
              <w:t xml:space="preserve">TAM
(Total Addressable Market)</w:t>
            </w:r>
          </w:p>
        </w:tc>
        <w:tc>
          <w:tcPr>
            <w:tcW w:type="dxa" w:w="4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All Indian college students + fresh graduates (engineering, IT, and allied technical fields) who actively seek career/job-readiness support annually. ~1.5M engineering graduates/yr + ~3-4M engineering students currently enrolled (AICTE: ~16 lakh annual seats across a 4-year cycle) + allied IT/diploma students.</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000000"/>
                <w:sz w:val="20"/>
                <w:szCs w:val="20"/>
              </w:rPr>
              <w:t xml:space="preserve">~5.5–6M students/yr
(India, eng. + IT)</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0"/>
                <w:szCs w:val="20"/>
              </w:rPr>
              <w:t xml:space="preserve">SAM
(Serviceable Addressable Market)</w:t>
            </w:r>
          </w:p>
        </w:tc>
        <w:tc>
          <w:tcPr>
            <w:tcW w:type="dxa" w:w="4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TAM narrowed to students in the initial 6 target metro/Tier-1 ecosystems (Delhi NCR, Bengaluru, Hyderabad, Pune, Chennai, Mumbai) with smartphone + reliable internet access and English-medium instruction, who are final-year or actively job-seeking (~35–40% of TAM is in active job-seeking window at any time).</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000000"/>
                <w:sz w:val="20"/>
                <w:szCs w:val="20"/>
              </w:rPr>
              <w:t xml:space="preserve">~1.1–1.3M students/yr</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0"/>
                <w:szCs w:val="20"/>
              </w:rPr>
              <w:t xml:space="preserve">SOM
(Serviceable Obtainable Market — Year 1–2)</w:t>
            </w:r>
          </w:p>
        </w:tc>
        <w:tc>
          <w:tcPr>
            <w:tcW w:type="dxa" w:w="4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Realistic capture in 18–24 months for an early-stage, organically-marketed product with no major paid acquisition budget: 1.5–3% of SAM, consistent with early-stage EdTech/career-tool benchmarks pre-Series A.</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000000"/>
                <w:sz w:val="20"/>
                <w:szCs w:val="20"/>
              </w:rPr>
              <w:t xml:space="preserve">~18,000–35,000 users</w:t>
            </w:r>
          </w:p>
        </w:tc>
      </w:tr>
    </w:tbl>
    <w:p>
      <w:pPr>
        <w:spacing w:after="160" w:before="0"/>
        <w:jc w:val="left"/>
      </w:pPr>
      <w:r>
        <w:t xml:space="preserve"/>
      </w:r>
    </w:p>
    <w:p>
      <w:pPr>
        <w:pStyle w:val="Heading2"/>
      </w:pPr>
      <w:r>
        <w:t xml:space="preserve">4.2 Revenue Translation (Illustrative)</w:t>
      </w:r>
    </w:p>
    <w:p>
      <w:pPr>
        <w:spacing w:after="120" w:before="0"/>
        <w:jc w:val="left"/>
      </w:pPr>
      <w:r>
        <w:t xml:space="preserve">Assuming a freemium model with a paid tier priced for Indian student affordability (₹299–₹599/month or ₹1,499–₹2,999/year), and a realistic free-to-paid conversion of 3–6% (typical for student-focused freemium EdTech):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Scenario</w:t>
            </w:r>
          </w:p>
        </w:tc>
        <w:tc>
          <w:tcPr>
            <w:tcW w:type="dxa" w:w="312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Paying Users (Yr 1–2)</w:t>
            </w:r>
          </w:p>
        </w:tc>
        <w:tc>
          <w:tcPr>
            <w:tcW w:type="dxa" w:w="312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Approx. Annual Revenue</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Conservative</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i w:val="false"/>
                <w:iCs w:val="false"/>
                <w:color w:val="000000"/>
                <w:sz w:val="20"/>
                <w:szCs w:val="20"/>
              </w:rPr>
              <w:t xml:space="preserve">~550 (3% of 18K SOM)</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i w:val="false"/>
                <w:iCs w:val="false"/>
                <w:color w:val="000000"/>
                <w:sz w:val="20"/>
                <w:szCs w:val="20"/>
              </w:rPr>
              <w:t xml:space="preserve">₹8–16 lakh (~$10-19K)</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Base Case</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i w:val="false"/>
                <w:iCs w:val="false"/>
                <w:color w:val="000000"/>
                <w:sz w:val="20"/>
                <w:szCs w:val="20"/>
              </w:rPr>
              <w:t xml:space="preserve">~1,400 (5% of 28K SOM)</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i w:val="false"/>
                <w:iCs w:val="false"/>
                <w:color w:val="000000"/>
                <w:sz w:val="20"/>
                <w:szCs w:val="20"/>
              </w:rPr>
              <w:t xml:space="preserve">₹21–42 lakh (~$25-50K)</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Optimistic</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i w:val="false"/>
                <w:iCs w:val="false"/>
                <w:color w:val="000000"/>
                <w:sz w:val="20"/>
                <w:szCs w:val="20"/>
              </w:rPr>
              <w:t xml:space="preserve">~2,100 (6% of 35K SOM)</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i w:val="false"/>
                <w:iCs w:val="false"/>
                <w:color w:val="000000"/>
                <w:sz w:val="20"/>
                <w:szCs w:val="20"/>
              </w:rPr>
              <w:t xml:space="preserve">₹31–63 lakh (~$37-75K)</w:t>
            </w:r>
          </w:p>
        </w:tc>
      </w:tr>
    </w:tbl>
    <w:p>
      <w:pPr>
        <w:spacing w:after="0" w:before="0"/>
        <w:jc w:val="left"/>
      </w:pPr>
      <w:r>
        <w:rPr>
          <w:i/>
          <w:iCs/>
          <w:color w:val="44546A"/>
        </w:rPr>
        <w:t xml:space="preserve">This is sufficient to prove a model but not yet venture-scale on its own — reinforcing why the B2B2C layer (institutions) and longer-term geographic/vertical expansion matter for long-run scale (see Section 14).</w:t>
      </w:r>
    </w:p>
    <w:p>
      <w:pPr>
        <w:spacing w:after="160" w:before="0"/>
        <w:jc w:val="left"/>
      </w:pPr>
      <w:r>
        <w:t xml:space="preserve"/>
      </w:r>
    </w:p>
    <w:p>
      <w:pPr>
        <w:pStyle w:val="Heading2"/>
      </w:pPr>
      <w:r>
        <w:t xml:space="preserve">4.3 Long-Term Expansion TAM</w:t>
      </w:r>
    </w:p>
    <w:p>
      <w:pPr>
        <w:spacing w:after="0" w:before="0"/>
        <w:jc w:val="left"/>
      </w:pPr>
      <w:r>
        <w:t xml:space="preserve">Including the stated long-term ambition (global English-speaking student markets across Southeast Asia, Europe, and North America), the addressable pool of post-secondary students globally runs into the hundreds of millions, with the global EdTech market alone valued at roughly $213 billion in 2026 and projected to grow at a low double-digit CAGR through 2033. This is directional context for future fundraising narratives — not a Year 1–2 planning input.</w:t>
      </w:r>
    </w:p>
    <w:p>
      <w:r>
        <w:br w:type="page"/>
      </w:r>
    </w:p>
    <w:p>
      <w:pPr>
        <w:pStyle w:val="Heading1"/>
      </w:pPr>
      <w:r>
        <w:t xml:space="preserve">5. Competitor Analysis</w:t>
      </w:r>
    </w:p>
    <w:p>
      <w:pPr>
        <w:pBdr>
          <w:bottom w:val="single" w:color="B08D45" w:sz="6" w:space="1"/>
        </w:pBdr>
        <w:spacing w:after="240" w:before="60"/>
      </w:pPr>
      <w:r>
        <w:t xml:space="preserve"/>
      </w:r>
    </w:p>
    <w:p>
      <w:pPr>
        <w:spacing w:after="200" w:before="0"/>
        <w:jc w:val="left"/>
      </w:pPr>
      <w:r>
        <w:t xml:space="preserve">The career-tech / resume-and-interview-prep category is active and well-funded globally, but coverage is fragmented — most players are strong in one part of the journey (resume OR interview OR job tracking) rather than the full college-to-first-job arc, and very few are purpose-built and priced for the Indian student.</w:t>
      </w:r>
    </w:p>
    <w:p>
      <w:pPr>
        <w:pStyle w:val="Heading2"/>
      </w:pPr>
      <w:r>
        <w:t xml:space="preserve">5.1 Direct &amp; Adjacent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860"/>
        <w:gridCol w:w="2000"/>
      </w:tblGrid>
      <w:tr>
        <w:tc>
          <w:tcPr>
            <w:tcW w:type="dxa" w:w="17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Player</w:t>
            </w:r>
          </w:p>
        </w:tc>
        <w:tc>
          <w:tcPr>
            <w:tcW w:type="dxa" w:w="19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Core Focus</w:t>
            </w:r>
          </w:p>
        </w:tc>
        <w:tc>
          <w:tcPr>
            <w:tcW w:type="dxa" w:w="19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Geography</w:t>
            </w:r>
          </w:p>
        </w:tc>
        <w:tc>
          <w:tcPr>
            <w:tcW w:type="dxa" w:w="186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Pricing Model</w:t>
            </w:r>
          </w:p>
        </w:tc>
        <w:tc>
          <w:tcPr>
            <w:tcW w:type="dxa" w:w="20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Key Gap vs. Your Idea</w:t>
            </w:r>
          </w:p>
        </w:tc>
      </w:tr>
      <w:tr>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Careerflow</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Resume builder, LinkedIn optimizer, job tracker, AI mock interview</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Global, English-first</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Freemium + premium coaching add-on</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Not India-priced or India-context-aware; no structured learning roadmap</w:t>
            </w:r>
          </w:p>
        </w:tc>
      </w:tr>
      <w:tr>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Rezi.ai</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AI resume builder, ATS scoring</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Global (US-led), 4M+ users</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Freemium, subscription</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Resume-only depth; no interview prep, roadmap, or application tracking</w:t>
            </w:r>
          </w:p>
        </w:tc>
      </w:tr>
      <w:tr>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Kickresume</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Resume + cover letter builder, AI feedback</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Global</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Free tier + $8-24/mo</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Same single-feature limitation as Rezi; pricing not India-calibrated</w:t>
            </w:r>
          </w:p>
        </w:tc>
      </w:tr>
      <w:tr>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Foundit (Zuno)</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Job board + gamified internship/fresher matching, AI learning tracks</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India-focused</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Free for job seekers</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Job-board-first model; guidance is a secondary feature, not the core product</w:t>
            </w:r>
          </w:p>
        </w:tc>
      </w:tr>
      <w:tr>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Expertia AI</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AI candidate scoring, skill-gap detection, enterprise hiring tools</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India-focused</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Enterprise/B2B (employer-paid)</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B2B-first; not a direct-to-student guidance product</w:t>
            </w:r>
          </w:p>
        </w:tc>
      </w:tr>
      <w:tr>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OphyAI</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Interview copilot + resume + cover letters + job search, 15+ tool ecosystem</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Global, 17 countries</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Credits-based, from $9/mo</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Closest full-stack competitor; not India-localized, not student-segment-specific (serves all career stages)</w:t>
            </w:r>
          </w:p>
        </w:tc>
      </w:tr>
      <w:tr>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AI Career Copilot (career-copilot.in)</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ATS scoring, resume builder, application tracking</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India-focused</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Unclear/early-stage</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Direct naming and positioning overlap — requires immediate differentiation check (see 5.3)</w:t>
            </w:r>
          </w:p>
        </w:tc>
      </w:tr>
      <w:tr>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Informal: YouTube / Blogs / WhatsApp groups</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Free, scattered advice and tutorials</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India + global</w:t>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Free</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No personalization, no structure, no tracking — but zero switching cost, so it's the real default competitor</w:t>
            </w:r>
          </w:p>
        </w:tc>
      </w:tr>
    </w:tbl>
    <w:p>
      <w:pPr>
        <w:spacing w:after="160" w:before="0"/>
        <w:jc w:val="left"/>
      </w:pPr>
      <w:r>
        <w:t xml:space="preserve"/>
      </w:r>
    </w:p>
    <w:p>
      <w:pPr>
        <w:pStyle w:val="Heading2"/>
      </w:pPr>
      <w:r>
        <w:t xml:space="preserve">5.2 Competitive Positioning Map</w:t>
      </w:r>
    </w:p>
    <w:p>
      <w:pPr>
        <w:spacing w:after="120" w:before="0"/>
        <w:jc w:val="left"/>
      </w:pPr>
      <w:r>
        <w:t xml:space="preserve">Plotting players on two axes — breadth of journey covered (resume-only → full college-to-job lifecycle) and localization for India/student affordability — reveals the open quadrant: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Quadrant</w:t>
            </w:r>
          </w:p>
        </w:tc>
        <w:tc>
          <w:tcPr>
            <w:tcW w:type="dxa" w:w="468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Who's There</w:t>
            </w:r>
          </w:p>
        </w:tc>
      </w:tr>
      <w:tr>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Narrow Scope + Global/Premium</w:t>
            </w:r>
          </w:p>
        </w:tc>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Rezi, Kickresume, Final Round AI</w:t>
            </w:r>
          </w:p>
        </w:tc>
      </w:tr>
      <w:tr>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Broad Scope + Global/Premium</w:t>
            </w:r>
          </w:p>
        </w:tc>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Careerflow, OphyAI</w:t>
            </w:r>
          </w:p>
        </w:tc>
      </w:tr>
      <w:tr>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Narrow Scope + India-Localized</w:t>
            </w:r>
          </w:p>
        </w:tc>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career-copilot.in (resume/ATS focus)</w:t>
            </w:r>
          </w:p>
        </w:tc>
      </w:tr>
      <w:tr>
        <w:tc>
          <w:tcPr>
            <w:tcW w:type="dxa" w:w="4680"/>
            <w:tcBorders>
              <w:top w:val="single" w:color="D9D9D9" w:sz="1"/>
              <w:left w:val="single" w:color="D9D9D9" w:sz="1"/>
              <w:bottom w:val="single" w:color="D9D9D9" w:sz="1"/>
              <w:right w:val="single" w:color="D9D9D9" w:sz="1"/>
            </w:tcBorders>
            <w:shd w:fill="FBF6EC" w:val="clear"/>
            <w:tcMar>
              <w:top w:type="dxa" w:w="100"/>
              <w:left w:type="dxa" w:w="140"/>
              <w:bottom w:type="dxa" w:w="100"/>
              <w:right w:type="dxa" w:w="140"/>
            </w:tcMar>
            <w:vAlign w:val="center"/>
          </w:tcPr>
          <w:p>
            <w:pPr>
              <w:jc w:val="left"/>
            </w:pPr>
            <w:r>
              <w:rPr>
                <w:b/>
                <w:bCs/>
                <w:i w:val="false"/>
                <w:iCs w:val="false"/>
                <w:color w:val="1B2A4A"/>
                <w:sz w:val="20"/>
                <w:szCs w:val="20"/>
              </w:rPr>
              <w:t xml:space="preserve">Broad Scope + India-Localized + Student-Priced  →  OPEN</w:t>
            </w:r>
          </w:p>
        </w:tc>
        <w:tc>
          <w:tcPr>
            <w:tcW w:type="dxa" w:w="4680"/>
            <w:tcBorders>
              <w:top w:val="single" w:color="D9D9D9" w:sz="1"/>
              <w:left w:val="single" w:color="D9D9D9" w:sz="1"/>
              <w:bottom w:val="single" w:color="D9D9D9" w:sz="1"/>
              <w:right w:val="single" w:color="D9D9D9" w:sz="1"/>
            </w:tcBorders>
            <w:shd w:fill="FBF6EC" w:val="clear"/>
            <w:tcMar>
              <w:top w:type="dxa" w:w="100"/>
              <w:left w:type="dxa" w:w="140"/>
              <w:bottom w:type="dxa" w:w="100"/>
              <w:right w:type="dxa" w:w="140"/>
            </w:tcMar>
            <w:vAlign w:val="center"/>
          </w:tcPr>
          <w:p>
            <w:pPr>
              <w:jc w:val="left"/>
            </w:pPr>
            <w:r>
              <w:rPr>
                <w:b/>
                <w:bCs/>
                <w:i w:val="false"/>
                <w:iCs w:val="false"/>
                <w:color w:val="000000"/>
                <w:sz w:val="20"/>
                <w:szCs w:val="20"/>
              </w:rPr>
              <w:t xml:space="preserve">No clear incumbent fully owns this quadrant today.</w:t>
            </w:r>
          </w:p>
        </w:tc>
      </w:tr>
    </w:tbl>
    <w:p>
      <w:pPr>
        <w:spacing w:after="160" w:before="0"/>
        <w:jc w:val="left"/>
      </w:pPr>
      <w:r>
        <w:t xml:space="preserve"/>
      </w:r>
    </w:p>
    <w:p>
      <w:pPr>
        <w:pStyle w:val="Heading2"/>
      </w:pPr>
      <w:r>
        <w:t xml:space="preserve">5.3 Important Flag: Direct Naming Overlap</w:t>
      </w:r>
    </w:p>
    <w:p>
      <w:pPr>
        <w:spacing w:after="0" w:before="0"/>
        <w:jc w:val="left"/>
      </w:pPr>
      <w:r>
        <w:rPr>
          <w:i/>
          <w:iCs/>
          <w:color w:val="44546A"/>
        </w:rPr>
        <w:t xml:space="preserve">An existing India-focused product at career-copilot.in already uses the "Career Copilot" name and offers ATS scoring, resume building, and application tracking — a meaningful feature overlap with your concept. Before further investment, you should: (1) evaluate this product directly as a user, (2) consider a distinct brand name to avoid market confusion and potential trademark issues, and (3) identify what you can credibly do differently (e.g., learning roadmaps, India-specific interview prep, pricing, or institutional partnerships) rather than positioning as a like-for-like alternative.</w:t>
      </w:r>
    </w:p>
    <w:p>
      <w:r>
        <w:br w:type="page"/>
      </w:r>
    </w:p>
    <w:p>
      <w:pPr>
        <w:pStyle w:val="Heading1"/>
      </w:pPr>
      <w:r>
        <w:t xml:space="preserve">6. Market Gap Analysis</w:t>
      </w:r>
    </w:p>
    <w:p>
      <w:pPr>
        <w:pBdr>
          <w:bottom w:val="single" w:color="B08D45" w:sz="6" w:space="1"/>
        </w:pBdr>
        <w:spacing w:after="240" w:before="60"/>
      </w:pPr>
      <w:r>
        <w:t xml:space="preserve"/>
      </w:r>
    </w:p>
    <w:p>
      <w:pPr>
        <w:pStyle w:val="Heading2"/>
      </w:pPr>
      <w:r>
        <w:t xml:space="preserve">6.1 Where the Market Is Underserved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Gap</w:t>
            </w:r>
          </w:p>
        </w:tc>
        <w:tc>
          <w:tcPr>
            <w:tcW w:type="dxa" w:w="624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Description</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0"/>
                <w:szCs w:val="20"/>
              </w:rPr>
              <w:t xml:space="preserve">Integration Gap</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Students currently stitch together 4-6 separate tools/sources (resume site, YouTube interview channel, a skills course, a spreadsheet for tracking applications). No single product owns the full "college to first job" journey at student-affordable pricing.</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0"/>
                <w:szCs w:val="20"/>
              </w:rPr>
              <w:t xml:space="preserve">Affordability Gap</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Best-in-class tools (Rezi, Kickresume, OphyAI) are priced in USD for global markets ($8-24/month), which is prohibitively expensive for the median Indian student relative to local purchasing power.</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0"/>
                <w:szCs w:val="20"/>
              </w:rPr>
              <w:t xml:space="preserve">Context/Localization Gap</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Generic AI tools don't understand India-specific hiring patterns: campus placement cycles, PSU/government exam tracks, the specific ATS systems used by Indian IT services firms, or vernacular-English code-switching common in Tier-2/3 city resumes.</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0"/>
                <w:szCs w:val="20"/>
              </w:rPr>
              <w:t xml:space="preserve">Guidance vs. Tooling Gap</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Most competitors are tools ("build a resume") rather than guides ("here is your 6-month roadmap to become hireable for X role"). Students report wanting direction, not just document generation.</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0"/>
                <w:szCs w:val="20"/>
              </w:rPr>
              <w:t xml:space="preserve">Institutional Channel Gap</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Most competitors sell direct-to-consumer only. Colleges and training institutes — who have a vested interest in placement statistics — are an underused distribution and monetization channel in this category.</w:t>
            </w:r>
          </w:p>
        </w:tc>
      </w:tr>
    </w:tbl>
    <w:p>
      <w:pPr>
        <w:spacing w:after="160" w:before="0"/>
        <w:jc w:val="left"/>
      </w:pPr>
      <w:r>
        <w:t xml:space="preserve"/>
      </w:r>
    </w:p>
    <w:p>
      <w:pPr>
        <w:pStyle w:val="Heading2"/>
      </w:pPr>
      <w:r>
        <w:t xml:space="preserve">6.2 The Strategic Wedge</w:t>
      </w:r>
    </w:p>
    <w:p>
      <w:pPr>
        <w:spacing w:after="0" w:before="0"/>
        <w:jc w:val="left"/>
      </w:pPr>
      <w:r>
        <w:t xml:space="preserve">The clearest, most defensible entry point is not "build everything" but: an India-priced, India-contextualized, integrated resume-to-interview journey, sold first to individual students via organic/community channels, with a roadmap to a B2B2C layer through colleges and training institutes. This directly exploits the affordability gap and the integration gap simultaneously — the two with the least existing competition.</w:t>
      </w:r>
    </w:p>
    <w:p>
      <w:r>
        <w:br w:type="page"/>
      </w:r>
    </w:p>
    <w:p>
      <w:pPr>
        <w:pStyle w:val="Heading1"/>
      </w:pPr>
      <w:r>
        <w:t xml:space="preserve">7. Ideal Customer Profile (ICP)</w:t>
      </w:r>
    </w:p>
    <w:p>
      <w:pPr>
        <w:pBdr>
          <w:bottom w:val="single" w:color="B08D45" w:sz="6" w:space="1"/>
        </w:pBdr>
        <w:spacing w:after="240" w:before="60"/>
      </w:pPr>
      <w:r>
        <w:t xml:space="preserve"/>
      </w:r>
    </w:p>
    <w:p>
      <w:pPr>
        <w:pStyle w:val="Heading2"/>
      </w:pPr>
      <w:r>
        <w:t xml:space="preserve">7.1 Primary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Attribute</w:t>
            </w:r>
          </w:p>
        </w:tc>
        <w:tc>
          <w:tcPr>
            <w:tcW w:type="dxa" w:w="624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Profile</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Education Stage</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3rd/4th-year engineering or IT undergraduate, or fresh graduate within 12 months of completion</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Age</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20–24 years</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Institution Type</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Tier-2/Tier-3 private engineering colleges and state universities (NOT primarily IIT/NIT — those students have stronger existing placement infrastructure and lower urgency)</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Geography</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Delhi NCR, Bengaluru, Hyderabad, Pune, Chennai, Mumbai initially; Tier-2 cities (Indore, Jaipur, Lucknow, Coimbatore) as a high-potential expansion segment</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Device/Access</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Mobile-first; Android-dominant; price-sensitive data plans — product must be lightweight and mobile-optimized, not desktop-first</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Financial Profile</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Limited independent income; spending decisions often influenced by or run through parents; high price sensitivity at &gt;₹500/month</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Psychographic</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Anxious about job market competitiveness, peer-comparison-driven, active on Instagram/LinkedIn, distrustful of generic advice, responsive to social proof ("X students got placed using this")</w:t>
            </w:r>
          </w:p>
        </w:tc>
      </w:tr>
    </w:tbl>
    <w:p>
      <w:pPr>
        <w:spacing w:after="160" w:before="0"/>
        <w:jc w:val="left"/>
      </w:pPr>
      <w:r>
        <w:t xml:space="preserve"/>
      </w:r>
    </w:p>
    <w:p>
      <w:pPr>
        <w:pStyle w:val="Heading2"/>
      </w:pPr>
      <w:r>
        <w:t xml:space="preserve">7.2 Secondary ICP (B2B2C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Attribute</w:t>
            </w:r>
          </w:p>
        </w:tc>
        <w:tc>
          <w:tcPr>
            <w:tcW w:type="dxa" w:w="624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Profile</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Organization Type</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Tier-2/3 private engineering colleges, training institutes, and career counseling centers under pressure to improve placement statistics</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Decision Maker</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Training &amp; Placement Officer (TPO), Dean of Placements, or Director of a training institute</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Buying Motivation</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Placement % is a key marketing metric for student recruitment; tools that improve it have a direct institutional ROI</w:t>
            </w:r>
          </w:p>
        </w:tc>
      </w:tr>
    </w:tbl>
    <w:p>
      <w:pPr>
        <w:spacing w:after="0" w:before="0"/>
        <w:jc w:val="left"/>
      </w:pPr>
      <w:r>
        <w:t xml:space="preserve"/>
      </w:r>
    </w:p>
    <w:p>
      <w:r>
        <w:br w:type="page"/>
      </w:r>
    </w:p>
    <w:p>
      <w:pPr>
        <w:pStyle w:val="Heading1"/>
      </w:pPr>
      <w:r>
        <w:t xml:space="preserve">8. Buyer Persona</w:t>
      </w:r>
    </w:p>
    <w:p>
      <w:pPr>
        <w:pBdr>
          <w:bottom w:val="single" w:color="B08D45" w:sz="6" w:space="1"/>
        </w:pBdr>
        <w:spacing w:after="2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EAF0F7" w:val="clear"/>
            <w:tcMar>
              <w:top w:type="dxa" w:w="100"/>
              <w:left w:type="dxa" w:w="140"/>
              <w:bottom w:type="dxa" w:w="100"/>
              <w:right w:type="dxa" w:w="140"/>
            </w:tcMar>
            <w:vAlign w:val="center"/>
          </w:tcPr>
          <w:p>
            <w:pPr>
              <w:jc w:val="left"/>
            </w:pPr>
            <w:r>
              <w:rPr>
                <w:b/>
                <w:bCs/>
                <w:i w:val="false"/>
                <w:iCs w:val="false"/>
                <w:color w:val="000000"/>
                <w:sz w:val="20"/>
                <w:szCs w:val="20"/>
              </w:rPr>
              <w:t xml:space="preserve">Name</w:t>
            </w:r>
          </w:p>
        </w:tc>
        <w:tc>
          <w:tcPr>
            <w:tcW w:type="dxa" w:w="6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2"/>
                <w:szCs w:val="22"/>
              </w:rPr>
              <w:t xml:space="preserve">“Ananya, the Anxious Final-Year”</w:t>
            </w:r>
          </w:p>
        </w:tc>
      </w:tr>
      <w:tr>
        <w:tc>
          <w:tcPr>
            <w:tcW w:type="dxa" w:w="2800"/>
            <w:tcBorders>
              <w:top w:val="single" w:color="D9D9D9" w:sz="1"/>
              <w:left w:val="single" w:color="D9D9D9" w:sz="1"/>
              <w:bottom w:val="single" w:color="D9D9D9" w:sz="1"/>
              <w:right w:val="single" w:color="D9D9D9" w:sz="1"/>
            </w:tcBorders>
            <w:shd w:fill="EAF0F7" w:val="clear"/>
            <w:tcMar>
              <w:top w:type="dxa" w:w="100"/>
              <w:left w:type="dxa" w:w="140"/>
              <w:bottom w:type="dxa" w:w="100"/>
              <w:right w:type="dxa" w:w="140"/>
            </w:tcMar>
            <w:vAlign w:val="center"/>
          </w:tcPr>
          <w:p>
            <w:pPr>
              <w:jc w:val="left"/>
            </w:pPr>
            <w:r>
              <w:rPr>
                <w:b/>
                <w:bCs/>
                <w:i w:val="false"/>
                <w:iCs w:val="false"/>
                <w:color w:val="000000"/>
                <w:sz w:val="20"/>
                <w:szCs w:val="20"/>
              </w:rPr>
              <w:t xml:space="preserve">Age / Stage</w:t>
            </w:r>
          </w:p>
        </w:tc>
        <w:tc>
          <w:tcPr>
            <w:tcW w:type="dxa" w:w="6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21, final-year B.Tech (CSE), Tier-2 private engineering college, Pune</w:t>
            </w:r>
          </w:p>
        </w:tc>
      </w:tr>
      <w:tr>
        <w:tc>
          <w:tcPr>
            <w:tcW w:type="dxa" w:w="2800"/>
            <w:tcBorders>
              <w:top w:val="single" w:color="D9D9D9" w:sz="1"/>
              <w:left w:val="single" w:color="D9D9D9" w:sz="1"/>
              <w:bottom w:val="single" w:color="D9D9D9" w:sz="1"/>
              <w:right w:val="single" w:color="D9D9D9" w:sz="1"/>
            </w:tcBorders>
            <w:shd w:fill="EAF0F7" w:val="clear"/>
            <w:tcMar>
              <w:top w:type="dxa" w:w="100"/>
              <w:left w:type="dxa" w:w="140"/>
              <w:bottom w:type="dxa" w:w="100"/>
              <w:right w:type="dxa" w:w="140"/>
            </w:tcMar>
            <w:vAlign w:val="center"/>
          </w:tcPr>
          <w:p>
            <w:pPr>
              <w:jc w:val="left"/>
            </w:pPr>
            <w:r>
              <w:rPr>
                <w:b/>
                <w:bCs/>
                <w:i w:val="false"/>
                <w:iCs w:val="false"/>
                <w:color w:val="000000"/>
                <w:sz w:val="20"/>
                <w:szCs w:val="20"/>
              </w:rPr>
              <w:t xml:space="preserve">Background</w:t>
            </w:r>
          </w:p>
        </w:tc>
        <w:tc>
          <w:tcPr>
            <w:tcW w:type="dxa" w:w="6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Decent academic record (7.8 CGPA) but no internship yet. Has watched dozens of "how to crack interviews" YouTube videos but feels like she's getting generic advice that doesn't apply to her specific situation.</w:t>
            </w:r>
          </w:p>
        </w:tc>
      </w:tr>
      <w:tr>
        <w:tc>
          <w:tcPr>
            <w:tcW w:type="dxa" w:w="2800"/>
            <w:tcBorders>
              <w:top w:val="single" w:color="D9D9D9" w:sz="1"/>
              <w:left w:val="single" w:color="D9D9D9" w:sz="1"/>
              <w:bottom w:val="single" w:color="D9D9D9" w:sz="1"/>
              <w:right w:val="single" w:color="D9D9D9" w:sz="1"/>
            </w:tcBorders>
            <w:shd w:fill="EAF0F7" w:val="clear"/>
            <w:tcMar>
              <w:top w:type="dxa" w:w="100"/>
              <w:left w:type="dxa" w:w="140"/>
              <w:bottom w:type="dxa" w:w="100"/>
              <w:right w:type="dxa" w:w="140"/>
            </w:tcMar>
            <w:vAlign w:val="center"/>
          </w:tcPr>
          <w:p>
            <w:pPr>
              <w:jc w:val="left"/>
            </w:pPr>
            <w:r>
              <w:rPr>
                <w:b/>
                <w:bCs/>
                <w:i w:val="false"/>
                <w:iCs w:val="false"/>
                <w:color w:val="000000"/>
                <w:sz w:val="20"/>
                <w:szCs w:val="20"/>
              </w:rPr>
              <w:t xml:space="preserve">Goals</w:t>
            </w:r>
          </w:p>
        </w:tc>
        <w:tc>
          <w:tcPr>
            <w:tcW w:type="dxa" w:w="6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Land a software/analyst role within 6 months of graduating; avoid being part of the employability statistic she's read about; make her parents proud and ease financial pressure on the family</w:t>
            </w:r>
          </w:p>
        </w:tc>
      </w:tr>
      <w:tr>
        <w:tc>
          <w:tcPr>
            <w:tcW w:type="dxa" w:w="2800"/>
            <w:tcBorders>
              <w:top w:val="single" w:color="D9D9D9" w:sz="1"/>
              <w:left w:val="single" w:color="D9D9D9" w:sz="1"/>
              <w:bottom w:val="single" w:color="D9D9D9" w:sz="1"/>
              <w:right w:val="single" w:color="D9D9D9" w:sz="1"/>
            </w:tcBorders>
            <w:shd w:fill="EAF0F7" w:val="clear"/>
            <w:tcMar>
              <w:top w:type="dxa" w:w="100"/>
              <w:left w:type="dxa" w:w="140"/>
              <w:bottom w:type="dxa" w:w="100"/>
              <w:right w:type="dxa" w:w="140"/>
            </w:tcMar>
            <w:vAlign w:val="center"/>
          </w:tcPr>
          <w:p>
            <w:pPr>
              <w:jc w:val="left"/>
            </w:pPr>
            <w:r>
              <w:rPr>
                <w:b/>
                <w:bCs/>
                <w:i w:val="false"/>
                <w:iCs w:val="false"/>
                <w:color w:val="000000"/>
                <w:sz w:val="20"/>
                <w:szCs w:val="20"/>
              </w:rPr>
              <w:t xml:space="preserve">Frustrations</w:t>
            </w:r>
          </w:p>
        </w:tc>
        <w:tc>
          <w:tcPr>
            <w:tcW w:type="dxa" w:w="6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Doesn't know if her resume is actually ATS-friendly; gets generic rejection emails with no feedback; college placement cell gives one-size-fits-all guidance; can't afford ₹15,000+ coaching programs</w:t>
            </w:r>
          </w:p>
        </w:tc>
      </w:tr>
      <w:tr>
        <w:tc>
          <w:tcPr>
            <w:tcW w:type="dxa" w:w="2800"/>
            <w:tcBorders>
              <w:top w:val="single" w:color="D9D9D9" w:sz="1"/>
              <w:left w:val="single" w:color="D9D9D9" w:sz="1"/>
              <w:bottom w:val="single" w:color="D9D9D9" w:sz="1"/>
              <w:right w:val="single" w:color="D9D9D9" w:sz="1"/>
            </w:tcBorders>
            <w:shd w:fill="EAF0F7" w:val="clear"/>
            <w:tcMar>
              <w:top w:type="dxa" w:w="100"/>
              <w:left w:type="dxa" w:w="140"/>
              <w:bottom w:type="dxa" w:w="100"/>
              <w:right w:type="dxa" w:w="140"/>
            </w:tcMar>
            <w:vAlign w:val="center"/>
          </w:tcPr>
          <w:p>
            <w:pPr>
              <w:jc w:val="left"/>
            </w:pPr>
            <w:r>
              <w:rPr>
                <w:b/>
                <w:bCs/>
                <w:i w:val="false"/>
                <w:iCs w:val="false"/>
                <w:color w:val="000000"/>
                <w:sz w:val="20"/>
                <w:szCs w:val="20"/>
              </w:rPr>
              <w:t xml:space="preserve">Where She Spends Time</w:t>
            </w:r>
          </w:p>
        </w:tc>
        <w:tc>
          <w:tcPr>
            <w:tcW w:type="dxa" w:w="6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Instagram, LinkedIn, WhatsApp study groups, YouTube (career content), occasionally Reddit/student forums</w:t>
            </w:r>
          </w:p>
        </w:tc>
      </w:tr>
      <w:tr>
        <w:tc>
          <w:tcPr>
            <w:tcW w:type="dxa" w:w="2800"/>
            <w:tcBorders>
              <w:top w:val="single" w:color="D9D9D9" w:sz="1"/>
              <w:left w:val="single" w:color="D9D9D9" w:sz="1"/>
              <w:bottom w:val="single" w:color="D9D9D9" w:sz="1"/>
              <w:right w:val="single" w:color="D9D9D9" w:sz="1"/>
            </w:tcBorders>
            <w:shd w:fill="EAF0F7" w:val="clear"/>
            <w:tcMar>
              <w:top w:type="dxa" w:w="100"/>
              <w:left w:type="dxa" w:w="140"/>
              <w:bottom w:type="dxa" w:w="100"/>
              <w:right w:type="dxa" w:w="140"/>
            </w:tcMar>
            <w:vAlign w:val="center"/>
          </w:tcPr>
          <w:p>
            <w:pPr>
              <w:jc w:val="left"/>
            </w:pPr>
            <w:r>
              <w:rPr>
                <w:b/>
                <w:bCs/>
                <w:i w:val="false"/>
                <w:iCs w:val="false"/>
                <w:color w:val="000000"/>
                <w:sz w:val="20"/>
                <w:szCs w:val="20"/>
              </w:rPr>
              <w:t xml:space="preserve">Decision Trigger</w:t>
            </w:r>
          </w:p>
        </w:tc>
        <w:tc>
          <w:tcPr>
            <w:tcW w:type="dxa" w:w="6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A friend gets shortlisted after using a tool, or a placement-cell announcement creates urgency ("applications open next week")</w:t>
            </w:r>
          </w:p>
        </w:tc>
      </w:tr>
      <w:tr>
        <w:tc>
          <w:tcPr>
            <w:tcW w:type="dxa" w:w="2800"/>
            <w:tcBorders>
              <w:top w:val="single" w:color="D9D9D9" w:sz="1"/>
              <w:left w:val="single" w:color="D9D9D9" w:sz="1"/>
              <w:bottom w:val="single" w:color="D9D9D9" w:sz="1"/>
              <w:right w:val="single" w:color="D9D9D9" w:sz="1"/>
            </w:tcBorders>
            <w:shd w:fill="EAF0F7" w:val="clear"/>
            <w:tcMar>
              <w:top w:type="dxa" w:w="100"/>
              <w:left w:type="dxa" w:w="140"/>
              <w:bottom w:type="dxa" w:w="100"/>
              <w:right w:type="dxa" w:w="140"/>
            </w:tcMar>
            <w:vAlign w:val="center"/>
          </w:tcPr>
          <w:p>
            <w:pPr>
              <w:jc w:val="left"/>
            </w:pPr>
            <w:r>
              <w:rPr>
                <w:b/>
                <w:bCs/>
                <w:i w:val="false"/>
                <w:iCs w:val="false"/>
                <w:color w:val="000000"/>
                <w:sz w:val="20"/>
                <w:szCs w:val="20"/>
              </w:rPr>
              <w:t xml:space="preserve">Objection She'd Raise</w:t>
            </w:r>
          </w:p>
        </w:tc>
        <w:tc>
          <w:tcPr>
            <w:tcW w:type="dxa" w:w="6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iCs/>
                <w:color w:val="000000"/>
                <w:sz w:val="20"/>
                <w:szCs w:val="20"/>
              </w:rPr>
              <w:t xml:space="preserve">“Why should I pay when ChatGPT and YouTube are free?”</w:t>
            </w:r>
          </w:p>
        </w:tc>
      </w:tr>
      <w:tr>
        <w:tc>
          <w:tcPr>
            <w:tcW w:type="dxa" w:w="2800"/>
            <w:tcBorders>
              <w:top w:val="single" w:color="D9D9D9" w:sz="1"/>
              <w:left w:val="single" w:color="D9D9D9" w:sz="1"/>
              <w:bottom w:val="single" w:color="D9D9D9" w:sz="1"/>
              <w:right w:val="single" w:color="D9D9D9" w:sz="1"/>
            </w:tcBorders>
            <w:shd w:fill="EAF0F7" w:val="clear"/>
            <w:tcMar>
              <w:top w:type="dxa" w:w="100"/>
              <w:left w:type="dxa" w:w="140"/>
              <w:bottom w:type="dxa" w:w="100"/>
              <w:right w:type="dxa" w:w="140"/>
            </w:tcMar>
            <w:vAlign w:val="center"/>
          </w:tcPr>
          <w:p>
            <w:pPr>
              <w:jc w:val="left"/>
            </w:pPr>
            <w:r>
              <w:rPr>
                <w:b/>
                <w:bCs/>
                <w:i w:val="false"/>
                <w:iCs w:val="false"/>
                <w:color w:val="000000"/>
                <w:sz w:val="20"/>
                <w:szCs w:val="20"/>
              </w:rPr>
              <w:t xml:space="preserve">What Would Convert Her</w:t>
            </w:r>
          </w:p>
        </w:tc>
        <w:tc>
          <w:tcPr>
            <w:tcW w:type="dxa" w:w="6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A free tool that gives an instant, specific ATS score on her actual resume, followed by a clear, personalized next step — converting curiosity into a habit before ever asking her to pay</w:t>
            </w:r>
          </w:p>
        </w:tc>
      </w:tr>
    </w:tbl>
    <w:p>
      <w:pPr>
        <w:spacing w:after="0" w:before="0"/>
        <w:jc w:val="left"/>
      </w:pPr>
      <w:r>
        <w:t xml:space="preserve"/>
      </w:r>
    </w:p>
    <w:p>
      <w:r>
        <w:br w:type="page"/>
      </w:r>
    </w:p>
    <w:p>
      <w:pPr>
        <w:pStyle w:val="Heading1"/>
      </w:pPr>
      <w:r>
        <w:t xml:space="preserve">9. Customer Pain Points</w:t>
      </w:r>
    </w:p>
    <w:p>
      <w:pPr>
        <w:pBdr>
          <w:bottom w:val="single" w:color="B08D45" w:sz="6" w:space="1"/>
        </w:pBdr>
        <w:spacing w:after="2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Pain Point</w:t>
            </w:r>
          </w:p>
        </w:tc>
        <w:tc>
          <w:tcPr>
            <w:tcW w:type="dxa" w:w="376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Description</w:t>
            </w:r>
          </w:p>
        </w:tc>
        <w:tc>
          <w:tcPr>
            <w:tcW w:type="dxa" w:w="30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Severity</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Resume Uncertainty</w:t>
            </w:r>
          </w:p>
        </w:tc>
        <w:tc>
          <w:tcPr>
            <w:tcW w:type="dxa" w:w="3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No reliable way to know if a resume will pass ATS screening before applying; feedback loop (rejection) is slow and uninformative</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33A3A"/>
                <w:sz w:val="20"/>
                <w:szCs w:val="20"/>
              </w:rPr>
              <w:t xml:space="preserve">Critical</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Skill-Gap Confusion</w:t>
            </w:r>
          </w:p>
        </w:tc>
        <w:tc>
          <w:tcPr>
            <w:tcW w:type="dxa" w:w="3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Unclear which specific skills matter for a target role; generic "learn DSA + projects" advice without a sequenced plan</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33A3A"/>
                <w:sz w:val="20"/>
                <w:szCs w:val="20"/>
              </w:rPr>
              <w:t xml:space="preserve">Critical</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Interview Anxiety</w:t>
            </w:r>
          </w:p>
        </w:tc>
        <w:tc>
          <w:tcPr>
            <w:tcW w:type="dxa" w:w="3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Little realistic mock-interview practice; fear of HR and technical rounds with no safe environment to fail and improve</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0"/>
                <w:szCs w:val="20"/>
              </w:rPr>
              <w:t xml:space="preserve">High</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Application Chaos</w:t>
            </w:r>
          </w:p>
        </w:tc>
        <w:tc>
          <w:tcPr>
            <w:tcW w:type="dxa" w:w="3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Dozens of applications tracked in scattered notes/spreadsheets; missed follow-ups and deadlines</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0"/>
                <w:szCs w:val="20"/>
              </w:rPr>
              <w:t xml:space="preserve">Medium</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Information Overload</w:t>
            </w:r>
          </w:p>
        </w:tc>
        <w:tc>
          <w:tcPr>
            <w:tcW w:type="dxa" w:w="3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Too many free but conflicting sources (YouTube, blogs, seniors) with no way to know which advice is current or correct</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0"/>
                <w:szCs w:val="20"/>
              </w:rPr>
              <w:t xml:space="preserve">High</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Cost of Quality Guidance</w:t>
            </w:r>
          </w:p>
        </w:tc>
        <w:tc>
          <w:tcPr>
            <w:tcW w:type="dxa" w:w="3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Personalized career counseling or premium coaching is expensive and largely inaccessible to Tier-2/3 city students</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0"/>
                <w:szCs w:val="20"/>
              </w:rPr>
              <w:t xml:space="preserve">High</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Self-Doubt / Comparison Anxiety</w:t>
            </w:r>
          </w:p>
        </w:tc>
        <w:tc>
          <w:tcPr>
            <w:tcW w:type="dxa" w:w="3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Constant social comparison (LinkedIn "humble brag" posts) amplifies anxiety without providing actionable direction</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0"/>
                <w:szCs w:val="20"/>
              </w:rPr>
              <w:t xml:space="preserve">Medium</w:t>
            </w:r>
          </w:p>
        </w:tc>
      </w:tr>
    </w:tbl>
    <w:p>
      <w:pPr>
        <w:spacing w:after="0" w:before="0"/>
        <w:jc w:val="left"/>
      </w:pPr>
      <w:r>
        <w:t xml:space="preserve"/>
      </w:r>
    </w:p>
    <w:p>
      <w:r>
        <w:br w:type="page"/>
      </w:r>
    </w:p>
    <w:p>
      <w:pPr>
        <w:pStyle w:val="Heading1"/>
      </w:pPr>
      <w:r>
        <w:t xml:space="preserve">10. Buying Triggers &amp; Objections</w:t>
      </w:r>
    </w:p>
    <w:p>
      <w:pPr>
        <w:pBdr>
          <w:bottom w:val="single" w:color="B08D45" w:sz="6" w:space="1"/>
        </w:pBdr>
        <w:spacing w:after="240" w:before="60"/>
      </w:pPr>
      <w:r>
        <w:t xml:space="preserve"/>
      </w:r>
    </w:p>
    <w:p>
      <w:pPr>
        <w:pStyle w:val="Heading2"/>
      </w:pPr>
      <w:r>
        <w:t xml:space="preserve">10.1 Buying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Trigger</w:t>
            </w:r>
          </w:p>
        </w:tc>
        <w:tc>
          <w:tcPr>
            <w:tcW w:type="dxa" w:w="624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Why It Drives Action</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Placement season approaching (campus drives announced)</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Creates acute time pressure; students seek any edge in the 4-8 weeks before drives begin</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Rejection from a desired company</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Emotional low point that triggers active search for "what am I doing wrong"</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Peer success story</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Social proof ("my friend got an offer using X") is one of the strongest conversion triggers in this demographic</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Free instant value (e.g., ATS score check)</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Low-friction entry point converts curiosity into product usage before any payment ask</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College/institute endorsement</w:t>
            </w:r>
          </w:p>
        </w:tc>
        <w:tc>
          <w:tcPr>
            <w:tcW w:type="dxa" w:w="62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Institutional trust transfer reduces skepticism for students who are wary of random apps</w:t>
            </w:r>
          </w:p>
        </w:tc>
      </w:tr>
    </w:tbl>
    <w:p>
      <w:pPr>
        <w:spacing w:after="160" w:before="0"/>
        <w:jc w:val="left"/>
      </w:pPr>
      <w:r>
        <w:t xml:space="preserve"/>
      </w:r>
    </w:p>
    <w:p>
      <w:pPr>
        <w:pStyle w:val="Heading2"/>
      </w:pPr>
      <w:r>
        <w:t xml:space="preserve">10.2 Objections &amp; Recommended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Objection</w:t>
            </w:r>
          </w:p>
        </w:tc>
        <w:tc>
          <w:tcPr>
            <w:tcW w:type="dxa" w:w="566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Recommended Response Strategy</w:t>
            </w:r>
          </w:p>
        </w:tc>
      </w:tr>
      <w:tr>
        <w:tc>
          <w:tcPr>
            <w:tcW w:type="dxa" w:w="3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iCs/>
                <w:color w:val="000000"/>
                <w:sz w:val="20"/>
                <w:szCs w:val="20"/>
              </w:rPr>
              <w:t xml:space="preserve">“ChatGPT/YouTube is free — why pay you?”</w:t>
            </w:r>
          </w:p>
        </w:tc>
        <w:tc>
          <w:tcPr>
            <w:tcW w:type="dxa" w:w="5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Don't compete on raw content access — compete on structure, personalization, and time saved. Position as “your career plan, not generic advice you have to assemble yourself.”</w:t>
            </w:r>
          </w:p>
        </w:tc>
      </w:tr>
      <w:tr>
        <w:tc>
          <w:tcPr>
            <w:tcW w:type="dxa" w:w="3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iCs/>
                <w:color w:val="000000"/>
                <w:sz w:val="20"/>
                <w:szCs w:val="20"/>
              </w:rPr>
              <w:t xml:space="preserve">“I don't have money to spend on this.”</w:t>
            </w:r>
          </w:p>
        </w:tc>
        <w:tc>
          <w:tcPr>
            <w:tcW w:type="dxa" w:w="5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Strong freemium tier is non-negotiable. Reserve payment for high-value, high-stakes moments (mock interviews before a real interview, premium resume review).</w:t>
            </w:r>
          </w:p>
        </w:tc>
      </w:tr>
      <w:tr>
        <w:tc>
          <w:tcPr>
            <w:tcW w:type="dxa" w:w="3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iCs/>
                <w:color w:val="000000"/>
                <w:sz w:val="20"/>
                <w:szCs w:val="20"/>
              </w:rPr>
              <w:t xml:space="preserve">“Is this just another app that won't actually help me get a job?”</w:t>
            </w:r>
          </w:p>
        </w:tc>
        <w:tc>
          <w:tcPr>
            <w:tcW w:type="dxa" w:w="5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Lead with specific, visible outcomes (ATS score, before/after resume examples, real placement testimonials) rather than feature lists.</w:t>
            </w:r>
          </w:p>
        </w:tc>
      </w:tr>
      <w:tr>
        <w:tc>
          <w:tcPr>
            <w:tcW w:type="dxa" w:w="3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iCs/>
                <w:color w:val="000000"/>
                <w:sz w:val="20"/>
                <w:szCs w:val="20"/>
              </w:rPr>
              <w:t xml:space="preserve">“My college placement cell already does this.”</w:t>
            </w:r>
          </w:p>
        </w:tc>
        <w:tc>
          <w:tcPr>
            <w:tcW w:type="dxa" w:w="5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Acknowledge it, then differentiate: placement cells are generic and one-size-fits-all; this is personalized and available 24/7, not tied to a single counselor's bandwidth.</w:t>
            </w:r>
          </w:p>
        </w:tc>
      </w:tr>
      <w:tr>
        <w:tc>
          <w:tcPr>
            <w:tcW w:type="dxa" w:w="3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iCs/>
                <w:color w:val="000000"/>
                <w:sz w:val="20"/>
                <w:szCs w:val="20"/>
              </w:rPr>
              <w:t xml:space="preserve">“Will my data/resume be safe?”</w:t>
            </w:r>
          </w:p>
        </w:tc>
        <w:tc>
          <w:tcPr>
            <w:tcW w:type="dxa" w:w="5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Be explicit and visible about data privacy, especially since resumes contain personal information — build trust signals early.</w:t>
            </w:r>
          </w:p>
        </w:tc>
      </w:tr>
    </w:tbl>
    <w:p>
      <w:pPr>
        <w:spacing w:after="0" w:before="0"/>
        <w:jc w:val="left"/>
      </w:pPr>
      <w:r>
        <w:t xml:space="preserve"/>
      </w:r>
    </w:p>
    <w:p>
      <w:r>
        <w:br w:type="page"/>
      </w:r>
    </w:p>
    <w:p>
      <w:pPr>
        <w:pStyle w:val="Heading1"/>
      </w:pPr>
      <w:r>
        <w:t xml:space="preserve">11. Customer Journey</w:t>
      </w:r>
    </w:p>
    <w:p>
      <w:pPr>
        <w:pBdr>
          <w:bottom w:val="single" w:color="B08D45" w:sz="6" w:space="1"/>
        </w:pBdr>
        <w:spacing w:after="2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40"/>
        <w:gridCol w:w="1940"/>
        <w:gridCol w:w="1940"/>
        <w:gridCol w:w="1940"/>
      </w:tblGrid>
      <w:tr>
        <w:tc>
          <w:tcPr>
            <w:tcW w:type="dxa" w:w="16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Awareness</w:t>
            </w:r>
          </w:p>
        </w:tc>
        <w:tc>
          <w:tcPr>
            <w:tcW w:type="dxa" w:w="194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Consideration</w:t>
            </w:r>
          </w:p>
        </w:tc>
        <w:tc>
          <w:tcPr>
            <w:tcW w:type="dxa" w:w="194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Activation</w:t>
            </w:r>
          </w:p>
        </w:tc>
        <w:tc>
          <w:tcPr>
            <w:tcW w:type="dxa" w:w="194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Engagement</w:t>
            </w:r>
          </w:p>
        </w:tc>
        <w:tc>
          <w:tcPr>
            <w:tcW w:type="dxa" w:w="194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Advocacy</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Sees a peer's success story or short-form content (Instagram Reel/YouTube Short) about an ATS score check or resume hack</w:t>
            </w:r>
          </w:p>
        </w:tc>
        <w:tc>
          <w:tcPr>
            <w:tcW w:type="dxa" w:w="19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Visits landing page or app; compares against free alternatives in their head; checks reviews/testimonials</w:t>
            </w:r>
          </w:p>
        </w:tc>
        <w:tc>
          <w:tcPr>
            <w:tcW w:type="dxa" w:w="19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Uploads resume for an instant free ATS score — the critical first “aha moment” with near-zero friction</w:t>
            </w:r>
          </w:p>
        </w:tc>
        <w:tc>
          <w:tcPr>
            <w:tcW w:type="dxa" w:w="19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Returns to use learning roadmap, tracks applications, attempts a mock interview; may convert to paid for premium features</w:t>
            </w:r>
          </w:p>
        </w:tc>
        <w:tc>
          <w:tcPr>
            <w:tcW w:type="dxa" w:w="19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Shares results/score on social media, refers classmates, especially after a positive outcome (interview call, offer)</w:t>
            </w:r>
          </w:p>
        </w:tc>
      </w:tr>
    </w:tbl>
    <w:p>
      <w:pPr>
        <w:spacing w:after="160" w:before="0"/>
        <w:jc w:val="left"/>
      </w:pPr>
      <w:r>
        <w:t xml:space="preserve"/>
      </w:r>
    </w:p>
    <w:p>
      <w:pPr>
        <w:pStyle w:val="Heading2"/>
      </w:pPr>
      <w:r>
        <w:t xml:space="preserve">Journey Design Implications</w:t>
      </w:r>
    </w:p>
    <w:p>
      <w:pPr>
        <w:pStyle w:val="ListParagraph"/>
        <w:numPr>
          <w:ilvl w:val="0"/>
          <w:numId w:val="2"/>
        </w:numPr>
        <w:spacing w:after="90"/>
      </w:pPr>
      <w:r>
        <w:t xml:space="preserve">The single highest-leverage design decision is the free ATS score / resume check as the entry hook — it requires no commitment, delivers instant value, and naturally surfaces the upsell ("fix these 5 issues with our Pro plan").</w:t>
      </w:r>
    </w:p>
    <w:p>
      <w:pPr>
        <w:pStyle w:val="ListParagraph"/>
        <w:numPr>
          <w:ilvl w:val="0"/>
          <w:numId w:val="2"/>
        </w:numPr>
        <w:spacing w:after="90"/>
      </w:pPr>
      <w:r>
        <w:t xml:space="preserve">Advocacy is highly leverageable in this demographic because students are embedded in tight-knit peer groups (batch, hostel, WhatsApp groups) with high information-sharing behavior — a strong organic growth loop if early users have good outcomes.</w:t>
      </w:r>
    </w:p>
    <w:p>
      <w:pPr>
        <w:pStyle w:val="ListParagraph"/>
        <w:numPr>
          <w:ilvl w:val="0"/>
          <w:numId w:val="2"/>
        </w:numPr>
        <w:spacing w:after="90"/>
      </w:pPr>
      <w:r>
        <w:t xml:space="preserve">The biggest drop-off risk is between Consideration and Activation if onboarding requires too much manual data entry — minimize friction at this step above all else.</w:t>
      </w:r>
    </w:p>
    <w:p>
      <w:pPr>
        <w:spacing w:after="0" w:before="0"/>
        <w:jc w:val="left"/>
      </w:pPr>
      <w:r>
        <w:t xml:space="preserve"/>
      </w:r>
    </w:p>
    <w:p>
      <w:r>
        <w:br w:type="page"/>
      </w:r>
    </w:p>
    <w:p>
      <w:pPr>
        <w:pStyle w:val="Heading1"/>
      </w:pPr>
      <w:r>
        <w:t xml:space="preserve">12. Risk Assessment</w:t>
      </w:r>
    </w:p>
    <w:p>
      <w:pPr>
        <w:pBdr>
          <w:bottom w:val="single" w:color="B08D45" w:sz="6" w:space="1"/>
        </w:pBdr>
        <w:spacing w:after="2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4160"/>
      </w:tblGrid>
      <w:tr>
        <w:tc>
          <w:tcPr>
            <w:tcW w:type="dxa" w:w="26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Risk</w:t>
            </w:r>
          </w:p>
        </w:tc>
        <w:tc>
          <w:tcPr>
            <w:tcW w:type="dxa" w:w="13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Likelihood</w:t>
            </w:r>
          </w:p>
        </w:tc>
        <w:tc>
          <w:tcPr>
            <w:tcW w:type="dxa" w:w="13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Impact</w:t>
            </w:r>
          </w:p>
        </w:tc>
        <w:tc>
          <w:tcPr>
            <w:tcW w:type="dxa" w:w="416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Mitigation Strategy</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19"/>
                <w:szCs w:val="19"/>
              </w:rPr>
              <w:t xml:space="preserve">Willingness-to-pay risk: students default to free alternatives</w:t>
            </w:r>
          </w:p>
        </w:tc>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33A3A"/>
                <w:sz w:val="20"/>
                <w:szCs w:val="20"/>
              </w:rPr>
              <w:t xml:space="preserve">High</w:t>
            </w:r>
          </w:p>
        </w:tc>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33A3A"/>
                <w:sz w:val="20"/>
                <w:szCs w:val="20"/>
              </w:rPr>
              <w:t xml:space="preserve">High</w:t>
            </w:r>
          </w:p>
        </w:tc>
        <w:tc>
          <w:tcPr>
            <w:tcW w:type="dxa" w:w="4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Validate pricing via real pre-orders/deposits, not surveys; design a strong free tier that funds itself through volume + a B2B2C layer</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19"/>
                <w:szCs w:val="19"/>
              </w:rPr>
              <w:t xml:space="preserve">Crowded category / competitor response</w:t>
            </w:r>
          </w:p>
        </w:tc>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33A3A"/>
                <w:sz w:val="20"/>
                <w:szCs w:val="20"/>
              </w:rPr>
              <w:t xml:space="preserve">High</w:t>
            </w:r>
          </w:p>
        </w:tc>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0"/>
                <w:szCs w:val="20"/>
              </w:rPr>
              <w:t xml:space="preserve">Medium</w:t>
            </w:r>
          </w:p>
        </w:tc>
        <w:tc>
          <w:tcPr>
            <w:tcW w:type="dxa" w:w="4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Win on India-specific localization, pricing, and integration depth rather than trying to out-feature global incumbents</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19"/>
                <w:szCs w:val="19"/>
              </w:rPr>
              <w:t xml:space="preserve">Technical execution risk (AI quality, resume parsing accuracy)</w:t>
            </w:r>
          </w:p>
        </w:tc>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0"/>
                <w:szCs w:val="20"/>
              </w:rPr>
              <w:t xml:space="preserve">Medium</w:t>
            </w:r>
          </w:p>
        </w:tc>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33A3A"/>
                <w:sz w:val="20"/>
                <w:szCs w:val="20"/>
              </w:rPr>
              <w:t xml:space="preserve">High</w:t>
            </w:r>
          </w:p>
        </w:tc>
        <w:tc>
          <w:tcPr>
            <w:tcW w:type="dxa" w:w="4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Start with a narrow, well-tested feature (ATS scoring) before expanding scope; use established LLM APIs rather than building custom models initially</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19"/>
                <w:szCs w:val="19"/>
              </w:rPr>
              <w:t xml:space="preserve">Founder solo-execution risk (no co-founder/team mentioned)</w:t>
            </w:r>
          </w:p>
        </w:tc>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0"/>
                <w:szCs w:val="20"/>
              </w:rPr>
              <w:t xml:space="preserve">Medium</w:t>
            </w:r>
          </w:p>
        </w:tc>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33A3A"/>
                <w:sz w:val="20"/>
                <w:szCs w:val="20"/>
              </w:rPr>
              <w:t xml:space="preserve">High</w:t>
            </w:r>
          </w:p>
        </w:tc>
        <w:tc>
          <w:tcPr>
            <w:tcW w:type="dxa" w:w="4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Identify a technical co-founder or early hire if building the full AI roadmap engine solo; alternatively use no-code/AI-assisted development to ship faster</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19"/>
                <w:szCs w:val="19"/>
              </w:rPr>
              <w:t xml:space="preserve">Naming/brand collision with existing “Career Copilot” product</w:t>
            </w:r>
          </w:p>
        </w:tc>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33A3A"/>
                <w:sz w:val="20"/>
                <w:szCs w:val="20"/>
              </w:rPr>
              <w:t xml:space="preserve">High</w:t>
            </w:r>
          </w:p>
        </w:tc>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0"/>
                <w:szCs w:val="20"/>
              </w:rPr>
              <w:t xml:space="preserve">Medium</w:t>
            </w:r>
          </w:p>
        </w:tc>
        <w:tc>
          <w:tcPr>
            <w:tcW w:type="dxa" w:w="4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Conduct trademark search; consider a distinct brand name before further investment in marketing assets</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19"/>
                <w:szCs w:val="19"/>
              </w:rPr>
              <w:t xml:space="preserve">Regulatory/data privacy risk (handling resumes, personal data of minors-adjacent age group)</w:t>
            </w:r>
          </w:p>
        </w:tc>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2E7D4F"/>
                <w:sz w:val="20"/>
                <w:szCs w:val="20"/>
              </w:rPr>
              <w:t xml:space="preserve">Low</w:t>
            </w:r>
          </w:p>
        </w:tc>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0"/>
                <w:szCs w:val="20"/>
              </w:rPr>
              <w:t xml:space="preserve">Medium</w:t>
            </w:r>
          </w:p>
        </w:tc>
        <w:tc>
          <w:tcPr>
            <w:tcW w:type="dxa" w:w="4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Implement clear data policies early; avoid storing sensitive data longer than necessary; comply with India's DPDP Act</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19"/>
                <w:szCs w:val="19"/>
              </w:rPr>
              <w:t xml:space="preserve">Monetization timeline risk (long sales cycle for institutional/B2B2C deals)</w:t>
            </w:r>
          </w:p>
        </w:tc>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0"/>
                <w:szCs w:val="20"/>
              </w:rPr>
              <w:t xml:space="preserve">Medium</w:t>
            </w:r>
          </w:p>
        </w:tc>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0"/>
                <w:szCs w:val="20"/>
              </w:rPr>
              <w:t xml:space="preserve">Medium</w:t>
            </w:r>
          </w:p>
        </w:tc>
        <w:tc>
          <w:tcPr>
            <w:tcW w:type="dxa" w:w="4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Treat B2C as the primary near-term revenue engine; treat B2B2C as a parallel, slower-moving track, not the Year 1 lifeline</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19"/>
                <w:szCs w:val="19"/>
              </w:rPr>
              <w:t xml:space="preserve">Founder burnout / motivation drift without early revenue</w:t>
            </w:r>
          </w:p>
        </w:tc>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2E7D4F"/>
                <w:sz w:val="20"/>
                <w:szCs w:val="20"/>
              </w:rPr>
              <w:t xml:space="preserve">Low</w:t>
            </w:r>
          </w:p>
        </w:tc>
        <w:tc>
          <w:tcPr>
            <w:tcW w:type="dxa" w:w="13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b/>
                <w:bCs/>
                <w:i w:val="false"/>
                <w:iCs w:val="false"/>
                <w:color w:val="B8860B"/>
                <w:sz w:val="20"/>
                <w:szCs w:val="20"/>
              </w:rPr>
              <w:t xml:space="preserve">Medium</w:t>
            </w:r>
          </w:p>
        </w:tc>
        <w:tc>
          <w:tcPr>
            <w:tcW w:type="dxa" w:w="4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8"/>
                <w:szCs w:val="18"/>
              </w:rPr>
              <w:t xml:space="preserve">Set small, visible validation milestones (e.g., first 100 waitlist signups, first paying user) to sustain momentum</w:t>
            </w:r>
          </w:p>
        </w:tc>
      </w:tr>
    </w:tbl>
    <w:p>
      <w:pPr>
        <w:spacing w:after="0" w:before="0"/>
        <w:jc w:val="left"/>
      </w:pPr>
      <w:r>
        <w:t xml:space="preserve"/>
      </w:r>
    </w:p>
    <w:p>
      <w:r>
        <w:br w:type="page"/>
      </w:r>
    </w:p>
    <w:p>
      <w:pPr>
        <w:pStyle w:val="Heading1"/>
      </w:pPr>
      <w:r>
        <w:t xml:space="preserve">13. Pivot Opportunities</w:t>
      </w:r>
    </w:p>
    <w:p>
      <w:pPr>
        <w:pBdr>
          <w:bottom w:val="single" w:color="B08D45" w:sz="6" w:space="1"/>
        </w:pBdr>
        <w:spacing w:after="240" w:before="60"/>
      </w:pPr>
      <w:r>
        <w:t xml:space="preserve"/>
      </w:r>
    </w:p>
    <w:p>
      <w:pPr>
        <w:spacing w:after="200" w:before="0"/>
        <w:jc w:val="left"/>
      </w:pPr>
      <w:r>
        <w:t xml:space="preserve">These are not signs the core idea is wrong — they are adjacent or sequencing options worth keeping in your back pocket if early validation reveals a different path of least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Pivot Option</w:t>
            </w:r>
          </w:p>
        </w:tc>
        <w:tc>
          <w:tcPr>
            <w:tcW w:type="dxa" w:w="666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Description &amp; When to Consider It</w:t>
            </w:r>
          </w:p>
        </w:tc>
      </w:tr>
      <w:tr>
        <w:tc>
          <w:tcPr>
            <w:tcW w:type="dxa" w:w="2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0"/>
                <w:szCs w:val="20"/>
              </w:rPr>
              <w:t xml:space="preserve">B2B2C-First (Institution-Led)</w:t>
            </w:r>
          </w:p>
        </w:tc>
        <w:tc>
          <w:tcPr>
            <w:tcW w:type="dxa" w:w="6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Instead of selling to individual students, sell an institutional license to colleges/training institutes who provide it free to their students (funded by the institution's placement budget). Consider this if individual willingness-to-pay validation comes back weak but institutional interest is strong.</w:t>
            </w:r>
          </w:p>
        </w:tc>
      </w:tr>
      <w:tr>
        <w:tc>
          <w:tcPr>
            <w:tcW w:type="dxa" w:w="2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0"/>
                <w:szCs w:val="20"/>
              </w:rPr>
              <w:t xml:space="preserve">Narrow to a Single Killer Feature</w:t>
            </w:r>
          </w:p>
        </w:tc>
        <w:tc>
          <w:tcPr>
            <w:tcW w:type="dxa" w:w="6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Launch as just an AI ATS resume scorer/builder (the single highest-intent feature) rather than the full 5-part suite. Consider this if MVP development is taking too long or initial user feedback shows one feature driving disproportionate engagement.</w:t>
            </w:r>
          </w:p>
        </w:tc>
      </w:tr>
      <w:tr>
        <w:tc>
          <w:tcPr>
            <w:tcW w:type="dxa" w:w="2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0"/>
                <w:szCs w:val="20"/>
              </w:rPr>
              <w:t xml:space="preserve">Vertical Specialization</w:t>
            </w:r>
          </w:p>
        </w:tc>
        <w:tc>
          <w:tcPr>
            <w:tcW w:type="dxa" w:w="6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Instead of “all engineering/IT students,” specialize deeply in one high-volume, high-anxiety niche (e.g., Tier-2 college Computer Science students targeting IT services companies specifically — TCS, Infosys, Wipro, Cognizant) where interview patterns are highly predictable and AI personalization adds the most value.</w:t>
            </w:r>
          </w:p>
        </w:tc>
      </w:tr>
      <w:tr>
        <w:tc>
          <w:tcPr>
            <w:tcW w:type="dxa" w:w="2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0"/>
                <w:szCs w:val="20"/>
              </w:rPr>
              <w:t xml:space="preserve">Community + Tool Hybrid</w:t>
            </w:r>
          </w:p>
        </w:tc>
        <w:tc>
          <w:tcPr>
            <w:tcW w:type="dxa" w:w="6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Layer in a peer community/cohort element (study groups, accountability partners) alongside the AI tools, since student behavior is highly social. Consider this if engagement/retention on a pure self-serve tool proves weak.</w:t>
            </w:r>
          </w:p>
        </w:tc>
      </w:tr>
      <w:tr>
        <w:tc>
          <w:tcPr>
            <w:tcW w:type="dxa" w:w="2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0"/>
                <w:szCs w:val="20"/>
              </w:rPr>
              <w:t xml:space="preserve">Content-to-Product Funnel</w:t>
            </w:r>
          </w:p>
        </w:tc>
        <w:tc>
          <w:tcPr>
            <w:tcW w:type="dxa" w:w="6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20"/>
                <w:szCs w:val="20"/>
              </w:rPr>
              <w:t xml:space="preserve">Build an audience first via career-advice content (leveraging your personal story) and convert that audience into the product later, rather than building product and audience simultaneously. Consider this if early product development stalls but you can produce content consistently.</w:t>
            </w:r>
          </w:p>
        </w:tc>
      </w:tr>
    </w:tbl>
    <w:p>
      <w:pPr>
        <w:spacing w:after="0" w:before="0"/>
        <w:jc w:val="left"/>
      </w:pPr>
      <w:r>
        <w:t xml:space="preserve"/>
      </w:r>
    </w:p>
    <w:p>
      <w:r>
        <w:br w:type="page"/>
      </w:r>
    </w:p>
    <w:p>
      <w:pPr>
        <w:pStyle w:val="Heading1"/>
      </w:pPr>
      <w:r>
        <w:t xml:space="preserve">14. Go / No-Go Recommendation</w:t>
      </w:r>
    </w:p>
    <w:p>
      <w:pPr>
        <w:pBdr>
          <w:bottom w:val="single" w:color="B08D45" w:sz="6" w:space="1"/>
        </w:pBdr>
        <w:spacing w:after="2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BF6EC" w:val="clear"/>
            <w:tcMar>
              <w:top w:type="dxa" w:w="200"/>
              <w:left w:type="dxa" w:w="240"/>
              <w:bottom w:type="dxa" w:w="200"/>
              <w:right w:type="dxa" w:w="240"/>
            </w:tcMar>
          </w:tcPr>
          <w:p>
            <w:pPr>
              <w:spacing w:after="80"/>
              <w:jc w:val="center"/>
            </w:pPr>
            <w:r>
              <w:rPr>
                <w:b/>
                <w:bCs/>
                <w:color w:val="44546A"/>
                <w:sz w:val="20"/>
                <w:szCs w:val="20"/>
              </w:rPr>
              <w:t xml:space="preserve">RECOMMENDATION</w:t>
            </w:r>
          </w:p>
          <w:p>
            <w:pPr>
              <w:spacing w:after="0"/>
              <w:jc w:val="center"/>
            </w:pPr>
            <w:r>
              <w:rPr>
                <w:b/>
                <w:bCs/>
                <w:color w:val="2E7D4F"/>
                <w:sz w:val="36"/>
                <w:szCs w:val="36"/>
              </w:rPr>
              <w:t xml:space="preserve">CONDITIONAL GO</w:t>
            </w:r>
          </w:p>
        </w:tc>
      </w:tr>
    </w:tbl>
    <w:p>
      <w:pPr>
        <w:spacing w:after="160" w:before="0"/>
        <w:jc w:val="left"/>
      </w:pPr>
      <w:r>
        <w:t xml:space="preserve"/>
      </w:r>
    </w:p>
    <w:p>
      <w:pPr>
        <w:pStyle w:val="Heading2"/>
      </w:pPr>
      <w:r>
        <w:t xml:space="preserve">Why Conditional Go, Not Unconditional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Reasons to Proceed</w:t>
            </w:r>
          </w:p>
        </w:tc>
        <w:tc>
          <w:tcPr>
            <w:tcW w:type="dxa" w:w="468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Conditions That Must Be Met</w:t>
            </w:r>
          </w:p>
        </w:tc>
      </w:tr>
      <w:tr>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40"/>
              <w:jc w:val="left"/>
            </w:pPr>
            <w:r>
              <w:rPr>
                <w:i w:val="false"/>
                <w:iCs w:val="false"/>
                <w:color w:val="000000"/>
                <w:sz w:val="20"/>
                <w:szCs w:val="20"/>
              </w:rPr>
              <w:t xml:space="preserve">Problem is real, large, and well-documented at the market level</w:t>
            </w:r>
          </w:p>
          <w:p>
            <w:pPr>
              <w:spacing w:after="40"/>
              <w:jc w:val="left"/>
            </w:pPr>
            <w:r>
              <w:rPr>
                <w:i w:val="false"/>
                <w:iCs w:val="false"/>
                <w:color w:val="000000"/>
                <w:sz w:val="20"/>
                <w:szCs w:val="20"/>
              </w:rPr>
              <w:t xml:space="preserve">Strong, authentic founder-market fit</w:t>
            </w:r>
          </w:p>
          <w:p>
            <w:pPr>
              <w:spacing w:after="40"/>
              <w:jc w:val="left"/>
            </w:pPr>
            <w:r>
              <w:rPr>
                <w:i w:val="false"/>
                <w:iCs w:val="false"/>
                <w:color w:val="000000"/>
                <w:sz w:val="20"/>
                <w:szCs w:val="20"/>
              </w:rPr>
              <w:t xml:space="preserve">Identifiable, underserved market gap (India-priced, integrated journey)</w:t>
            </w:r>
          </w:p>
          <w:p>
            <w:pPr>
              <w:spacing w:after="40"/>
              <w:jc w:val="left"/>
            </w:pPr>
            <w:r>
              <w:rPr>
                <w:i w:val="false"/>
                <w:iCs w:val="false"/>
                <w:color w:val="000000"/>
                <w:sz w:val="20"/>
                <w:szCs w:val="20"/>
              </w:rPr>
              <w:t xml:space="preserve">Large recurring annual cohort (~1.5M new engineering graduates/year alone)</w:t>
            </w:r>
          </w:p>
        </w:tc>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40"/>
              <w:jc w:val="left"/>
            </w:pPr>
            <w:r>
              <w:rPr>
                <w:i w:val="false"/>
                <w:iCs w:val="false"/>
                <w:color w:val="000000"/>
                <w:sz w:val="20"/>
                <w:szCs w:val="20"/>
              </w:rPr>
              <w:t xml:space="preserve">Convert anecdotal validation into real demand signals (waitlist, interviews, pre-orders) within 30 days</w:t>
            </w:r>
          </w:p>
          <w:p>
            <w:pPr>
              <w:spacing w:after="40"/>
              <w:jc w:val="left"/>
            </w:pPr>
            <w:r>
              <w:rPr>
                <w:i w:val="false"/>
                <w:iCs w:val="false"/>
                <w:color w:val="000000"/>
                <w:sz w:val="20"/>
                <w:szCs w:val="20"/>
              </w:rPr>
              <w:t xml:space="preserve">Resolve the brand-name overlap with the existing “Career Copilot” product</w:t>
            </w:r>
          </w:p>
          <w:p>
            <w:pPr>
              <w:spacing w:after="40"/>
              <w:jc w:val="left"/>
            </w:pPr>
            <w:r>
              <w:rPr>
                <w:i w:val="false"/>
                <w:iCs w:val="false"/>
                <w:color w:val="000000"/>
                <w:sz w:val="20"/>
                <w:szCs w:val="20"/>
              </w:rPr>
              <w:t xml:space="preserve">Ship a narrow MVP (not the full 5-feature suite) to test real usage, not hypothetical interest</w:t>
            </w:r>
          </w:p>
          <w:p>
            <w:pPr>
              <w:spacing w:after="40"/>
              <w:jc w:val="left"/>
            </w:pPr>
            <w:r>
              <w:rPr>
                <w:i w:val="false"/>
                <w:iCs w:val="false"/>
                <w:color w:val="000000"/>
                <w:sz w:val="20"/>
                <w:szCs w:val="20"/>
              </w:rPr>
              <w:t xml:space="preserve">Open at least one institutional conversation to test the B2B2C channel</w:t>
            </w:r>
          </w:p>
        </w:tc>
      </w:tr>
    </w:tbl>
    <w:p>
      <w:pPr>
        <w:spacing w:after="160" w:before="0"/>
        <w:jc w:val="left"/>
      </w:pPr>
      <w:r>
        <w:t xml:space="preserve"/>
      </w:r>
    </w:p>
    <w:p>
      <w:pPr>
        <w:pStyle w:val="Heading2"/>
      </w:pPr>
      <w:r>
        <w:t xml:space="preserve">Decision Framework</w:t>
      </w:r>
    </w:p>
    <w:p>
      <w:pPr>
        <w:spacing w:after="100" w:before="0"/>
        <w:jc w:val="left"/>
      </w:pPr>
      <w:r>
        <w:t xml:space="preserve">Re-evaluate in 30 days using these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Signal</w:t>
            </w:r>
          </w:p>
        </w:tc>
        <w:tc>
          <w:tcPr>
            <w:tcW w:type="dxa" w:w="312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Green Light</w:t>
            </w:r>
          </w:p>
        </w:tc>
        <w:tc>
          <w:tcPr>
            <w:tcW w:type="dxa" w:w="312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Red Flag</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Waitlist conversion</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200+ signups from organic/student channels in 30 days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Under 50 signups despite reasonable outreach effort</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Willingness to pay</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10%+ of interviewed students indicate they would pay ₹299+/month or pre-commit a deposit</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Near-universal expectation that the product should be fully free</w:t>
            </w:r>
          </w:p>
        </w:tc>
      </w:tr>
      <w:tr>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MVP engagement</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Users return for a 2nd session within a week of first use</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One-time use with no return visits (“tried it once” pattern)</w:t>
            </w:r>
          </w:p>
        </w:tc>
      </w:tr>
    </w:tbl>
    <w:p>
      <w:pPr>
        <w:spacing w:after="0" w:before="0"/>
        <w:jc w:val="left"/>
      </w:pPr>
      <w:r>
        <w:t xml:space="preserve"/>
      </w:r>
    </w:p>
    <w:p>
      <w:r>
        <w:br w:type="page"/>
      </w:r>
    </w:p>
    <w:p>
      <w:pPr>
        <w:pStyle w:val="Heading1"/>
      </w:pPr>
      <w:r>
        <w:t xml:space="preserve">15. 30-Day Action Plan</w:t>
      </w:r>
    </w:p>
    <w:p>
      <w:pPr>
        <w:pBdr>
          <w:bottom w:val="single" w:color="B08D45" w:sz="6" w:space="1"/>
        </w:pBdr>
        <w:spacing w:after="2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6360"/>
      </w:tblGrid>
      <w:tr>
        <w:tc>
          <w:tcPr>
            <w:tcW w:type="dxa" w:w="13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Week</w:t>
            </w:r>
          </w:p>
        </w:tc>
        <w:tc>
          <w:tcPr>
            <w:tcW w:type="dxa" w:w="17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Focus</w:t>
            </w:r>
          </w:p>
        </w:tc>
        <w:tc>
          <w:tcPr>
            <w:tcW w:type="dxa" w:w="636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Key Tasks</w:t>
            </w:r>
          </w:p>
        </w:tc>
      </w:tr>
      <w:tr>
        <w:tc>
          <w:tcPr>
            <w:tcW w:type="dxa" w:w="13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center"/>
            </w:pPr>
            <w:r>
              <w:rPr>
                <w:b/>
                <w:bCs/>
                <w:i w:val="false"/>
                <w:iCs w:val="false"/>
                <w:color w:val="FFFFFF"/>
                <w:sz w:val="20"/>
                <w:szCs w:val="20"/>
              </w:rPr>
              <w:t xml:space="preserve">Week 1</w:t>
            </w:r>
          </w:p>
        </w:tc>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0"/>
                <w:szCs w:val="20"/>
              </w:rPr>
              <w:t xml:space="preserve">Validate Demand</w:t>
            </w:r>
          </w:p>
        </w:tc>
        <w:tc>
          <w:tcPr>
            <w:tcW w:type="dxa" w:w="63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Conduct 20-30 structured 1-on-1 interviews with target students (not informal chats) — ask about current process, money already spent on career help, and a specific price test
• Resolve the naming overlap with existing “Career Copilot” product — finalize a distinct working name
• Build a simple one-page landing site explaining the value proposition with a waitlist signup form</w:t>
            </w:r>
          </w:p>
        </w:tc>
      </w:tr>
      <w:tr>
        <w:tc>
          <w:tcPr>
            <w:tcW w:type="dxa" w:w="13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center"/>
            </w:pPr>
            <w:r>
              <w:rPr>
                <w:b/>
                <w:bCs/>
                <w:i w:val="false"/>
                <w:iCs w:val="false"/>
                <w:color w:val="FFFFFF"/>
                <w:sz w:val="20"/>
                <w:szCs w:val="20"/>
              </w:rPr>
              <w:t xml:space="preserve">Week 2</w:t>
            </w:r>
          </w:p>
        </w:tc>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0"/>
                <w:szCs w:val="20"/>
              </w:rPr>
              <w:t xml:space="preserve">Build the Hook</w:t>
            </w:r>
          </w:p>
        </w:tc>
        <w:tc>
          <w:tcPr>
            <w:tcW w:type="dxa" w:w="63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Scope and begin building ONE narrow MVP feature: the free instant ATS resume score/checker
• Launch the landing page and waitlist publicly via student communities, LinkedIn, and college WhatsApp groups
• Reach out to 3-5 college placement cells or training institutes to gauge institutional interest (no pitch yet — just discovery conversations)</w:t>
            </w:r>
          </w:p>
        </w:tc>
      </w:tr>
      <w:tr>
        <w:tc>
          <w:tcPr>
            <w:tcW w:type="dxa" w:w="13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center"/>
            </w:pPr>
            <w:r>
              <w:rPr>
                <w:b/>
                <w:bCs/>
                <w:i w:val="false"/>
                <w:iCs w:val="false"/>
                <w:color w:val="FFFFFF"/>
                <w:sz w:val="20"/>
                <w:szCs w:val="20"/>
              </w:rPr>
              <w:t xml:space="preserve">Week 3</w:t>
            </w:r>
          </w:p>
        </w:tc>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0"/>
                <w:szCs w:val="20"/>
              </w:rPr>
              <w:t xml:space="preserve">Test &amp; Iterate</w:t>
            </w:r>
          </w:p>
        </w:tc>
        <w:tc>
          <w:tcPr>
            <w:tcW w:type="dxa" w:w="63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Get the MVP ATS-checker in front of 30-50 real students; observe usage, not just feedback
• Run a small willingness-to-pay test: offer a discounted founder's-tier pre-order (e.g., ₹199 refundable deposit) to gauge real commitment
• Document every objection raised and refine messaging accordingly</w:t>
            </w:r>
          </w:p>
        </w:tc>
      </w:tr>
      <w:tr>
        <w:tc>
          <w:tcPr>
            <w:tcW w:type="dxa" w:w="130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center"/>
            </w:pPr>
            <w:r>
              <w:rPr>
                <w:b/>
                <w:bCs/>
                <w:i w:val="false"/>
                <w:iCs w:val="false"/>
                <w:color w:val="FFFFFF"/>
                <w:sz w:val="20"/>
                <w:szCs w:val="20"/>
              </w:rPr>
              <w:t xml:space="preserve">Week 4</w:t>
            </w:r>
          </w:p>
        </w:tc>
        <w:tc>
          <w:tcPr>
            <w:tcW w:type="dxa" w:w="17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1B2A4A"/>
                <w:sz w:val="20"/>
                <w:szCs w:val="20"/>
              </w:rPr>
              <w:t xml:space="preserve">Decide &amp; Plan Next Phase</w:t>
            </w:r>
          </w:p>
        </w:tc>
        <w:tc>
          <w:tcPr>
            <w:tcW w:type="dxa" w:w="63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i w:val="false"/>
                <w:iCs w:val="false"/>
                <w:color w:val="000000"/>
                <w:sz w:val="19"/>
                <w:szCs w:val="19"/>
              </w:rPr>
              <w:t xml:space="preserve">Compile results against the Go/No-Go thresholds in Section 14
• If green-lit: scope the next MVP feature (learning roadmap or interview prep) and begin fundraising/resourcing conversations if needed
• If yellow/red: revisit the Pivot Opportunities in Section 13 and select the most promising adjustment before continuing</w:t>
            </w:r>
          </w:p>
        </w:tc>
      </w:tr>
    </w:tbl>
    <w:p>
      <w:pPr>
        <w:spacing w:after="200" w:before="0"/>
        <w:jc w:val="left"/>
      </w:pPr>
      <w:r>
        <w:t xml:space="preserve"/>
      </w:r>
    </w:p>
    <w:p>
      <w:pPr>
        <w:pStyle w:val="Heading2"/>
      </w:pPr>
      <w:r>
        <w:t xml:space="preserve">Success Metric Snapshot for Day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Metric</w:t>
            </w:r>
          </w:p>
        </w:tc>
        <w:tc>
          <w:tcPr>
            <w:tcW w:type="dxa" w:w="4680"/>
            <w:tcBorders>
              <w:top w:val="single" w:color="D9D9D9" w:sz="1"/>
              <w:left w:val="single" w:color="D9D9D9" w:sz="1"/>
              <w:bottom w:val="single" w:color="D9D9D9" w:sz="1"/>
              <w:right w:val="single" w:color="D9D9D9" w:sz="1"/>
            </w:tcBorders>
            <w:shd w:fill="1B2A4A" w:val="clear"/>
            <w:tcMar>
              <w:top w:type="dxa" w:w="100"/>
              <w:left w:type="dxa" w:w="140"/>
              <w:bottom w:type="dxa" w:w="100"/>
              <w:right w:type="dxa" w:w="140"/>
            </w:tcMar>
            <w:vAlign w:val="center"/>
          </w:tcPr>
          <w:p>
            <w:pPr>
              <w:jc w:val="left"/>
            </w:pPr>
            <w:r>
              <w:rPr>
                <w:b/>
                <w:bCs/>
                <w:i w:val="false"/>
                <w:iCs w:val="false"/>
                <w:color w:val="FFFFFF"/>
                <w:sz w:val="20"/>
                <w:szCs w:val="20"/>
              </w:rPr>
              <w:t xml:space="preserve">Target</w:t>
            </w:r>
          </w:p>
        </w:tc>
      </w:tr>
      <w:tr>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Waitlist signups</w:t>
            </w:r>
          </w:p>
        </w:tc>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i w:val="false"/>
                <w:iCs w:val="false"/>
                <w:color w:val="000000"/>
                <w:sz w:val="20"/>
                <w:szCs w:val="20"/>
              </w:rPr>
              <w:t xml:space="preserve">150–250+</w:t>
            </w:r>
          </w:p>
        </w:tc>
      </w:tr>
      <w:tr>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Structured interviews completed</w:t>
            </w:r>
          </w:p>
        </w:tc>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i w:val="false"/>
                <w:iCs w:val="false"/>
                <w:color w:val="000000"/>
                <w:sz w:val="20"/>
                <w:szCs w:val="20"/>
              </w:rPr>
              <w:t xml:space="preserve">30+</w:t>
            </w:r>
          </w:p>
        </w:tc>
      </w:tr>
      <w:tr>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MVP test users (ATS checker)</w:t>
            </w:r>
          </w:p>
        </w:tc>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i w:val="false"/>
                <w:iCs w:val="false"/>
                <w:color w:val="000000"/>
                <w:sz w:val="20"/>
                <w:szCs w:val="20"/>
              </w:rPr>
              <w:t xml:space="preserve">50+</w:t>
            </w:r>
          </w:p>
        </w:tc>
      </w:tr>
      <w:tr>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Paid pre-orders / deposits</w:t>
            </w:r>
          </w:p>
        </w:tc>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i w:val="false"/>
                <w:iCs w:val="false"/>
                <w:color w:val="000000"/>
                <w:sz w:val="19"/>
                <w:szCs w:val="19"/>
              </w:rPr>
              <w:t xml:space="preserve">10+ (even small amounts — signal matters more than revenue here)</w:t>
            </w:r>
          </w:p>
        </w:tc>
      </w:tr>
      <w:tr>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left"/>
            </w:pPr>
            <w:r>
              <w:rPr>
                <w:b/>
                <w:bCs/>
                <w:i w:val="false"/>
                <w:iCs w:val="false"/>
                <w:color w:val="000000"/>
                <w:sz w:val="20"/>
                <w:szCs w:val="20"/>
              </w:rPr>
              <w:t xml:space="preserve">Institutional conversations initiated</w:t>
            </w:r>
          </w:p>
        </w:tc>
        <w:tc>
          <w:tcPr>
            <w:tcW w:type="dxa" w:w="46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jc w:val="center"/>
            </w:pPr>
            <w:r>
              <w:rPr>
                <w:i w:val="false"/>
                <w:iCs w:val="false"/>
                <w:color w:val="000000"/>
                <w:sz w:val="20"/>
                <w:szCs w:val="20"/>
              </w:rPr>
              <w:t xml:space="preserve">3–5</w:t>
            </w:r>
          </w:p>
        </w:tc>
      </w:tr>
    </w:tbl>
    <w:p>
      <w:pPr>
        <w:spacing w:after="200" w:before="0"/>
        <w:jc w:val="left"/>
      </w:pPr>
      <w:r>
        <w:t xml:space="preserve"/>
      </w:r>
    </w:p>
    <w:p>
      <w:pPr>
        <w:pBdr>
          <w:top w:val="single" w:color="B08D45" w:sz="4" w:space="8"/>
        </w:pBdr>
        <w:spacing w:after="120" w:before="200"/>
      </w:pPr>
      <w:r>
        <w:t xml:space="preserve"/>
      </w:r>
    </w:p>
    <w:p>
      <w:pPr>
        <w:spacing w:after="0" w:before="0"/>
        <w:jc w:val="left"/>
      </w:pPr>
      <w:r>
        <w:rPr>
          <w:i/>
          <w:iCs/>
          <w:color w:val="595959"/>
          <w:sz w:val="19"/>
          <w:szCs w:val="19"/>
        </w:rPr>
        <w:t xml:space="preserve">This report is a strategic analysis based on publicly available market data (AICTE, IBEF, industry reports) combined with the inputs you provided, current as of June 2026. It is intended to guide validation efforts, not to substitute for direct customer discovery. All market sizing figures are directional estimates built from bottom-up assumptions and should be refined as you gather your own first-party data over the next 30 days.</w:t>
      </w:r>
    </w:p>
    <w:sectPr>
      <w:headerReference w:type="default" r:id="rId9"/>
      <w:footerReference w:type="default" r:id="rId10"/>
      <w:pgSz w:w="12240" w:h="15840" w:orient="portrait"/>
      <w:pgMar w:top="135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pPr>
    <w:r>
      <w:rPr>
        <w:color w:val="595959"/>
        <w:sz w:val="16"/>
        <w:szCs w:val="16"/>
      </w:rPr>
      <w:t xml:space="preserve">Prepared June 25, 2026</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45" w:sz="4" w:space="4"/>
      </w:pBdr>
      <w:tabs>
        <w:tab w:val="right" w:pos="9026"/>
      </w:tabs>
      <w:spacing w:after="0"/>
    </w:pPr>
    <w:r>
      <w:rPr>
        <w:b/>
        <w:bCs/>
        <w:color w:val="44546A"/>
        <w:sz w:val="16"/>
        <w:szCs w:val="16"/>
      </w:rPr>
      <w:t xml:space="preserve">CareerCopilot.AI — Startup Validation Report</w:t>
    </w:r>
    <w:r>
      <w:rPr>
        <w:color w:val="59595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b/>
        <w:bCs/>
        <w:color w:val="B08D45"/>
      </w:rPr>
    </w:lvl>
  </w:abstractNum>
  <w:abstractNum w:abstractNumId="3" w15:restartNumberingAfterBreak="0">
    <w:multiLevelType w:val="hybridMultilevel"/>
    <w:lvl w:ilvl="0" w15:tentative="1">
      <w:start w:val="1"/>
      <w:numFmt w:val="bullet"/>
      <w:lvlText w:val="–"/>
      <w:lvlJc w:val="left"/>
      <w:pPr>
        <w:ind w:left="820" w:hanging="260"/>
      </w:pPr>
    </w:lvl>
  </w:abstractNum>
  <w:abstractNum w:abstractNumId="4" w15:restartNumberingAfterBreak="0">
    <w:multiLevelType w:val="hybridMultilevel"/>
    <w:lvl w:ilvl="0" w15:tentative="1">
      <w:start w:val="1"/>
      <w:numFmt w:val="decimal"/>
      <w:lvlText w:val="%1."/>
      <w:lvlJc w:val="left"/>
      <w:pPr>
        <w:ind w:left="460" w:hanging="260"/>
      </w:pPr>
      <w:rPr>
        <w:b/>
        <w:bCs/>
        <w:color w:val="1B2A4A"/>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45" w:sz="4" w:space="4"/>
      </w:pBdr>
      <w:spacing w:after="200" w:before="120"/>
      <w:outlineLvl w:val="0"/>
    </w:pPr>
    <w:rPr>
      <w:rFonts w:ascii="Arial" w:cs="Arial" w:eastAsia="Arial" w:hAnsi="Arial"/>
      <w:b/>
      <w:bCs/>
      <w:color w:val="0F1A30"/>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B2A4A"/>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44546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CareerCopilot.AI — Startup Validation Report</dc:title>
  <dc:creator>Startup Advisory Analysis</dc:creator>
  <cp:lastModifiedBy>Un-named</cp:lastModifiedBy>
  <cp:revision>1</cp:revision>
  <dcterms:created xsi:type="dcterms:W3CDTF">2026-06-25T10:50:58.818Z</dcterms:created>
  <dcterms:modified xsi:type="dcterms:W3CDTF">2026-06-25T10:50:58.819Z</dcterms:modified>
</cp:coreProperties>
</file>

<file path=docProps/custom.xml><?xml version="1.0" encoding="utf-8"?>
<Properties xmlns="http://schemas.openxmlformats.org/officeDocument/2006/custom-properties" xmlns:vt="http://schemas.openxmlformats.org/officeDocument/2006/docPropsVTypes"/>
</file>