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"/>
        <w:jc w:val="center"/>
      </w:pPr>
      <w:r>
        <w:rPr>
          <w:b/>
          <w:bCs/>
          <w:color w:val="0F1A30"/>
          <w:sz w:val="40"/>
          <w:szCs w:val="40"/>
        </w:rPr>
        <w:t xml:space="preserve">CUSTOMER &amp; MVP BLUEPRINT</w:t>
      </w:r>
    </w:p>
    <w:p>
      <w:pPr>
        <w:spacing w:after="60"/>
        <w:jc w:val="center"/>
      </w:pPr>
      <w:r>
        <w:rPr>
          <w:i/>
          <w:iCs/>
          <w:color w:val="44546A"/>
          <w:sz w:val="20"/>
          <w:szCs w:val="20"/>
        </w:rPr>
        <w:t xml:space="preserve">CareerCopilot.AI — Derived from Startup Validation Report</w:t>
      </w:r>
    </w:p>
    <w:p>
      <w:pPr>
        <w:pBdr>
          <w:bottom w:val="single" w:color="B08D45" w:sz="6" w:space="6"/>
        </w:pBdr>
        <w:spacing w:after="160"/>
        <w:jc w:val="center"/>
      </w:pPr>
      <w:r>
        <w:rPr>
          <w:color w:val="595959"/>
          <w:sz w:val="17"/>
          <w:szCs w:val="17"/>
        </w:rPr>
        <w:t xml:space="preserve">India | Engineering &amp; IT Students | June 25, 2026</w:t>
      </w:r>
    </w:p>
    <w:p>
      <w:pPr>
        <w:pStyle w:val="Heading1"/>
      </w:pPr>
      <w:r>
        <w:t xml:space="preserve">Executive Summary</w:t>
      </w:r>
    </w:p>
    <w:p>
      <w:pPr>
        <w:spacing w:after="100" w:before="0"/>
        <w:jc w:val="left"/>
      </w:pPr>
      <w:r>
        <w:rPr>
          <w:sz w:val="19"/>
          <w:szCs w:val="19"/>
        </w:rPr>
        <w:t xml:space="preserve">CareerCopilot.AI targets a real, well-documented employability gap among India's ~1.5M annual engineering/IT graduates, who currently rely on fragmented free resources (YouTube, blogs, peers). The market opportunity is large but unvalidated at the individual level — no waitlist, no paying users yet. The recommended path: ship one narrow, high-intent feature (AI ATS resume score) as the MVP wedge, validate willingness to pay within 30 days, and pursue an India-priced, integrated journey that the crowded-but-fragmented competitive set does not yet own.</w:t>
      </w:r>
    </w:p>
    <w:p>
      <w:pPr>
        <w:pStyle w:val="Heading1"/>
      </w:pPr>
      <w:r>
        <w:t xml:space="preserve">Ideal Customer Profile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Attribute</w:t>
            </w:r>
          </w:p>
        </w:tc>
        <w:tc>
          <w:tcPr>
            <w:tcW w:type="dxa" w:w="71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Profile</w:t>
            </w:r>
          </w:p>
        </w:tc>
      </w:tr>
      <w:tr>
        <w:tc>
          <w:tcPr>
            <w:tcW w:type="dxa" w:w="22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Stage</w:t>
            </w:r>
          </w:p>
        </w:tc>
        <w:tc>
          <w:tcPr>
            <w:tcW w:type="dxa" w:w="71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i w:val="false"/>
                <w:iCs w:val="false"/>
                <w:color w:val="000000"/>
                <w:sz w:val="17"/>
                <w:szCs w:val="17"/>
              </w:rPr>
              <w:t xml:space="preserve">3rd/4th-year engineering/IT undergrad or fresh grad (&lt;12 months out)</w:t>
            </w:r>
          </w:p>
        </w:tc>
      </w:tr>
      <w:tr>
        <w:tc>
          <w:tcPr>
            <w:tcW w:type="dxa" w:w="22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Age</w:t>
            </w:r>
          </w:p>
        </w:tc>
        <w:tc>
          <w:tcPr>
            <w:tcW w:type="dxa" w:w="71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i w:val="false"/>
                <w:iCs w:val="false"/>
                <w:color w:val="000000"/>
                <w:sz w:val="17"/>
                <w:szCs w:val="17"/>
              </w:rPr>
              <w:t xml:space="preserve">20–24 years</w:t>
            </w:r>
          </w:p>
        </w:tc>
      </w:tr>
      <w:tr>
        <w:tc>
          <w:tcPr>
            <w:tcW w:type="dxa" w:w="22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Institution</w:t>
            </w:r>
          </w:p>
        </w:tc>
        <w:tc>
          <w:tcPr>
            <w:tcW w:type="dxa" w:w="71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i w:val="false"/>
                <w:iCs w:val="false"/>
                <w:color w:val="000000"/>
                <w:sz w:val="17"/>
                <w:szCs w:val="17"/>
              </w:rPr>
              <w:t xml:space="preserve">Tier-2/3 private engineering colleges &amp; state universities (not IIT/NIT)</w:t>
            </w:r>
          </w:p>
        </w:tc>
      </w:tr>
      <w:tr>
        <w:tc>
          <w:tcPr>
            <w:tcW w:type="dxa" w:w="22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Geography</w:t>
            </w:r>
          </w:p>
        </w:tc>
        <w:tc>
          <w:tcPr>
            <w:tcW w:type="dxa" w:w="71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i w:val="false"/>
                <w:iCs w:val="false"/>
                <w:color w:val="000000"/>
                <w:sz w:val="17"/>
                <w:szCs w:val="17"/>
              </w:rPr>
              <w:t xml:space="preserve">Delhi NCR, Bengaluru, Hyderabad, Pune, Chennai, Mumbai → Tier-2 expansion</w:t>
            </w:r>
          </w:p>
        </w:tc>
      </w:tr>
      <w:tr>
        <w:tc>
          <w:tcPr>
            <w:tcW w:type="dxa" w:w="22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Device</w:t>
            </w:r>
          </w:p>
        </w:tc>
        <w:tc>
          <w:tcPr>
            <w:tcW w:type="dxa" w:w="71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i w:val="false"/>
                <w:iCs w:val="false"/>
                <w:color w:val="000000"/>
                <w:sz w:val="17"/>
                <w:szCs w:val="17"/>
              </w:rPr>
              <w:t xml:space="preserve">Mobile-first, Android-dominant, price-sensitive data plans</w:t>
            </w:r>
          </w:p>
        </w:tc>
      </w:tr>
      <w:tr>
        <w:tc>
          <w:tcPr>
            <w:tcW w:type="dxa" w:w="22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Financial</w:t>
            </w:r>
          </w:p>
        </w:tc>
        <w:tc>
          <w:tcPr>
            <w:tcW w:type="dxa" w:w="71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i w:val="false"/>
                <w:iCs w:val="false"/>
                <w:color w:val="000000"/>
                <w:sz w:val="17"/>
                <w:szCs w:val="17"/>
              </w:rPr>
              <w:t xml:space="preserve">Limited independent income; high price sensitivity above ₹500/month</w:t>
            </w:r>
          </w:p>
        </w:tc>
      </w:tr>
      <w:tr>
        <w:tc>
          <w:tcPr>
            <w:tcW w:type="dxa" w:w="22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Psychographic</w:t>
            </w:r>
          </w:p>
        </w:tc>
        <w:tc>
          <w:tcPr>
            <w:tcW w:type="dxa" w:w="71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i w:val="false"/>
                <w:iCs w:val="false"/>
                <w:color w:val="000000"/>
                <w:sz w:val="17"/>
                <w:szCs w:val="17"/>
              </w:rPr>
              <w:t xml:space="preserve">Anxious, peer-comparison-driven, distrustful of generic advice, swayed by social proof</w:t>
            </w:r>
          </w:p>
        </w:tc>
      </w:tr>
    </w:tbl>
    <w:p>
      <w:pPr>
        <w:pStyle w:val="Heading1"/>
      </w:pPr>
      <w:r>
        <w:t xml:space="preserve">Buyer Persona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EAF0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Name</w:t>
            </w:r>
          </w:p>
        </w:tc>
        <w:tc>
          <w:tcPr>
            <w:tcW w:type="dxa" w:w="71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1B2A4A"/>
                <w:sz w:val="17"/>
                <w:szCs w:val="17"/>
              </w:rPr>
              <w:t xml:space="preserve">“Ananya, the Anxious Final-Year” — 21, B.Tech CSE, Tier-2 college, Pune</w:t>
            </w:r>
          </w:p>
        </w:tc>
      </w:tr>
      <w:tr>
        <w:tc>
          <w:tcPr>
            <w:tcW w:type="dxa" w:w="22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EAF0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Goal</w:t>
            </w:r>
          </w:p>
        </w:tc>
        <w:tc>
          <w:tcPr>
            <w:tcW w:type="dxa" w:w="71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i w:val="false"/>
                <w:iCs w:val="false"/>
                <w:color w:val="000000"/>
                <w:sz w:val="17"/>
                <w:szCs w:val="17"/>
              </w:rPr>
              <w:t xml:space="preserve">Land a software/analyst role within 6 months; ease family financial pressure</w:t>
            </w:r>
          </w:p>
        </w:tc>
      </w:tr>
      <w:tr>
        <w:tc>
          <w:tcPr>
            <w:tcW w:type="dxa" w:w="22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EAF0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Frustration</w:t>
            </w:r>
          </w:p>
        </w:tc>
        <w:tc>
          <w:tcPr>
            <w:tcW w:type="dxa" w:w="71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i w:val="false"/>
                <w:iCs w:val="false"/>
                <w:color w:val="000000"/>
                <w:sz w:val="17"/>
                <w:szCs w:val="17"/>
              </w:rPr>
              <w:t xml:space="preserve">Unsure if resume is ATS-friendly; generic rejections; can't afford ₹15K+ coaching</w:t>
            </w:r>
          </w:p>
        </w:tc>
      </w:tr>
      <w:tr>
        <w:tc>
          <w:tcPr>
            <w:tcW w:type="dxa" w:w="22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EAF0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Trigger</w:t>
            </w:r>
          </w:p>
        </w:tc>
        <w:tc>
          <w:tcPr>
            <w:tcW w:type="dxa" w:w="71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i w:val="false"/>
                <w:iCs w:val="false"/>
                <w:color w:val="000000"/>
                <w:sz w:val="17"/>
                <w:szCs w:val="17"/>
              </w:rPr>
              <w:t xml:space="preserve">A friend gets shortlisted using a tool, or placement drive announced</w:t>
            </w:r>
          </w:p>
        </w:tc>
      </w:tr>
      <w:tr>
        <w:tc>
          <w:tcPr>
            <w:tcW w:type="dxa" w:w="22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EAF0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Objection</w:t>
            </w:r>
          </w:p>
        </w:tc>
        <w:tc>
          <w:tcPr>
            <w:tcW w:type="dxa" w:w="71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i/>
                <w:iCs/>
                <w:color w:val="000000"/>
                <w:sz w:val="17"/>
                <w:szCs w:val="17"/>
              </w:rPr>
              <w:t xml:space="preserve">“Why pay when ChatGPT/YouTube is free?”</w:t>
            </w:r>
          </w:p>
        </w:tc>
      </w:tr>
    </w:tbl>
    <w:p>
      <w:pPr>
        <w:pStyle w:val="Heading1"/>
      </w:pPr>
      <w:r>
        <w:t xml:space="preserve">Top 10 Customer Pain Points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400"/>
        <w:gridCol w:w="2700"/>
        <w:gridCol w:w="2260"/>
      </w:tblGrid>
      <w:tr>
        <w:tc>
          <w:tcPr>
            <w:tcW w:type="dxa" w:w="44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Pain Point</w:t>
            </w:r>
          </w:p>
        </w:tc>
        <w:tc>
          <w:tcPr>
            <w:tcW w:type="dxa" w:w="27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Why It Hurts</w:t>
            </w:r>
          </w:p>
        </w:tc>
        <w:tc>
          <w:tcPr>
            <w:tcW w:type="dxa" w:w="22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Severity</w:t>
            </w:r>
          </w:p>
        </w:tc>
      </w:tr>
      <w:tr>
        <w:tc>
          <w:tcPr>
            <w:tcW w:type="dxa" w:w="44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Resume ATS uncertainty</w:t>
            </w:r>
          </w:p>
        </w:tc>
        <w:tc>
          <w:tcPr>
            <w:tcW w:type="dxa" w:w="27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i w:val="false"/>
                <w:iCs w:val="false"/>
                <w:color w:val="000000"/>
                <w:sz w:val="16"/>
                <w:szCs w:val="16"/>
              </w:rPr>
              <w:t xml:space="preserve">No reliable pre-check before applying</w:t>
            </w:r>
          </w:p>
        </w:tc>
        <w:tc>
          <w:tcPr>
            <w:tcW w:type="dxa" w:w="22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B33A3A"/>
                <w:sz w:val="17"/>
                <w:szCs w:val="17"/>
              </w:rPr>
              <w:t xml:space="preserve">Critical</w:t>
            </w:r>
          </w:p>
        </w:tc>
      </w:tr>
      <w:tr>
        <w:tc>
          <w:tcPr>
            <w:tcW w:type="dxa" w:w="44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Skill-gap confusion</w:t>
            </w:r>
          </w:p>
        </w:tc>
        <w:tc>
          <w:tcPr>
            <w:tcW w:type="dxa" w:w="27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i w:val="false"/>
                <w:iCs w:val="false"/>
                <w:color w:val="000000"/>
                <w:sz w:val="16"/>
                <w:szCs w:val="16"/>
              </w:rPr>
              <w:t xml:space="preserve">Unclear which skills matter for target role</w:t>
            </w:r>
          </w:p>
        </w:tc>
        <w:tc>
          <w:tcPr>
            <w:tcW w:type="dxa" w:w="22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B33A3A"/>
                <w:sz w:val="17"/>
                <w:szCs w:val="17"/>
              </w:rPr>
              <w:t xml:space="preserve">Critical</w:t>
            </w:r>
          </w:p>
        </w:tc>
      </w:tr>
      <w:tr>
        <w:tc>
          <w:tcPr>
            <w:tcW w:type="dxa" w:w="44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Interview anxiety</w:t>
            </w:r>
          </w:p>
        </w:tc>
        <w:tc>
          <w:tcPr>
            <w:tcW w:type="dxa" w:w="27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i w:val="false"/>
                <w:iCs w:val="false"/>
                <w:color w:val="000000"/>
                <w:sz w:val="16"/>
                <w:szCs w:val="16"/>
              </w:rPr>
              <w:t xml:space="preserve">No realistic mock-practice environment</w:t>
            </w:r>
          </w:p>
        </w:tc>
        <w:tc>
          <w:tcPr>
            <w:tcW w:type="dxa" w:w="22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B8860B"/>
                <w:sz w:val="17"/>
                <w:szCs w:val="17"/>
              </w:rPr>
              <w:t xml:space="preserve">High</w:t>
            </w:r>
          </w:p>
        </w:tc>
      </w:tr>
      <w:tr>
        <w:tc>
          <w:tcPr>
            <w:tcW w:type="dxa" w:w="44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Information overload</w:t>
            </w:r>
          </w:p>
        </w:tc>
        <w:tc>
          <w:tcPr>
            <w:tcW w:type="dxa" w:w="27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i w:val="false"/>
                <w:iCs w:val="false"/>
                <w:color w:val="000000"/>
                <w:sz w:val="16"/>
                <w:szCs w:val="16"/>
              </w:rPr>
              <w:t xml:space="preserve">Conflicting free advice, no way to verify quality</w:t>
            </w:r>
          </w:p>
        </w:tc>
        <w:tc>
          <w:tcPr>
            <w:tcW w:type="dxa" w:w="22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B8860B"/>
                <w:sz w:val="17"/>
                <w:szCs w:val="17"/>
              </w:rPr>
              <w:t xml:space="preserve">High</w:t>
            </w:r>
          </w:p>
        </w:tc>
      </w:tr>
      <w:tr>
        <w:tc>
          <w:tcPr>
            <w:tcW w:type="dxa" w:w="44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Cost of quality guidance</w:t>
            </w:r>
          </w:p>
        </w:tc>
        <w:tc>
          <w:tcPr>
            <w:tcW w:type="dxa" w:w="27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i w:val="false"/>
                <w:iCs w:val="false"/>
                <w:color w:val="000000"/>
                <w:sz w:val="16"/>
                <w:szCs w:val="16"/>
              </w:rPr>
              <w:t xml:space="preserve">Premium coaching priced out of reach</w:t>
            </w:r>
          </w:p>
        </w:tc>
        <w:tc>
          <w:tcPr>
            <w:tcW w:type="dxa" w:w="22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B8860B"/>
                <w:sz w:val="17"/>
                <w:szCs w:val="17"/>
              </w:rPr>
              <w:t xml:space="preserve">High</w:t>
            </w:r>
          </w:p>
        </w:tc>
      </w:tr>
      <w:tr>
        <w:tc>
          <w:tcPr>
            <w:tcW w:type="dxa" w:w="44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Application chaos</w:t>
            </w:r>
          </w:p>
        </w:tc>
        <w:tc>
          <w:tcPr>
            <w:tcW w:type="dxa" w:w="27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i w:val="false"/>
                <w:iCs w:val="false"/>
                <w:color w:val="000000"/>
                <w:sz w:val="16"/>
                <w:szCs w:val="16"/>
              </w:rPr>
              <w:t xml:space="preserve">Tracking apps via scattered notes/sheets</w:t>
            </w:r>
          </w:p>
        </w:tc>
        <w:tc>
          <w:tcPr>
            <w:tcW w:type="dxa" w:w="22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B8860B"/>
                <w:sz w:val="17"/>
                <w:szCs w:val="17"/>
              </w:rPr>
              <w:t xml:space="preserve">Medium</w:t>
            </w:r>
          </w:p>
        </w:tc>
      </w:tr>
      <w:tr>
        <w:tc>
          <w:tcPr>
            <w:tcW w:type="dxa" w:w="44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Comparison anxiety</w:t>
            </w:r>
          </w:p>
        </w:tc>
        <w:tc>
          <w:tcPr>
            <w:tcW w:type="dxa" w:w="27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i w:val="false"/>
                <w:iCs w:val="false"/>
                <w:color w:val="000000"/>
                <w:sz w:val="16"/>
                <w:szCs w:val="16"/>
              </w:rPr>
              <w:t xml:space="preserve">LinkedIn social comparison with no direction</w:t>
            </w:r>
          </w:p>
        </w:tc>
        <w:tc>
          <w:tcPr>
            <w:tcW w:type="dxa" w:w="22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B8860B"/>
                <w:sz w:val="17"/>
                <w:szCs w:val="17"/>
              </w:rPr>
              <w:t xml:space="preserve">Medium</w:t>
            </w:r>
          </w:p>
        </w:tc>
      </w:tr>
      <w:tr>
        <w:tc>
          <w:tcPr>
            <w:tcW w:type="dxa" w:w="44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Generic placement-cell support</w:t>
            </w:r>
          </w:p>
        </w:tc>
        <w:tc>
          <w:tcPr>
            <w:tcW w:type="dxa" w:w="27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i w:val="false"/>
                <w:iCs w:val="false"/>
                <w:color w:val="000000"/>
                <w:sz w:val="16"/>
                <w:szCs w:val="16"/>
              </w:rPr>
              <w:t xml:space="preserve">One-size-fits-all, low personal bandwidth</w:t>
            </w:r>
          </w:p>
        </w:tc>
        <w:tc>
          <w:tcPr>
            <w:tcW w:type="dxa" w:w="22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B8860B"/>
                <w:sz w:val="17"/>
                <w:szCs w:val="17"/>
              </w:rPr>
              <w:t xml:space="preserve">Medium</w:t>
            </w:r>
          </w:p>
        </w:tc>
      </w:tr>
      <w:tr>
        <w:tc>
          <w:tcPr>
            <w:tcW w:type="dxa" w:w="44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No feedback loop on rejections</w:t>
            </w:r>
          </w:p>
        </w:tc>
        <w:tc>
          <w:tcPr>
            <w:tcW w:type="dxa" w:w="27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i w:val="false"/>
                <w:iCs w:val="false"/>
                <w:color w:val="000000"/>
                <w:sz w:val="16"/>
                <w:szCs w:val="16"/>
              </w:rPr>
              <w:t xml:space="preserve">Silence after rejection — no learning signal</w:t>
            </w:r>
          </w:p>
        </w:tc>
        <w:tc>
          <w:tcPr>
            <w:tcW w:type="dxa" w:w="22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B8860B"/>
                <w:sz w:val="17"/>
                <w:szCs w:val="17"/>
              </w:rPr>
              <w:t xml:space="preserve">Medium</w:t>
            </w:r>
          </w:p>
        </w:tc>
      </w:tr>
      <w:tr>
        <w:tc>
          <w:tcPr>
            <w:tcW w:type="dxa" w:w="44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Slow, fragmented tooling</w:t>
            </w:r>
          </w:p>
        </w:tc>
        <w:tc>
          <w:tcPr>
            <w:tcW w:type="dxa" w:w="27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i w:val="false"/>
                <w:iCs w:val="false"/>
                <w:color w:val="000000"/>
                <w:sz w:val="16"/>
                <w:szCs w:val="16"/>
              </w:rPr>
              <w:t xml:space="preserve">4-6 disconnected tools for one journey</w:t>
            </w:r>
          </w:p>
        </w:tc>
        <w:tc>
          <w:tcPr>
            <w:tcW w:type="dxa" w:w="22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B8860B"/>
                <w:sz w:val="17"/>
                <w:szCs w:val="17"/>
              </w:rPr>
              <w:t xml:space="preserve">Medium</w:t>
            </w:r>
          </w:p>
        </w:tc>
      </w:tr>
    </w:tbl>
    <w:p>
      <w:pPr>
        <w:pStyle w:val="Heading1"/>
      </w:pPr>
      <w:r>
        <w:t xml:space="preserve">Customer Journey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Awareness</w:t>
            </w:r>
          </w:p>
        </w:tc>
        <w:tc>
          <w:tcPr>
            <w:tcW w:type="dxa" w:w="234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Consideration</w:t>
            </w:r>
          </w:p>
        </w:tc>
        <w:tc>
          <w:tcPr>
            <w:tcW w:type="dxa" w:w="234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Purchase</w:t>
            </w:r>
          </w:p>
        </w:tc>
        <w:tc>
          <w:tcPr>
            <w:tcW w:type="dxa" w:w="234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Retention</w:t>
            </w:r>
          </w:p>
        </w:tc>
      </w:tr>
      <w:tr>
        <w:tc>
          <w:tcPr>
            <w:tcW w:type="dxa" w:w="234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i w:val="false"/>
                <w:iCs w:val="false"/>
                <w:color w:val="000000"/>
                <w:sz w:val="16"/>
                <w:szCs w:val="16"/>
              </w:rPr>
              <w:t xml:space="preserve">Sees peer success story / short-form content on resume hacks or ATS scoring</w:t>
            </w:r>
          </w:p>
        </w:tc>
        <w:tc>
          <w:tcPr>
            <w:tcW w:type="dxa" w:w="234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i w:val="false"/>
                <w:iCs w:val="false"/>
                <w:color w:val="000000"/>
                <w:sz w:val="16"/>
                <w:szCs w:val="16"/>
              </w:rPr>
              <w:t xml:space="preserve">Visits app; mentally compares vs. free alternatives; checks testimonials</w:t>
            </w:r>
          </w:p>
        </w:tc>
        <w:tc>
          <w:tcPr>
            <w:tcW w:type="dxa" w:w="234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i w:val="false"/>
                <w:iCs w:val="false"/>
                <w:color w:val="000000"/>
                <w:sz w:val="16"/>
                <w:szCs w:val="16"/>
              </w:rPr>
              <w:t xml:space="preserve">Converts after free ATS score reveals issues; pays for fixes/premium mock interviews at a high-stakes moment</w:t>
            </w:r>
          </w:p>
        </w:tc>
        <w:tc>
          <w:tcPr>
            <w:tcW w:type="dxa" w:w="234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i w:val="false"/>
                <w:iCs w:val="false"/>
                <w:color w:val="000000"/>
                <w:sz w:val="16"/>
                <w:szCs w:val="16"/>
              </w:rPr>
              <w:t xml:space="preserve">Returns for roadmap, tracking, mock interviews; refers peers after a positive outcome</w:t>
            </w:r>
          </w:p>
        </w:tc>
      </w:tr>
    </w:tbl>
    <w:p>
      <w:pPr>
        <w:spacing w:after="100" w:before="0"/>
        <w:jc w:val="left"/>
      </w:pPr>
      <w:r>
        <w:rPr>
          <w:i/>
          <w:iCs/>
          <w:color w:val="44546A"/>
          <w:sz w:val="17"/>
          <w:szCs w:val="17"/>
        </w:rPr>
        <w:t xml:space="preserve">Highest-leverage moment: the free instant ATS score is the activation hook — zero friction, immediate value, natural upsell path.</w:t>
      </w:r>
    </w:p>
    <w:p>
      <w:pPr>
        <w:pStyle w:val="Heading1"/>
      </w:pPr>
      <w:r>
        <w:t xml:space="preserve">Key Customer Objections &amp; Buying Triggers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Objections</w:t>
            </w:r>
          </w:p>
        </w:tc>
        <w:tc>
          <w:tcPr>
            <w:tcW w:type="dxa" w:w="468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Buying Triggers</w:t>
            </w:r>
          </w:p>
        </w:tc>
      </w:tr>
      <w:tr>
        <w:tc>
          <w:tcPr>
            <w:tcW w:type="dxa" w:w="468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i w:val="false"/>
                <w:iCs w:val="false"/>
                <w:color w:val="000000"/>
                <w:sz w:val="16"/>
                <w:szCs w:val="16"/>
              </w:rPr>
              <w:t xml:space="preserve">“ChatGPT/YouTube is free” — compete on structure &amp; personalization, not content access</w:t>
            </w:r>
          </w:p>
        </w:tc>
        <w:tc>
          <w:tcPr>
            <w:tcW w:type="dxa" w:w="468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i w:val="false"/>
                <w:iCs w:val="false"/>
                <w:color w:val="000000"/>
                <w:sz w:val="16"/>
                <w:szCs w:val="16"/>
              </w:rPr>
              <w:t xml:space="preserve">Placement season approaching — acute time pressure drives action</w:t>
            </w:r>
          </w:p>
        </w:tc>
      </w:tr>
      <w:tr>
        <w:tc>
          <w:tcPr>
            <w:tcW w:type="dxa" w:w="468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i w:val="false"/>
                <w:iCs w:val="false"/>
                <w:color w:val="000000"/>
                <w:sz w:val="16"/>
                <w:szCs w:val="16"/>
              </w:rPr>
              <w:t xml:space="preserve">“I can't afford this” — freemium must be strong; charge only at high-stakes moments</w:t>
            </w:r>
          </w:p>
        </w:tc>
        <w:tc>
          <w:tcPr>
            <w:tcW w:type="dxa" w:w="468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i w:val="false"/>
                <w:iCs w:val="false"/>
                <w:color w:val="000000"/>
                <w:sz w:val="16"/>
                <w:szCs w:val="16"/>
              </w:rPr>
              <w:t xml:space="preserve">Rejection from a desired company — emotional trigger for active search</w:t>
            </w:r>
          </w:p>
        </w:tc>
      </w:tr>
      <w:tr>
        <w:tc>
          <w:tcPr>
            <w:tcW w:type="dxa" w:w="468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i w:val="false"/>
                <w:iCs w:val="false"/>
                <w:color w:val="000000"/>
                <w:sz w:val="16"/>
                <w:szCs w:val="16"/>
              </w:rPr>
              <w:t xml:space="preserve">“Will this actually help me get a job?” — lead with visible outcomes, not features</w:t>
            </w:r>
          </w:p>
        </w:tc>
        <w:tc>
          <w:tcPr>
            <w:tcW w:type="dxa" w:w="468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i w:val="false"/>
                <w:iCs w:val="false"/>
                <w:color w:val="000000"/>
                <w:sz w:val="16"/>
                <w:szCs w:val="16"/>
              </w:rPr>
              <w:t xml:space="preserve">Peer success story — strongest social-proof trigger in this demographic</w:t>
            </w:r>
          </w:p>
        </w:tc>
      </w:tr>
      <w:tr>
        <w:tc>
          <w:tcPr>
            <w:tcW w:type="dxa" w:w="468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i w:val="false"/>
                <w:iCs w:val="false"/>
                <w:color w:val="000000"/>
                <w:sz w:val="16"/>
                <w:szCs w:val="16"/>
              </w:rPr>
              <w:t xml:space="preserve">“My placement cell already does this” — differentiate on 24/7 personalization</w:t>
            </w:r>
          </w:p>
        </w:tc>
        <w:tc>
          <w:tcPr>
            <w:tcW w:type="dxa" w:w="468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i w:val="false"/>
                <w:iCs w:val="false"/>
                <w:color w:val="000000"/>
                <w:sz w:val="16"/>
                <w:szCs w:val="16"/>
              </w:rPr>
              <w:t xml:space="preserve">Free instant value (ATS score) — converts curiosity before any payment ask</w:t>
            </w:r>
          </w:p>
        </w:tc>
      </w:tr>
      <w:tr>
        <w:tc>
          <w:tcPr>
            <w:tcW w:type="dxa" w:w="468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i w:val="false"/>
                <w:iCs w:val="false"/>
                <w:color w:val="000000"/>
                <w:sz w:val="16"/>
                <w:szCs w:val="16"/>
              </w:rPr>
              <w:t xml:space="preserve">“Is my data safe?” — be explicit and visible about privacy practices</w:t>
            </w:r>
          </w:p>
        </w:tc>
        <w:tc>
          <w:tcPr>
            <w:tcW w:type="dxa" w:w="468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i w:val="false"/>
                <w:iCs w:val="false"/>
                <w:color w:val="000000"/>
                <w:sz w:val="16"/>
                <w:szCs w:val="16"/>
              </w:rPr>
              <w:t xml:space="preserve">College/institute endorsement — transfers institutional trust</w:t>
            </w:r>
          </w:p>
        </w:tc>
      </w:tr>
    </w:tbl>
    <w:p>
      <w:pPr>
        <w:pStyle w:val="Heading1"/>
      </w:pPr>
      <w:r>
        <w:t xml:space="preserve">MVP Recommendation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7020"/>
      </w:tblGrid>
      <w:tr>
        <w:tc>
          <w:tcPr>
            <w:tcW w:type="dxa" w:w="234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Build First</w:t>
            </w:r>
          </w:p>
        </w:tc>
        <w:tc>
          <w:tcPr>
            <w:tcW w:type="dxa" w:w="702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i w:val="false"/>
                <w:iCs w:val="false"/>
                <w:color w:val="000000"/>
                <w:sz w:val="17"/>
                <w:szCs w:val="17"/>
              </w:rPr>
              <w:t xml:space="preserve">AI-powered ATS Resume Score &amp; Checker — instant, free, single-purpose. It is the lowest-friction activation hook and the highest-intent feature validated by the persona's stated #1 frustration.</w:t>
            </w:r>
          </w:p>
        </w:tc>
      </w:tr>
      <w:tr>
        <w:tc>
          <w:tcPr>
            <w:tcW w:type="dxa" w:w="234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Do NOT Build</w:t>
            </w:r>
          </w:p>
        </w:tc>
        <w:tc>
          <w:tcPr>
            <w:tcW w:type="dxa" w:w="702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i w:val="false"/>
                <w:iCs w:val="false"/>
                <w:color w:val="000000"/>
                <w:sz w:val="17"/>
                <w:szCs w:val="17"/>
              </w:rPr>
              <w:t xml:space="preserve">Full 5-feature suite (roadmap engine, interview AI, application tracker, institutional dashboard) before validating demand. Avoid custom AI model training — use established LLM APIs. Avoid building B2B2C institutional tooling before securing a single pilot conversation.</w:t>
            </w:r>
          </w:p>
        </w:tc>
      </w:tr>
      <w:tr>
        <w:tc>
          <w:tcPr>
            <w:tcW w:type="dxa" w:w="234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Success Metrics</w:t>
            </w:r>
          </w:p>
        </w:tc>
        <w:tc>
          <w:tcPr>
            <w:tcW w:type="dxa" w:w="702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i w:val="false"/>
                <w:iCs w:val="false"/>
                <w:color w:val="000000"/>
                <w:sz w:val="17"/>
                <w:szCs w:val="17"/>
              </w:rPr>
              <w:t xml:space="preserve">50+ unique resume uploads in 30 days  •  ≥30% return for a 2nd session within a week  •  ≥10% of users say they'd pay for a fix/upgrade  •  10+ pre-orders/deposits collected</w:t>
            </w:r>
          </w:p>
        </w:tc>
      </w:tr>
    </w:tbl>
    <w:p>
      <w:pPr>
        <w:pStyle w:val="Heading1"/>
      </w:pPr>
      <w:r>
        <w:t xml:space="preserve">MoSCoW Prioritization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80"/>
        <w:gridCol w:w="7280"/>
      </w:tblGrid>
      <w:tr>
        <w:tc>
          <w:tcPr>
            <w:tcW w:type="dxa" w:w="208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Priority</w:t>
            </w:r>
          </w:p>
        </w:tc>
        <w:tc>
          <w:tcPr>
            <w:tcW w:type="dxa" w:w="728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Items</w:t>
            </w:r>
          </w:p>
        </w:tc>
      </w:tr>
      <w:tr>
        <w:tc>
          <w:tcPr>
            <w:tcW w:type="dxa" w:w="208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MUST HAVE</w:t>
            </w:r>
          </w:p>
        </w:tc>
        <w:tc>
          <w:tcPr>
            <w:tcW w:type="dxa" w:w="728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i w:val="false"/>
                <w:iCs w:val="false"/>
                <w:color w:val="000000"/>
                <w:sz w:val="16"/>
                <w:szCs w:val="16"/>
              </w:rPr>
              <w:t xml:space="preserve">AI ATS resume score/checker  •  Mobile-first responsive UI  •  Resume upload &amp; parsing  •  Basic freemium gate (free score, paid detailed fixes)</w:t>
            </w:r>
          </w:p>
        </w:tc>
      </w:tr>
      <w:tr>
        <w:tc>
          <w:tcPr>
            <w:tcW w:type="dxa" w:w="208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3A5A8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SHOULD HAVE</w:t>
            </w:r>
          </w:p>
        </w:tc>
        <w:tc>
          <w:tcPr>
            <w:tcW w:type="dxa" w:w="728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i w:val="false"/>
                <w:iCs w:val="false"/>
                <w:color w:val="000000"/>
                <w:sz w:val="16"/>
                <w:szCs w:val="16"/>
              </w:rPr>
              <w:t xml:space="preserve">Role-specific learning roadmap (generated, not just static)  •  Application tracker  •  Email/WhatsApp notifications for follow-ups</w:t>
            </w:r>
          </w:p>
        </w:tc>
      </w:tr>
      <w:tr>
        <w:tc>
          <w:tcPr>
            <w:tcW w:type="dxa" w:w="208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B8860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COULD HAVE</w:t>
            </w:r>
          </w:p>
        </w:tc>
        <w:tc>
          <w:tcPr>
            <w:tcW w:type="dxa" w:w="728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i w:val="false"/>
                <w:iCs w:val="false"/>
                <w:color w:val="000000"/>
                <w:sz w:val="16"/>
                <w:szCs w:val="16"/>
              </w:rPr>
              <w:t xml:space="preserve">AI mock interview simulator  •  Peer community/cohort features  •  LinkedIn profile optimizer  •  Institutional (B2B2C) dashboard</w:t>
            </w:r>
          </w:p>
        </w:tc>
      </w:tr>
      <w:tr>
        <w:tc>
          <w:tcPr>
            <w:tcW w:type="dxa" w:w="208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8A8A8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WON'T HAVE (v1)</w:t>
            </w:r>
          </w:p>
        </w:tc>
        <w:tc>
          <w:tcPr>
            <w:tcW w:type="dxa" w:w="728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i w:val="false"/>
                <w:iCs w:val="false"/>
                <w:color w:val="000000"/>
                <w:sz w:val="16"/>
                <w:szCs w:val="16"/>
              </w:rPr>
              <w:t xml:space="preserve">Custom-trained AI models  •  Multi-language/vernacular support  •  Global/non-India market features  •  Native mobile app (web-first instead)</w:t>
            </w:r>
          </w:p>
        </w:tc>
      </w:tr>
    </w:tbl>
    <w:p>
      <w:pPr>
        <w:pStyle w:val="Heading1"/>
      </w:pPr>
      <w:r>
        <w:t xml:space="preserve">Pricing Hypothesis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Tier</w:t>
            </w:r>
          </w:p>
        </w:tc>
        <w:tc>
          <w:tcPr>
            <w:tcW w:type="dxa" w:w="312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Price</w:t>
            </w:r>
          </w:p>
        </w:tc>
        <w:tc>
          <w:tcPr>
            <w:tcW w:type="dxa" w:w="312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What's Included</w:t>
            </w:r>
          </w:p>
        </w:tc>
      </w:tr>
      <w:tr>
        <w:tc>
          <w:tcPr>
            <w:tcW w:type="dxa" w:w="312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Free</w:t>
            </w:r>
          </w:p>
        </w:tc>
        <w:tc>
          <w:tcPr>
            <w:tcW w:type="dxa" w:w="312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i w:val="false"/>
                <w:iCs w:val="false"/>
                <w:color w:val="000000"/>
                <w:sz w:val="17"/>
                <w:szCs w:val="17"/>
              </w:rPr>
              <w:t xml:space="preserve">₹0</w:t>
            </w:r>
          </w:p>
        </w:tc>
        <w:tc>
          <w:tcPr>
            <w:tcW w:type="dxa" w:w="312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i w:val="false"/>
                <w:iCs w:val="false"/>
                <w:color w:val="000000"/>
                <w:sz w:val="16"/>
                <w:szCs w:val="16"/>
              </w:rPr>
              <w:t xml:space="preserve">1 ATS score check, basic feedback</w:t>
            </w:r>
          </w:p>
        </w:tc>
      </w:tr>
      <w:tr>
        <w:tc>
          <w:tcPr>
            <w:tcW w:type="dxa" w:w="312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Pro</w:t>
            </w:r>
          </w:p>
        </w:tc>
        <w:tc>
          <w:tcPr>
            <w:tcW w:type="dxa" w:w="312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i w:val="false"/>
                <w:iCs w:val="false"/>
                <w:color w:val="000000"/>
                <w:sz w:val="17"/>
                <w:szCs w:val="17"/>
              </w:rPr>
              <w:t xml:space="preserve">₹299–₹599/mo</w:t>
            </w:r>
          </w:p>
        </w:tc>
        <w:tc>
          <w:tcPr>
            <w:tcW w:type="dxa" w:w="312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i w:val="false"/>
                <w:iCs w:val="false"/>
                <w:color w:val="000000"/>
                <w:sz w:val="16"/>
                <w:szCs w:val="16"/>
              </w:rPr>
              <w:t xml:space="preserve">Unlimited checks, detailed fixes, roadmap</w:t>
            </w:r>
          </w:p>
        </w:tc>
      </w:tr>
      <w:tr>
        <w:tc>
          <w:tcPr>
            <w:tcW w:type="dxa" w:w="312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Founder's Deal</w:t>
            </w:r>
          </w:p>
        </w:tc>
        <w:tc>
          <w:tcPr>
            <w:tcW w:type="dxa" w:w="312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i w:val="false"/>
                <w:iCs w:val="false"/>
                <w:color w:val="000000"/>
                <w:sz w:val="17"/>
                <w:szCs w:val="17"/>
              </w:rPr>
              <w:t xml:space="preserve">₹199 deposit</w:t>
            </w:r>
          </w:p>
        </w:tc>
        <w:tc>
          <w:tcPr>
            <w:tcW w:type="dxa" w:w="312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i w:val="false"/>
                <w:iCs w:val="false"/>
                <w:color w:val="000000"/>
                <w:sz w:val="16"/>
                <w:szCs w:val="16"/>
              </w:rPr>
              <w:t xml:space="preserve">Early access + lifetime discount</w:t>
            </w:r>
          </w:p>
        </w:tc>
      </w:tr>
    </w:tbl>
    <w:p>
      <w:pPr>
        <w:spacing w:after="100" w:before="0"/>
        <w:jc w:val="left"/>
      </w:pPr>
      <w:r>
        <w:rPr>
          <w:i/>
          <w:iCs/>
          <w:color w:val="44546A"/>
          <w:sz w:val="16"/>
          <w:szCs w:val="16"/>
        </w:rPr>
        <w:t xml:space="preserve">Hypothesis to test, not a final price: target 3-6% free-to-paid conversion (student freemium EdTech benchmark).</w:t>
      </w:r>
    </w:p>
    <w:p>
      <w:pPr>
        <w:pStyle w:val="Heading1"/>
      </w:pPr>
      <w:r>
        <w:t xml:space="preserve">Top 5 Risks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00"/>
        <w:gridCol w:w="1100"/>
        <w:gridCol w:w="1100"/>
        <w:gridCol w:w="4260"/>
      </w:tblGrid>
      <w:tr>
        <w:tc>
          <w:tcPr>
            <w:tcW w:type="dxa" w:w="29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Risk</w:t>
            </w:r>
          </w:p>
        </w:tc>
        <w:tc>
          <w:tcPr>
            <w:tcW w:type="dxa" w:w="11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Likely</w:t>
            </w:r>
          </w:p>
        </w:tc>
        <w:tc>
          <w:tcPr>
            <w:tcW w:type="dxa" w:w="11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Impact</w:t>
            </w:r>
          </w:p>
        </w:tc>
        <w:tc>
          <w:tcPr>
            <w:tcW w:type="dxa" w:w="42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Mitigation</w:t>
            </w:r>
          </w:p>
        </w:tc>
      </w:tr>
      <w:tr>
        <w:tc>
          <w:tcPr>
            <w:tcW w:type="dxa" w:w="29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000000"/>
                <w:sz w:val="16"/>
                <w:szCs w:val="16"/>
              </w:rPr>
              <w:t xml:space="preserve">Willingness-to-pay risk</w:t>
            </w:r>
          </w:p>
        </w:tc>
        <w:tc>
          <w:tcPr>
            <w:tcW w:type="dxa" w:w="11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B33A3A"/>
                <w:sz w:val="16"/>
                <w:szCs w:val="16"/>
              </w:rPr>
              <w:t xml:space="preserve">High</w:t>
            </w:r>
          </w:p>
        </w:tc>
        <w:tc>
          <w:tcPr>
            <w:tcW w:type="dxa" w:w="11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B33A3A"/>
                <w:sz w:val="16"/>
                <w:szCs w:val="16"/>
              </w:rPr>
              <w:t xml:space="preserve">High</w:t>
            </w:r>
          </w:p>
        </w:tc>
        <w:tc>
          <w:tcPr>
            <w:tcW w:type="dxa" w:w="42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i w:val="false"/>
                <w:iCs w:val="false"/>
                <w:color w:val="000000"/>
                <w:sz w:val="16"/>
                <w:szCs w:val="16"/>
              </w:rPr>
              <w:t xml:space="preserve">Validate via real pre-orders/deposits, not surveys</w:t>
            </w:r>
          </w:p>
        </w:tc>
      </w:tr>
      <w:tr>
        <w:tc>
          <w:tcPr>
            <w:tcW w:type="dxa" w:w="29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000000"/>
                <w:sz w:val="16"/>
                <w:szCs w:val="16"/>
              </w:rPr>
              <w:t xml:space="preserve">Crowded, fragmented category</w:t>
            </w:r>
          </w:p>
        </w:tc>
        <w:tc>
          <w:tcPr>
            <w:tcW w:type="dxa" w:w="11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B33A3A"/>
                <w:sz w:val="16"/>
                <w:szCs w:val="16"/>
              </w:rPr>
              <w:t xml:space="preserve">High</w:t>
            </w:r>
          </w:p>
        </w:tc>
        <w:tc>
          <w:tcPr>
            <w:tcW w:type="dxa" w:w="11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B8860B"/>
                <w:sz w:val="16"/>
                <w:szCs w:val="16"/>
              </w:rPr>
              <w:t xml:space="preserve">Medium</w:t>
            </w:r>
          </w:p>
        </w:tc>
        <w:tc>
          <w:tcPr>
            <w:tcW w:type="dxa" w:w="42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i w:val="false"/>
                <w:iCs w:val="false"/>
                <w:color w:val="000000"/>
                <w:sz w:val="16"/>
                <w:szCs w:val="16"/>
              </w:rPr>
              <w:t xml:space="preserve">Win on India pricing + localization, not feature count</w:t>
            </w:r>
          </w:p>
        </w:tc>
      </w:tr>
      <w:tr>
        <w:tc>
          <w:tcPr>
            <w:tcW w:type="dxa" w:w="29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000000"/>
                <w:sz w:val="16"/>
                <w:szCs w:val="16"/>
              </w:rPr>
              <w:t xml:space="preserve">Brand-name collision (career-copilot.in)</w:t>
            </w:r>
          </w:p>
        </w:tc>
        <w:tc>
          <w:tcPr>
            <w:tcW w:type="dxa" w:w="11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B33A3A"/>
                <w:sz w:val="16"/>
                <w:szCs w:val="16"/>
              </w:rPr>
              <w:t xml:space="preserve">High</w:t>
            </w:r>
          </w:p>
        </w:tc>
        <w:tc>
          <w:tcPr>
            <w:tcW w:type="dxa" w:w="11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B8860B"/>
                <w:sz w:val="16"/>
                <w:szCs w:val="16"/>
              </w:rPr>
              <w:t xml:space="preserve">Medium</w:t>
            </w:r>
          </w:p>
        </w:tc>
        <w:tc>
          <w:tcPr>
            <w:tcW w:type="dxa" w:w="42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i w:val="false"/>
                <w:iCs w:val="false"/>
                <w:color w:val="000000"/>
                <w:sz w:val="16"/>
                <w:szCs w:val="16"/>
              </w:rPr>
              <w:t xml:space="preserve">Rename before further marketing investment</w:t>
            </w:r>
          </w:p>
        </w:tc>
      </w:tr>
      <w:tr>
        <w:tc>
          <w:tcPr>
            <w:tcW w:type="dxa" w:w="29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000000"/>
                <w:sz w:val="16"/>
                <w:szCs w:val="16"/>
              </w:rPr>
              <w:t xml:space="preserve">Technical execution unproven (no MVP yet)</w:t>
            </w:r>
          </w:p>
        </w:tc>
        <w:tc>
          <w:tcPr>
            <w:tcW w:type="dxa" w:w="11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B8860B"/>
                <w:sz w:val="16"/>
                <w:szCs w:val="16"/>
              </w:rPr>
              <w:t xml:space="preserve">Medium</w:t>
            </w:r>
          </w:p>
        </w:tc>
        <w:tc>
          <w:tcPr>
            <w:tcW w:type="dxa" w:w="11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B33A3A"/>
                <w:sz w:val="16"/>
                <w:szCs w:val="16"/>
              </w:rPr>
              <w:t xml:space="preserve">High</w:t>
            </w:r>
          </w:p>
        </w:tc>
        <w:tc>
          <w:tcPr>
            <w:tcW w:type="dxa" w:w="42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i w:val="false"/>
                <w:iCs w:val="false"/>
                <w:color w:val="000000"/>
                <w:sz w:val="16"/>
                <w:szCs w:val="16"/>
              </w:rPr>
              <w:t xml:space="preserve">Use existing LLM APIs; ship narrow scope first</w:t>
            </w:r>
          </w:p>
        </w:tc>
      </w:tr>
      <w:tr>
        <w:tc>
          <w:tcPr>
            <w:tcW w:type="dxa" w:w="29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000000"/>
                <w:sz w:val="16"/>
                <w:szCs w:val="16"/>
              </w:rPr>
              <w:t xml:space="preserve">Solo-founder execution bandwidth</w:t>
            </w:r>
          </w:p>
        </w:tc>
        <w:tc>
          <w:tcPr>
            <w:tcW w:type="dxa" w:w="11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B8860B"/>
                <w:sz w:val="16"/>
                <w:szCs w:val="16"/>
              </w:rPr>
              <w:t xml:space="preserve">Medium</w:t>
            </w:r>
          </w:p>
        </w:tc>
        <w:tc>
          <w:tcPr>
            <w:tcW w:type="dxa" w:w="11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B33A3A"/>
                <w:sz w:val="16"/>
                <w:szCs w:val="16"/>
              </w:rPr>
              <w:t xml:space="preserve">High</w:t>
            </w:r>
          </w:p>
        </w:tc>
        <w:tc>
          <w:tcPr>
            <w:tcW w:type="dxa" w:w="42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i w:val="false"/>
                <w:iCs w:val="false"/>
                <w:color w:val="000000"/>
                <w:sz w:val="16"/>
                <w:szCs w:val="16"/>
              </w:rPr>
              <w:t xml:space="preserve">Find technical co-founder or use AI-assisted dev</w:t>
            </w:r>
          </w:p>
        </w:tc>
      </w:tr>
    </w:tbl>
    <w:p>
      <w:pPr>
        <w:pStyle w:val="Heading1"/>
      </w:pPr>
      <w:r>
        <w:t xml:space="preserve">30-Day MVP Plan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1660"/>
        <w:gridCol w:w="6600"/>
      </w:tblGrid>
      <w:tr>
        <w:tc>
          <w:tcPr>
            <w:tcW w:type="dxa" w:w="11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Week</w:t>
            </w:r>
          </w:p>
        </w:tc>
        <w:tc>
          <w:tcPr>
            <w:tcW w:type="dxa" w:w="16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Focus</w:t>
            </w:r>
          </w:p>
        </w:tc>
        <w:tc>
          <w:tcPr>
            <w:tcW w:type="dxa" w:w="66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Key Tasks</w:t>
            </w:r>
          </w:p>
        </w:tc>
      </w:tr>
      <w:tr>
        <w:tc>
          <w:tcPr>
            <w:tcW w:type="dxa" w:w="11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1</w:t>
            </w:r>
          </w:p>
        </w:tc>
        <w:tc>
          <w:tcPr>
            <w:tcW w:type="dxa" w:w="16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1B2A4A"/>
                <w:sz w:val="16"/>
                <w:szCs w:val="16"/>
              </w:rPr>
              <w:t xml:space="preserve">Validate</w:t>
            </w:r>
          </w:p>
        </w:tc>
        <w:tc>
          <w:tcPr>
            <w:tcW w:type="dxa" w:w="66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i w:val="false"/>
                <w:iCs w:val="false"/>
                <w:color w:val="000000"/>
                <w:sz w:val="16"/>
                <w:szCs w:val="16"/>
              </w:rPr>
              <w:t xml:space="preserve">20-30 structured interviews • finalize distinct brand name • launch landing page + waitlist</w:t>
            </w:r>
          </w:p>
        </w:tc>
      </w:tr>
      <w:tr>
        <w:tc>
          <w:tcPr>
            <w:tcW w:type="dxa" w:w="11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2</w:t>
            </w:r>
          </w:p>
        </w:tc>
        <w:tc>
          <w:tcPr>
            <w:tcW w:type="dxa" w:w="16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1B2A4A"/>
                <w:sz w:val="16"/>
                <w:szCs w:val="16"/>
              </w:rPr>
              <w:t xml:space="preserve">Build Hook</w:t>
            </w:r>
          </w:p>
        </w:tc>
        <w:tc>
          <w:tcPr>
            <w:tcW w:type="dxa" w:w="66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i w:val="false"/>
                <w:iCs w:val="false"/>
                <w:color w:val="000000"/>
                <w:sz w:val="16"/>
                <w:szCs w:val="16"/>
              </w:rPr>
              <w:t xml:space="preserve">Build ATS resume score MVP • launch waitlist via student channels • open 3-5 institutional conversations</w:t>
            </w:r>
          </w:p>
        </w:tc>
      </w:tr>
      <w:tr>
        <w:tc>
          <w:tcPr>
            <w:tcW w:type="dxa" w:w="11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3</w:t>
            </w:r>
          </w:p>
        </w:tc>
        <w:tc>
          <w:tcPr>
            <w:tcW w:type="dxa" w:w="16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1B2A4A"/>
                <w:sz w:val="16"/>
                <w:szCs w:val="16"/>
              </w:rPr>
              <w:t xml:space="preserve">Test</w:t>
            </w:r>
          </w:p>
        </w:tc>
        <w:tc>
          <w:tcPr>
            <w:tcW w:type="dxa" w:w="66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i w:val="false"/>
                <w:iCs w:val="false"/>
                <w:color w:val="000000"/>
                <w:sz w:val="16"/>
                <w:szCs w:val="16"/>
              </w:rPr>
              <w:t xml:space="preserve">Get 30-50 real students using MVP • test ₹199 deposit pre-order • log every objection raised</w:t>
            </w:r>
          </w:p>
        </w:tc>
      </w:tr>
      <w:tr>
        <w:tc>
          <w:tcPr>
            <w:tcW w:type="dxa" w:w="11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4</w:t>
            </w:r>
          </w:p>
        </w:tc>
        <w:tc>
          <w:tcPr>
            <w:tcW w:type="dxa" w:w="16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1B2A4A"/>
                <w:sz w:val="16"/>
                <w:szCs w:val="16"/>
              </w:rPr>
              <w:t xml:space="preserve">Decide</w:t>
            </w:r>
          </w:p>
        </w:tc>
        <w:tc>
          <w:tcPr>
            <w:tcW w:type="dxa" w:w="66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i w:val="false"/>
                <w:iCs w:val="false"/>
                <w:color w:val="000000"/>
                <w:sz w:val="16"/>
                <w:szCs w:val="16"/>
              </w:rPr>
              <w:t xml:space="preserve">Compare results to Go/No-Go thresholds • scope next feature or pivot per findings</w:t>
            </w:r>
          </w:p>
        </w:tc>
      </w:tr>
    </w:tbl>
    <w:p>
      <w:pPr>
        <w:pStyle w:val="Heading1"/>
      </w:pPr>
      <w:r>
        <w:t xml:space="preserve">Founder Action Sheet — Top 10 Next Actions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0"/>
        <w:gridCol w:w="8840"/>
      </w:tblGrid>
      <w:tr>
        <w:tc>
          <w:tcPr>
            <w:tcW w:type="dxa" w:w="52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#</w:t>
            </w:r>
          </w:p>
        </w:tc>
        <w:tc>
          <w:tcPr>
            <w:tcW w:type="dxa" w:w="884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Action</w:t>
            </w:r>
          </w:p>
        </w:tc>
      </w:tr>
      <w:tr>
        <w:tc>
          <w:tcPr>
            <w:tcW w:type="dxa" w:w="52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1B2A4A"/>
                <w:sz w:val="17"/>
                <w:szCs w:val="17"/>
              </w:rPr>
              <w:t xml:space="preserve">1</w:t>
            </w:r>
          </w:p>
        </w:tc>
        <w:tc>
          <w:tcPr>
            <w:tcW w:type="dxa" w:w="884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i w:val="false"/>
                <w:iCs w:val="false"/>
                <w:color w:val="000000"/>
                <w:sz w:val="17"/>
                <w:szCs w:val="17"/>
              </w:rPr>
              <w:t xml:space="preserve">Finalize a distinct brand name (resolve overlap with career-copilot.in)</w:t>
            </w:r>
          </w:p>
        </w:tc>
      </w:tr>
      <w:tr>
        <w:tc>
          <w:tcPr>
            <w:tcW w:type="dxa" w:w="52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1B2A4A"/>
                <w:sz w:val="17"/>
                <w:szCs w:val="17"/>
              </w:rPr>
              <w:t xml:space="preserve">2</w:t>
            </w:r>
          </w:p>
        </w:tc>
        <w:tc>
          <w:tcPr>
            <w:tcW w:type="dxa" w:w="884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i w:val="false"/>
                <w:iCs w:val="false"/>
                <w:color w:val="000000"/>
                <w:sz w:val="17"/>
                <w:szCs w:val="17"/>
              </w:rPr>
              <w:t xml:space="preserve">Draft and run a 10-question structured interview script; talk to 20-30 students</w:t>
            </w:r>
          </w:p>
        </w:tc>
      </w:tr>
      <w:tr>
        <w:tc>
          <w:tcPr>
            <w:tcW w:type="dxa" w:w="52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1B2A4A"/>
                <w:sz w:val="17"/>
                <w:szCs w:val="17"/>
              </w:rPr>
              <w:t xml:space="preserve">3</w:t>
            </w:r>
          </w:p>
        </w:tc>
        <w:tc>
          <w:tcPr>
            <w:tcW w:type="dxa" w:w="884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i w:val="false"/>
                <w:iCs w:val="false"/>
                <w:color w:val="000000"/>
                <w:sz w:val="17"/>
                <w:szCs w:val="17"/>
              </w:rPr>
              <w:t xml:space="preserve">Build a 1-page landing site with a clear value prop and waitlist form</w:t>
            </w:r>
          </w:p>
        </w:tc>
      </w:tr>
      <w:tr>
        <w:tc>
          <w:tcPr>
            <w:tcW w:type="dxa" w:w="52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1B2A4A"/>
                <w:sz w:val="17"/>
                <w:szCs w:val="17"/>
              </w:rPr>
              <w:t xml:space="preserve">4</w:t>
            </w:r>
          </w:p>
        </w:tc>
        <w:tc>
          <w:tcPr>
            <w:tcW w:type="dxa" w:w="884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i w:val="false"/>
                <w:iCs w:val="false"/>
                <w:color w:val="000000"/>
                <w:sz w:val="17"/>
                <w:szCs w:val="17"/>
              </w:rPr>
              <w:t xml:space="preserve">Scope and build the AI ATS resume score MVP using an existing LLM API</w:t>
            </w:r>
          </w:p>
        </w:tc>
      </w:tr>
      <w:tr>
        <w:tc>
          <w:tcPr>
            <w:tcW w:type="dxa" w:w="52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1B2A4A"/>
                <w:sz w:val="17"/>
                <w:szCs w:val="17"/>
              </w:rPr>
              <w:t xml:space="preserve">5</w:t>
            </w:r>
          </w:p>
        </w:tc>
        <w:tc>
          <w:tcPr>
            <w:tcW w:type="dxa" w:w="884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i w:val="false"/>
                <w:iCs w:val="false"/>
                <w:color w:val="000000"/>
                <w:sz w:val="17"/>
                <w:szCs w:val="17"/>
              </w:rPr>
              <w:t xml:space="preserve">Launch waitlist across student WhatsApp groups, LinkedIn, and Instagram</w:t>
            </w:r>
          </w:p>
        </w:tc>
      </w:tr>
      <w:tr>
        <w:tc>
          <w:tcPr>
            <w:tcW w:type="dxa" w:w="52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1B2A4A"/>
                <w:sz w:val="17"/>
                <w:szCs w:val="17"/>
              </w:rPr>
              <w:t xml:space="preserve">6</w:t>
            </w:r>
          </w:p>
        </w:tc>
        <w:tc>
          <w:tcPr>
            <w:tcW w:type="dxa" w:w="884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i w:val="false"/>
                <w:iCs w:val="false"/>
                <w:color w:val="000000"/>
                <w:sz w:val="17"/>
                <w:szCs w:val="17"/>
              </w:rPr>
              <w:t xml:space="preserve">Reach out to 3-5 college placement officers for discovery conversations</w:t>
            </w:r>
          </w:p>
        </w:tc>
      </w:tr>
      <w:tr>
        <w:tc>
          <w:tcPr>
            <w:tcW w:type="dxa" w:w="52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1B2A4A"/>
                <w:sz w:val="17"/>
                <w:szCs w:val="17"/>
              </w:rPr>
              <w:t xml:space="preserve">7</w:t>
            </w:r>
          </w:p>
        </w:tc>
        <w:tc>
          <w:tcPr>
            <w:tcW w:type="dxa" w:w="884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i w:val="false"/>
                <w:iCs w:val="false"/>
                <w:color w:val="000000"/>
                <w:sz w:val="17"/>
                <w:szCs w:val="17"/>
              </w:rPr>
              <w:t xml:space="preserve">Offer a ₹199 refundable deposit / founder's deal to test real willingness to pay</w:t>
            </w:r>
          </w:p>
        </w:tc>
      </w:tr>
      <w:tr>
        <w:tc>
          <w:tcPr>
            <w:tcW w:type="dxa" w:w="52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1B2A4A"/>
                <w:sz w:val="17"/>
                <w:szCs w:val="17"/>
              </w:rPr>
              <w:t xml:space="preserve">8</w:t>
            </w:r>
          </w:p>
        </w:tc>
        <w:tc>
          <w:tcPr>
            <w:tcW w:type="dxa" w:w="884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i w:val="false"/>
                <w:iCs w:val="false"/>
                <w:color w:val="000000"/>
                <w:sz w:val="17"/>
                <w:szCs w:val="17"/>
              </w:rPr>
              <w:t xml:space="preserve">Get 30-50 real students to use the MVP and observe actual usage behavior</w:t>
            </w:r>
          </w:p>
        </w:tc>
      </w:tr>
      <w:tr>
        <w:tc>
          <w:tcPr>
            <w:tcW w:type="dxa" w:w="52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1B2A4A"/>
                <w:sz w:val="17"/>
                <w:szCs w:val="17"/>
              </w:rPr>
              <w:t xml:space="preserve">9</w:t>
            </w:r>
          </w:p>
        </w:tc>
        <w:tc>
          <w:tcPr>
            <w:tcW w:type="dxa" w:w="884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i w:val="false"/>
                <w:iCs w:val="false"/>
                <w:color w:val="000000"/>
                <w:sz w:val="17"/>
                <w:szCs w:val="17"/>
              </w:rPr>
              <w:t xml:space="preserve">Track every objection and refine messaging weekly</w:t>
            </w:r>
          </w:p>
        </w:tc>
      </w:tr>
      <w:tr>
        <w:tc>
          <w:tcPr>
            <w:tcW w:type="dxa" w:w="52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1B2A4A"/>
                <w:sz w:val="17"/>
                <w:szCs w:val="17"/>
              </w:rPr>
              <w:t xml:space="preserve">10</w:t>
            </w:r>
          </w:p>
        </w:tc>
        <w:tc>
          <w:tcPr>
            <w:tcW w:type="dxa" w:w="884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i w:val="false"/>
                <w:iCs w:val="false"/>
                <w:color w:val="000000"/>
                <w:sz w:val="17"/>
                <w:szCs w:val="17"/>
              </w:rPr>
              <w:t xml:space="preserve">Compile Day-30 results against Go/No-Go thresholds and decide: continue, pivot, or kill</w:t>
            </w:r>
          </w:p>
        </w:tc>
      </w:tr>
    </w:tbl>
    <w:p>
      <w:pPr>
        <w:pStyle w:val="Heading1"/>
      </w:pPr>
      <w:r>
        <w:t xml:space="preserve">Scores (0–100)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Customer Clarity</w:t>
            </w:r>
          </w:p>
        </w:tc>
        <w:tc>
          <w:tcPr>
            <w:tcW w:type="dxa" w:w="234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Problem Severity</w:t>
            </w:r>
          </w:p>
        </w:tc>
        <w:tc>
          <w:tcPr>
            <w:tcW w:type="dxa" w:w="234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PMF Potential</w:t>
            </w:r>
          </w:p>
        </w:tc>
        <w:tc>
          <w:tcPr>
            <w:tcW w:type="dxa" w:w="234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MVP Readiness</w:t>
            </w:r>
          </w:p>
        </w:tc>
      </w:tr>
      <w:tr>
        <w:tc>
          <w:tcPr>
            <w:tcW w:type="dxa" w:w="234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2E7D4F"/>
                <w:sz w:val="22"/>
                <w:szCs w:val="22"/>
              </w:rPr>
              <w:t xml:space="preserve">78/100</w:t>
            </w:r>
          </w:p>
        </w:tc>
        <w:tc>
          <w:tcPr>
            <w:tcW w:type="dxa" w:w="234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2E7D4F"/>
                <w:sz w:val="22"/>
                <w:szCs w:val="22"/>
              </w:rPr>
              <w:t xml:space="preserve">82/100</w:t>
            </w:r>
          </w:p>
        </w:tc>
        <w:tc>
          <w:tcPr>
            <w:tcW w:type="dxa" w:w="234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B8860B"/>
                <w:sz w:val="22"/>
                <w:szCs w:val="22"/>
              </w:rPr>
              <w:t xml:space="preserve">58/100</w:t>
            </w:r>
          </w:p>
        </w:tc>
        <w:tc>
          <w:tcPr>
            <w:tcW w:type="dxa" w:w="234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B33A3A"/>
                <w:sz w:val="22"/>
                <w:szCs w:val="22"/>
              </w:rPr>
              <w:t xml:space="preserve">45/100</w:t>
            </w:r>
          </w:p>
        </w:tc>
      </w:tr>
    </w:tbl>
    <w:p>
      <w:pPr>
        <w:spacing w:after="100" w:before="0"/>
        <w:jc w:val="left"/>
      </w:pPr>
      <w:r>
        <w:rPr>
          <w:i/>
          <w:iCs/>
          <w:color w:val="44546A"/>
          <w:sz w:val="16"/>
          <w:szCs w:val="16"/>
        </w:rPr>
        <w:t xml:space="preserve">Customer Clarity &amp; Problem Severity score high — the ICP and pain points are sharply defined and market-backed. PMF Potential and MVP Readiness are moderate-to-low because willingness-to-pay is unproven and no working product exists yet.</w:t>
      </w:r>
    </w:p>
    <w:p>
      <w:pPr>
        <w:pStyle w:val="Heading1"/>
      </w:pPr>
      <w:r>
        <w:t xml:space="preserve">Final Verdict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BF6EC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60"/>
              <w:jc w:val="center"/>
            </w:pPr>
            <w:r>
              <w:rPr>
                <w:b/>
                <w:bCs/>
                <w:color w:val="B8860B"/>
                <w:sz w:val="30"/>
                <w:szCs w:val="30"/>
              </w:rPr>
              <w:t xml:space="preserve">●  </w:t>
            </w:r>
            <w:r>
              <w:rPr>
                <w:b/>
                <w:bCs/>
                <w:color w:val="B8860B"/>
                <w:sz w:val="30"/>
                <w:szCs w:val="30"/>
              </w:rPr>
              <w:t xml:space="preserve">PROMISING BUT UNVALIDATED</w:t>
            </w:r>
          </w:p>
          <w:p>
            <w:pPr>
              <w:spacing w:after="0"/>
              <w:jc w:val="center"/>
            </w:pPr>
            <w:r>
              <w:rPr>
                <w:i/>
                <w:iCs/>
                <w:color w:val="44546A"/>
                <w:sz w:val="18"/>
                <w:szCs w:val="18"/>
              </w:rPr>
              <w:t xml:space="preserve">Strong problem &amp; customer clarity; demand and MVP execution remain unproven. Re-score after the 30-day plan.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760" w:right="860" w:bottom="760" w:left="8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9D9D9" w:sz="4" w:space="3"/>
      </w:pBdr>
      <w:tabs>
        <w:tab w:val="right" w:pos="9026"/>
      </w:tabs>
    </w:pPr>
    <w:r>
      <w:rPr>
        <w:color w:val="595959"/>
        <w:sz w:val="14"/>
        <w:szCs w:val="14"/>
      </w:rPr>
      <w:t xml:space="preserve">June 25, 2026</w:t>
    </w:r>
    <w:r>
      <w:rPr>
        <w:color w:val="595959"/>
        <w:sz w:val="14"/>
        <w:szCs w:val="14"/>
      </w:rPr>
      <w:t xml:space="preserve">	Page </w:t>
    </w:r>
    <w:r>
      <w:rPr>
        <w:color w:val="595959"/>
        <w:sz w:val="14"/>
        <w:szCs w:val="14"/>
      </w:rPr>
      <w:fldChar w:fldCharType="begin"/>
      <w:instrText xml:space="preserve">PAGE</w:instrText>
      <w:fldChar w:fldCharType="separate"/>
      <w:fldChar w:fldCharType="end"/>
    </w:r>
    <w:r>
      <w:rPr>
        <w:color w:val="595959"/>
        <w:sz w:val="14"/>
        <w:szCs w:val="14"/>
      </w:rPr>
      <w:t xml:space="preserve"> of </w:t>
    </w:r>
    <w:r>
      <w:rPr>
        <w:color w:val="595959"/>
        <w:sz w:val="14"/>
        <w:szCs w:val="14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B08D45" w:sz="4" w:space="3"/>
      </w:pBdr>
      <w:tabs>
        <w:tab w:val="right" w:pos="9026"/>
      </w:tabs>
      <w:spacing w:after="0"/>
    </w:pPr>
    <w:r>
      <w:rPr>
        <w:b/>
        <w:bCs/>
        <w:color w:val="44546A"/>
        <w:sz w:val="14"/>
        <w:szCs w:val="14"/>
      </w:rPr>
      <w:t xml:space="preserve">CareerCopilot.AI — Customer &amp; MVP Blueprint</w:t>
    </w:r>
    <w:r>
      <w:rPr>
        <w:color w:val="595959"/>
        <w:sz w:val="14"/>
        <w:szCs w:val="14"/>
      </w:rPr>
      <w:t xml:space="preserve">	CONFIDENTIAL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80" w:hanging="220"/>
      </w:pPr>
      <w:rPr>
        <w:b/>
        <w:bCs/>
        <w:color w:val="B08D45"/>
      </w:r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262626"/>
        <w:sz w:val="18"/>
        <w:szCs w:val="18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B08D45" w:sz="4" w:space="3"/>
      </w:pBdr>
      <w:spacing w:after="100" w:before="200"/>
      <w:outlineLvl w:val="0"/>
    </w:pPr>
    <w:rPr>
      <w:rFonts w:ascii="Arial" w:cs="Arial" w:eastAsia="Arial" w:hAnsi="Arial"/>
      <w:b/>
      <w:bCs/>
      <w:color w:val="0F1A30"/>
      <w:sz w:val="23"/>
      <w:szCs w:val="23"/>
    </w:rPr>
  </w:style>
  <w:style w:type="paragraph" w:styleId="Heading2">
    <w:name w:val="Heading 2"/>
    <w:basedOn w:val="Normal"/>
    <w:next w:val="Normal"/>
    <w:qFormat/>
    <w:pPr>
      <w:spacing w:after="80" w:before="140"/>
      <w:outlineLvl w:val="1"/>
    </w:pPr>
    <w:rPr>
      <w:rFonts w:ascii="Arial" w:cs="Arial" w:eastAsia="Arial" w:hAnsi="Arial"/>
      <w:b/>
      <w:bCs/>
      <w:color w:val="1B2A4A"/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CareerCopilot.AI — Customer &amp; MVP Blueprint</dc:title>
  <dc:creator>Customer &amp; MVP Blueprint Generator</dc:creator>
  <cp:lastModifiedBy>Un-named</cp:lastModifiedBy>
  <cp:revision>1</cp:revision>
  <dcterms:created xsi:type="dcterms:W3CDTF">2026-06-25T11:04:39.662Z</dcterms:created>
  <dcterms:modified xsi:type="dcterms:W3CDTF">2026-06-25T11:04:39.663Z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