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pPr>
      <w:r>
        <w:rPr>
          <w:b/>
          <w:bCs/>
          <w:color w:val="2E6FDB"/>
          <w:sz w:val="20"/>
          <w:szCs w:val="20"/>
        </w:rPr>
        <w:t xml:space="preserve">UX / PRODUCT DESIGN SPECIFICATION</w:t>
      </w:r>
    </w:p>
    <w:p>
      <w:pPr>
        <w:spacing w:after="200"/>
      </w:pPr>
      <w:r>
        <w:rPr>
          <w:b/>
          <w:bCs/>
          <w:color w:val="1B2A4A"/>
          <w:sz w:val="56"/>
          <w:szCs w:val="56"/>
        </w:rPr>
        <w:t>Purchase Order Importer — Version 2</w:t>
      </w:r>
    </w:p>
    <w:p>
      <w:pPr>
        <w:spacing w:after="60"/>
      </w:pPr>
      <w:r>
        <w:rPr>
          <w:color w:val="44546A"/>
          <w:sz w:val="26"/>
          <w:szCs w:val="26"/>
        </w:rPr>
        <w:t xml:space="preserve">Desktop Application — Python / PySide6</w:t>
      </w:r>
    </w:p>
    <w:p>
      <w:pPr>
        <w:spacing w:after="1200"/>
      </w:pPr>
      <w:r>
        <w:rPr>
          <w:i/>
          <w:iCs/>
          <w:color w:val="6B7280"/>
          <w:sz w:val="22"/>
          <w:szCs w:val="22"/>
        </w:rPr>
        <w:t xml:space="preserve">A complete interface architecture for importing Purchase Orders from Excel into Odoo ERP</w:t>
      </w:r>
    </w:p>
    <w:p>
      <w:pPr>
        <w:pBdr>
          <w:top w:val="single" w:color="D0D5DD" w:sz="4" w:space="8"/>
        </w:pBdr>
        <w:spacing w:after="40"/>
      </w:pPr>
      <w:r>
        <w:rPr>
          <w:color w:val="6B7280"/>
          <w:sz w:val="19"/>
          <w:szCs w:val="19"/>
        </w:rPr>
        <w:t xml:space="preserve">Prepared as an implementation-ready specification for frontend engineering.</w:t>
      </w:r>
    </w:p>
    <w:p>
      <w:r>
        <w:rPr>
          <w:color w:val="6B7280"/>
          <w:sz w:val="19"/>
          <w:szCs w:val="19"/>
        </w:rPr>
        <w:t xml:space="preserve">Backend treated as a stable black box — this document defines the GUI layer only.</w:t>
      </w:r>
    </w:p>
    <w:p>
      <w:r>
        <w:br w:type="page"/>
      </w:r>
    </w:p>
    <w:p>
      <w:pPr>
        <w:pStyle w:val="Heading1"/>
        <w:pBdr>
          <w:bottom w:val="single" w:color="1B2A4A" w:sz="6" w:space="4"/>
        </w:pBdr>
        <w:spacing w:after="200" w:before="480"/>
      </w:pPr>
      <w:r>
        <w:rPr>
          <w:b/>
          <w:bCs/>
          <w:color w:val="1B2A4A"/>
          <w:sz w:val="32"/>
          <w:szCs w:val="32"/>
        </w:rPr>
        <w:t xml:space="preserve">Contents</w:t>
      </w:r>
    </w:p>
    <w:p>
      <w:pPr>
        <w:spacing w:after="80"/>
      </w:pPr>
      <w:r>
        <w:rPr>
          <w:color w:val="1B2A4A"/>
          <w:sz w:val="21"/>
          <w:szCs w:val="21"/>
        </w:rPr>
        <w:t>0. Revision Summary</w:t>
      </w:r>
    </w:p>
    <w:p>
      <w:pPr>
        <w:spacing w:after="80"/>
      </w:pPr>
      <w:r>
        <w:rPr>
          <w:color w:val="1B2A4A"/>
          <w:sz w:val="21"/>
          <w:szCs w:val="21"/>
        </w:rPr>
        <w:t>1. Design Philosophy</w:t>
      </w:r>
    </w:p>
    <w:p>
      <w:pPr>
        <w:spacing w:after="80"/>
      </w:pPr>
      <w:r>
        <w:rPr>
          <w:color w:val="1B2A4A"/>
          <w:sz w:val="21"/>
          <w:szCs w:val="21"/>
        </w:rPr>
        <w:t xml:space="preserve">3. Window Layout</w:t>
      </w:r>
    </w:p>
    <w:p>
      <w:pPr>
        <w:spacing w:after="80"/>
      </w:pPr>
      <w:r>
        <w:rPr>
          <w:color w:val="1B2A4A"/>
          <w:sz w:val="21"/>
          <w:szCs w:val="21"/>
        </w:rPr>
        <w:t xml:space="preserve">4. Information Hierarchy</w:t>
      </w:r>
    </w:p>
    <w:p>
      <w:pPr>
        <w:spacing w:after="80"/>
      </w:pPr>
      <w:r>
        <w:rPr>
          <w:color w:val="1B2A4A"/>
          <w:sz w:val="21"/>
          <w:szCs w:val="21"/>
        </w:rPr>
        <w:t xml:space="preserve">5. Screen Wireframes</w:t>
      </w:r>
    </w:p>
    <w:p>
      <w:pPr>
        <w:spacing w:after="80"/>
      </w:pPr>
      <w:r>
        <w:rPr>
          <w:color w:val="1B2A4A"/>
          <w:sz w:val="21"/>
          <w:szCs w:val="21"/>
        </w:rPr>
        <w:t xml:space="preserve">6. Component Specification</w:t>
      </w:r>
    </w:p>
    <w:p>
      <w:pPr>
        <w:spacing w:after="80"/>
      </w:pPr>
      <w:r>
        <w:rPr>
          <w:color w:val="1B2A4A"/>
          <w:sz w:val="21"/>
          <w:szCs w:val="21"/>
        </w:rPr>
        <w:t xml:space="preserve">7. Import Progress Experience</w:t>
      </w:r>
    </w:p>
    <w:p>
      <w:pPr>
        <w:spacing w:after="80"/>
      </w:pPr>
      <w:r>
        <w:rPr>
          <w:color w:val="1B2A4A"/>
          <w:sz w:val="21"/>
          <w:szCs w:val="21"/>
        </w:rPr>
        <w:t xml:space="preserve">8. Success Experience</w:t>
      </w:r>
    </w:p>
    <w:p>
      <w:pPr>
        <w:spacing w:after="80"/>
      </w:pPr>
      <w:r>
        <w:rPr>
          <w:color w:val="1B2A4A"/>
          <w:sz w:val="21"/>
          <w:szCs w:val="21"/>
        </w:rPr>
        <w:t xml:space="preserve">9. Failure Experience</w:t>
      </w:r>
    </w:p>
    <w:p>
      <w:pPr>
        <w:spacing w:after="80"/>
      </w:pPr>
      <w:r>
        <w:rPr>
          <w:color w:val="1B2A4A"/>
          <w:sz w:val="21"/>
          <w:szCs w:val="21"/>
        </w:rPr>
        <w:t xml:space="preserve">10. Visual Style System</w:t>
      </w:r>
    </w:p>
    <w:p>
      <w:pPr>
        <w:spacing w:after="80"/>
      </w:pPr>
      <w:r>
        <w:rPr>
          <w:color w:val="1B2A4A"/>
          <w:sz w:val="21"/>
          <w:szCs w:val="21"/>
        </w:rPr>
        <w:t xml:space="preserve">11. Accessibility</w:t>
      </w:r>
    </w:p>
    <w:p>
      <w:pPr>
        <w:spacing w:after="80"/>
      </w:pPr>
      <w:r>
        <w:rPr>
          <w:color w:val="1B2A4A"/>
          <w:sz w:val="21"/>
          <w:szCs w:val="21"/>
        </w:rPr>
        <w:t xml:space="preserve">12. Future Scalability</w:t>
      </w:r>
    </w:p>
    <w:p>
      <w:r>
        <w:br w:type="page"/>
      </w:r>
    </w:p>
    <w:p>
      <w:r>
        <w:t>0. Revision Summary</w:t>
      </w:r>
    </w:p>
    <w:p>
      <w:r>
        <w:t>Version 2 of this specification was produced on 2026-07-20 to correct a material omission from Version 1.</w:t>
      </w:r>
    </w:p>
    <w:p>
      <w:r>
        <w:t>What changed</w:t>
      </w:r>
    </w:p>
    <w:p>
      <w:r>
        <w:t>The application's primary interaction model has been revised from individual file selection (drag-and-drop or browse) to folder-based queue processing. Users no longer locate and select individual Excel workbooks. Instead, they configure two folders — Incoming Orders and Processed Orders — and the application automatically detects pending workbooks, presents them as a scannable list, and archives completed workbooks after each successful import.</w:t>
      </w:r>
    </w:p>
    <w:p>
      <w:r>
        <w:t>Why it changed</w:t>
      </w:r>
    </w:p>
    <w:p>
      <w:r>
        <w:t>The file-picker model assumed the user already knew which file to import and where to find it. In the actual operational workflow, users process the next available Purchase Order from a shared network folder. Requiring them to navigate a file browser each time introduces friction and creates a risk of importing the wrong file or the same file twice. The folder-based model eliminates both failure modes: the application knows which files are pending, and it moves completed files out of the queue automatically.</w:t>
      </w:r>
    </w:p>
    <w:p>
      <w:r>
        <w:t>Duplicate filename recommendation</w:t>
      </w:r>
    </w:p>
    <w:p>
      <w:r>
        <w:t>When a workbook being moved to Processed Orders has the same name as an existing file there, the application appends a timestamp suffix to the incoming filename (e.g. PO_DRInternational_2026-07-20_143205.xlsx) before moving. This approach was chosen over a blocking "overwrite?" dialog because it never interrupts the post-success flow, preserves all historical files without data loss, and produces self-documenting timestamps that are useful for IT audit trails.</w:t>
      </w:r>
    </w:p>
    <w:p>
      <w:r>
        <w:t>Which sections were updated</w:t>
      </w:r>
    </w:p>
    <w:p>
      <w:pPr>
        <w:pStyle w:val="ListParagraph"/>
      </w:pPr>
      <w:r>
        <w:t>§§0 (this section) — Revision Summary added.</w:t>
      </w:r>
    </w:p>
    <w:p>
      <w:pPr>
        <w:pStyle w:val="ListParagraph"/>
      </w:pPr>
      <w:r>
        <w:t>§1.3 — "What This Design Deliberately Avoids" updated to reflect that Folder Configuration is now in scope.</w:t>
      </w:r>
    </w:p>
    <w:p>
      <w:pPr>
        <w:pStyle w:val="ListParagraph"/>
      </w:pPr>
      <w:r>
        <w:t>§2.1 — Primary Flow rewritten for the folder-based workflow.</w:t>
      </w:r>
    </w:p>
    <w:p>
      <w:pPr>
        <w:pStyle w:val="ListParagraph"/>
      </w:pPr>
      <w:r>
        <w:t>§2.2 — Edge Paths updated: file-type rejection replaced by empty-folder and first-run states; duplicate filename handling specified.</w:t>
      </w:r>
    </w:p>
    <w:p>
      <w:pPr>
        <w:pStyle w:val="ListParagraph"/>
      </w:pPr>
      <w:r>
        <w:t>§3.1 Primary Content Area — state machine updated from four states to five; Folder Scan state added.</w:t>
      </w:r>
    </w:p>
    <w:p>
      <w:pPr>
        <w:pStyle w:val="ListParagraph"/>
      </w:pPr>
      <w:r>
        <w:t>§3.1 Footer — "Configure Folders" link added.</w:t>
      </w:r>
    </w:p>
    <w:p>
      <w:pPr>
        <w:pStyle w:val="ListParagraph"/>
      </w:pPr>
      <w:r>
        <w:t>§4.1 — Information hierarchy on launch updated from drop-zone to pending order list.</w:t>
      </w:r>
    </w:p>
    <w:p>
      <w:pPr>
        <w:pStyle w:val="ListParagraph"/>
      </w:pPr>
      <w:r>
        <w:t>§4.2 — "After File Selection" renamed "After Order Selection."</w:t>
      </w:r>
    </w:p>
    <w:p>
      <w:pPr>
        <w:pStyle w:val="ListParagraph"/>
      </w:pPr>
      <w:r>
        <w:t>§4.4 — Next-step action updated: "Import Another File" → "Import Next Order"; auto-move confirmation added.</w:t>
      </w:r>
    </w:p>
    <w:p>
      <w:pPr>
        <w:pStyle w:val="ListParagraph"/>
      </w:pPr>
      <w:r>
        <w:t>§5.1 — Empty State wireframe replaced with Folder Scan State wireframe.</w:t>
      </w:r>
    </w:p>
    <w:p>
      <w:pPr>
        <w:pStyle w:val="ListParagraph"/>
      </w:pPr>
      <w:r>
        <w:t>§5.2 — Ready State wireframe updated (source is the folder, not a file picker).</w:t>
      </w:r>
    </w:p>
    <w:p>
      <w:pPr>
        <w:pStyle w:val="ListParagraph"/>
      </w:pPr>
      <w:r>
        <w:t>§5.4 — Success State wireframe updated with move confirmation and "Import Next Order" button.</w:t>
      </w:r>
    </w:p>
    <w:p>
      <w:pPr>
        <w:pStyle w:val="ListParagraph"/>
      </w:pPr>
      <w:r>
        <w:t>§5.5 — Failure State wireframe updated with "Workbook remains in Incoming Orders" notice and "Back to Order List" button.</w:t>
      </w:r>
    </w:p>
    <w:p>
      <w:pPr>
        <w:pStyle w:val="ListParagraph"/>
      </w:pPr>
      <w:r>
        <w:t>§6.2 — File Drop Zone component replaced with Pending Order List specification.</w:t>
      </w:r>
    </w:p>
    <w:p>
      <w:pPr>
        <w:pStyle w:val="ListParagraph"/>
      </w:pPr>
      <w:r>
        <w:t>§6.3 — File Card renamed Order Card; drag behaviour and remove icon removed.</w:t>
      </w:r>
    </w:p>
    <w:p>
      <w:pPr>
        <w:pStyle w:val="ListParagraph"/>
      </w:pPr>
      <w:r>
        <w:t>§6.12 — Empty States updated to cover first-run and folder-empty variants.</w:t>
      </w:r>
    </w:p>
    <w:p>
      <w:pPr>
        <w:pStyle w:val="ListParagraph"/>
      </w:pPr>
      <w:r>
        <w:t>§8.2 — Success information updated: file-move confirmation added; "Import Another File" → "Import Next Order."</w:t>
      </w:r>
    </w:p>
    <w:p>
      <w:pPr>
        <w:pStyle w:val="ListParagraph"/>
      </w:pPr>
      <w:r>
        <w:t>§8.4 — After Success updated to describe queue-advance behaviour.</w:t>
      </w:r>
    </w:p>
    <w:p>
      <w:pPr>
        <w:pStyle w:val="ListParagraph"/>
      </w:pPr>
      <w:r>
        <w:t>§9.5 — Failure actions updated: "Import Another File" → "Back to Order List."</w:t>
      </w:r>
    </w:p>
    <w:p>
      <w:pPr>
        <w:pStyle w:val="ListParagraph"/>
      </w:pPr>
      <w:r>
        <w:t>§11.1 — Ctrl+O (file browse shortcut) replaced with Ctrl+R (folder re-scan).</w:t>
      </w:r>
    </w:p>
    <w:p>
      <w:pPr>
        <w:pStyle w:val="ListParagraph"/>
      </w:pPr>
      <w:r>
        <w:t>§12.2 — Folder Configuration promoted from future-scope to v2 in-scope requirement.</w:t>
      </w:r>
    </w:p>
    <w:p/>
    <w:p>
      <w:pPr>
        <w:pStyle w:val="Heading1"/>
        <w:pBdr>
          <w:bottom w:val="single" w:color="1B2A4A" w:sz="6" w:space="4"/>
        </w:pBdr>
        <w:spacing w:after="200" w:before="480"/>
      </w:pPr>
      <w:r>
        <w:rPr>
          <w:b/>
          <w:bCs/>
          <w:color w:val="1B2A4A"/>
          <w:sz w:val="32"/>
          <w:szCs w:val="32"/>
        </w:rPr>
        <w:t xml:space="preserve">1. Design Philosophy</w:t>
      </w:r>
    </w:p>
    <w:p>
      <w:pPr>
        <w:spacing w:after="240" w:line="300"/>
      </w:pPr>
      <w:r>
        <w:rPr>
          <w:i/>
          <w:iCs/>
          <w:color w:val="44546A"/>
          <w:sz w:val="22"/>
          <w:szCs w:val="22"/>
        </w:rPr>
        <w:t xml:space="preserve">The interface exists to make a technical process feel effortless for non-technical staff — and effortlessly diagnosable for IT when something goes wrong.</w:t>
      </w:r>
    </w:p>
    <w:p>
      <w:pPr>
        <w:pStyle w:val="Heading2"/>
        <w:spacing w:after="160" w:before="360"/>
      </w:pPr>
      <w:r>
        <w:rPr>
          <w:b/>
          <w:bCs/>
          <w:color w:val="1B2A4A"/>
          <w:sz w:val="26"/>
          <w:szCs w:val="26"/>
        </w:rPr>
        <w:t xml:space="preserve">1.1 Core Principles</w:t>
      </w:r>
    </w:p>
    <w:p>
      <w:pPr>
        <w:pStyle w:val="ListParagraph"/>
        <w:numPr>
          <w:ilvl w:val="0"/>
          <w:numId w:val="2"/>
        </w:numPr>
        <w:spacing w:after="100" w:line="264"/>
      </w:pPr>
      <w:r>
        <w:rPr>
          <w:b/>
          <w:bCs/>
          <w:color w:val="1A1A1A"/>
          <w:sz w:val="21"/>
          <w:szCs w:val="21"/>
        </w:rPr>
        <w:t xml:space="preserve">One task, one screen. </w:t>
      </w:r>
      <w:r>
        <w:rPr>
          <w:color w:val="1A1A1A"/>
          <w:sz w:val="21"/>
          <w:szCs w:val="21"/>
        </w:rPr>
        <w:t xml:space="preserve">The application does exactly one thing: import a Purchase Order file. There is no dashboard to navigate, no sidebar of unrelated modules. The main window IS the product. This reduces cognitive load to near zero — a new hire can use it correctly on day one without training.</w:t>
      </w:r>
    </w:p>
    <w:p>
      <w:pPr>
        <w:pStyle w:val="ListParagraph"/>
        <w:numPr>
          <w:ilvl w:val="0"/>
          <w:numId w:val="2"/>
        </w:numPr>
        <w:spacing w:after="100" w:line="264"/>
      </w:pPr>
      <w:r>
        <w:rPr>
          <w:b/>
          <w:bCs/>
          <w:color w:val="1A1A1A"/>
          <w:sz w:val="21"/>
          <w:szCs w:val="21"/>
        </w:rPr>
        <w:t xml:space="preserve">The GUI narrates, it never decides. </w:t>
      </w:r>
      <w:r>
        <w:rPr>
          <w:color w:val="1A1A1A"/>
          <w:sz w:val="21"/>
          <w:szCs w:val="21"/>
        </w:rPr>
        <w:t xml:space="preserve">Because all business logic lives in the Import Controller, the interface's only job is to faithfully represent what the backend is doing and what it returned. This shapes every decision below: no client-side validation messaging, no "smart" pre-checks, no interpretation of data — only honest presentation of controller state.</w:t>
      </w:r>
    </w:p>
    <w:p>
      <w:pPr>
        <w:pStyle w:val="ListParagraph"/>
        <w:numPr>
          <w:ilvl w:val="0"/>
          <w:numId w:val="2"/>
        </w:numPr>
        <w:spacing w:after="100" w:line="264"/>
      </w:pPr>
      <w:r>
        <w:rPr>
          <w:b/>
          <w:bCs/>
          <w:color w:val="1A1A1A"/>
          <w:sz w:val="21"/>
          <w:szCs w:val="21"/>
        </w:rPr>
        <w:t xml:space="preserve">Calm technology. </w:t>
      </w:r>
      <w:r>
        <w:rPr>
          <w:color w:val="1A1A1A"/>
          <w:sz w:val="21"/>
          <w:szCs w:val="21"/>
        </w:rPr>
        <w:t xml:space="preserve">Business operations software is used under time pressure, often by people who are not comfortable with computers. The interface should never introduce anxiety through color, motion, or ambiguity. Status is always unambiguous; errors are never cryptic by default.</w:t>
      </w:r>
    </w:p>
    <w:p>
      <w:pPr>
        <w:pStyle w:val="ListParagraph"/>
        <w:numPr>
          <w:ilvl w:val="0"/>
          <w:numId w:val="2"/>
        </w:numPr>
        <w:spacing w:after="100" w:line="264"/>
      </w:pPr>
      <w:r>
        <w:rPr>
          <w:b/>
          <w:bCs/>
          <w:color w:val="1A1A1A"/>
          <w:sz w:val="21"/>
          <w:szCs w:val="21"/>
        </w:rPr>
        <w:t xml:space="preserve">Progressive disclosure. </w:t>
      </w:r>
      <w:r>
        <w:rPr>
          <w:color w:val="1A1A1A"/>
          <w:sz w:val="21"/>
          <w:szCs w:val="21"/>
        </w:rPr>
        <w:t xml:space="preserve">Simple summary first, technical detail available on demand. A staff member sees "Import failed — 3 rows could not be matched to a product." An IT technician can expand the same result to see raw XML-RPC fault strings and row-level diagnostics. Same screen, two audiences, no mode switching.</w:t>
      </w:r>
    </w:p>
    <w:p>
      <w:pPr>
        <w:pStyle w:val="ListParagraph"/>
        <w:numPr>
          <w:ilvl w:val="0"/>
          <w:numId w:val="2"/>
        </w:numPr>
        <w:spacing w:after="100" w:line="264"/>
      </w:pPr>
      <w:r>
        <w:rPr>
          <w:b/>
          <w:bCs/>
          <w:color w:val="1A1A1A"/>
          <w:sz w:val="21"/>
          <w:szCs w:val="21"/>
        </w:rPr>
        <w:t xml:space="preserve">Predictable, not clever. </w:t>
      </w:r>
      <w:r>
        <w:rPr>
          <w:color w:val="1A1A1A"/>
          <w:sz w:val="21"/>
          <w:szCs w:val="21"/>
        </w:rPr>
        <w:t xml:space="preserve">No hidden gestures, no auto-advancing screens, no surprise dialogs. Every state transition is triggered by an explicit user action or a clearly communicated backend event. Trust is built through consistency, not delight.</w:t>
      </w:r>
    </w:p>
    <w:p>
      <w:pPr>
        <w:pStyle w:val="ListParagraph"/>
        <w:numPr>
          <w:ilvl w:val="0"/>
          <w:numId w:val="2"/>
        </w:numPr>
        <w:spacing w:after="100" w:line="264"/>
      </w:pPr>
      <w:r>
        <w:rPr>
          <w:b/>
          <w:bCs/>
          <w:color w:val="1A1A1A"/>
          <w:sz w:val="21"/>
          <w:szCs w:val="21"/>
        </w:rPr>
        <w:t xml:space="preserve">Native desktop conventions. </w:t>
      </w:r>
      <w:r>
        <w:rPr>
          <w:color w:val="1A1A1A"/>
          <w:sz w:val="21"/>
          <w:szCs w:val="21"/>
        </w:rPr>
        <w:t xml:space="preserve">This is a Windows desktop tool used daily. It should feel instantly familiar — standard title bar, standard file dialogs, standard keyboard shortcuts — rather than reinventing platform conventions the way a marketing website might.</w:t>
      </w:r>
    </w:p>
    <w:p>
      <w:pPr>
        <w:pStyle w:val="Heading2"/>
        <w:spacing w:after="160" w:before="360"/>
      </w:pPr>
      <w:r>
        <w:rPr>
          <w:b/>
          <w:bCs/>
          <w:color w:val="1B2A4A"/>
          <w:sz w:val="26"/>
          <w:szCs w:val="26"/>
        </w:rPr>
        <w:t xml:space="preserve">1.2 Reference Points</w:t>
      </w:r>
    </w:p>
    <w:p>
      <w:pPr>
        <w:spacing w:after="180" w:line="276"/>
      </w:pPr>
      <w:r>
        <w:rPr>
          <w:color w:val="1A1A1A"/>
          <w:sz w:val="21"/>
          <w:szCs w:val="21"/>
        </w:rPr>
        <w:t xml:space="preserve">The visual and interaction language draws from four products, each contributing a specific lesson:</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tblGrid>
      <w:tr>
        <w:trPr>
          <w:tblHeader/>
        </w:trPr>
        <w:tc>
          <w:tcPr>
            <w:tcW w:type="pct" w:w="50%"/>
            <w:shd w:fill="1B2A4A" w:val="clear"/>
            <w:tcMar>
              <w:top w:type="dxa" w:w="100"/>
              <w:left w:type="dxa" w:w="150"/>
              <w:bottom w:type="dxa" w:w="100"/>
              <w:right w:type="dxa" w:w="150"/>
            </w:tcMar>
          </w:tcPr>
          <w:p>
            <w:r>
              <w:rPr>
                <w:b/>
                <w:bCs/>
                <w:color w:val="FFFFFF"/>
                <w:sz w:val="19"/>
                <w:szCs w:val="19"/>
              </w:rPr>
              <w:t xml:space="preserve">Reference</w:t>
            </w:r>
          </w:p>
        </w:tc>
        <w:tc>
          <w:tcPr>
            <w:tcW w:type="pct" w:w="50%"/>
            <w:shd w:fill="1B2A4A" w:val="clear"/>
            <w:tcMar>
              <w:top w:type="dxa" w:w="100"/>
              <w:left w:type="dxa" w:w="150"/>
              <w:bottom w:type="dxa" w:w="100"/>
              <w:right w:type="dxa" w:w="150"/>
            </w:tcMar>
          </w:tcPr>
          <w:p>
            <w:r>
              <w:rPr>
                <w:b/>
                <w:bCs/>
                <w:color w:val="FFFFFF"/>
                <w:sz w:val="19"/>
                <w:szCs w:val="19"/>
              </w:rPr>
              <w:t xml:space="preserve">What it contributes to this design</w:t>
            </w:r>
          </w:p>
        </w:tc>
      </w:tr>
      <w:tr>
        <w:tc>
          <w:tcPr>
            <w:shd w:fill="FFFFFF" w:val="clear"/>
            <w:tcMar>
              <w:top w:type="dxa" w:w="100"/>
              <w:left w:type="dxa" w:w="150"/>
              <w:bottom w:type="dxa" w:w="100"/>
              <w:right w:type="dxa" w:w="150"/>
            </w:tcMar>
          </w:tcPr>
          <w:p>
            <w:pPr>
              <w:spacing w:line="250"/>
            </w:pPr>
            <w:r>
              <w:rPr>
                <w:color w:val="1A1A1A"/>
                <w:sz w:val="19"/>
                <w:szCs w:val="19"/>
              </w:rPr>
              <w:t xml:space="preserve">GitHub Desktop</w:t>
            </w:r>
          </w:p>
        </w:tc>
        <w:tc>
          <w:tcPr>
            <w:shd w:fill="FFFFFF" w:val="clear"/>
            <w:tcMar>
              <w:top w:type="dxa" w:w="100"/>
              <w:left w:type="dxa" w:w="150"/>
              <w:bottom w:type="dxa" w:w="100"/>
              <w:right w:type="dxa" w:w="150"/>
            </w:tcMar>
          </w:tcPr>
          <w:p>
            <w:pPr>
              <w:spacing w:line="250"/>
            </w:pPr>
            <w:r>
              <w:rPr>
                <w:color w:val="1A1A1A"/>
                <w:sz w:val="19"/>
                <w:szCs w:val="19"/>
              </w:rPr>
              <w:t xml:space="preserve">Calm status communication, generous whitespace, a single clear primary action per screen, monospace log output treated as a first-class citizen.</w:t>
            </w:r>
          </w:p>
        </w:tc>
      </w:tr>
      <w:tr>
        <w:tc>
          <w:tcPr>
            <w:shd w:fill="F2F3F5" w:val="clear"/>
            <w:tcMar>
              <w:top w:type="dxa" w:w="100"/>
              <w:left w:type="dxa" w:w="150"/>
              <w:bottom w:type="dxa" w:w="100"/>
              <w:right w:type="dxa" w:w="150"/>
            </w:tcMar>
          </w:tcPr>
          <w:p>
            <w:pPr>
              <w:spacing w:line="250"/>
            </w:pPr>
            <w:r>
              <w:rPr>
                <w:color w:val="1A1A1A"/>
                <w:sz w:val="19"/>
                <w:szCs w:val="19"/>
              </w:rPr>
              <w:t xml:space="preserve">Linear</w:t>
            </w:r>
          </w:p>
        </w:tc>
        <w:tc>
          <w:tcPr>
            <w:shd w:fill="F2F3F5" w:val="clear"/>
            <w:tcMar>
              <w:top w:type="dxa" w:w="100"/>
              <w:left w:type="dxa" w:w="150"/>
              <w:bottom w:type="dxa" w:w="100"/>
              <w:right w:type="dxa" w:w="150"/>
            </w:tcMar>
          </w:tcPr>
          <w:p>
            <w:pPr>
              <w:spacing w:line="250"/>
            </w:pPr>
            <w:r>
              <w:rPr>
                <w:color w:val="1A1A1A"/>
                <w:sz w:val="19"/>
                <w:szCs w:val="19"/>
              </w:rPr>
              <w:t xml:space="preserve">Restrained color use — color is reserved for meaning (status), never decoration. Sharp information hierarchy through type weight rather than boxes and borders.</w:t>
            </w:r>
          </w:p>
        </w:tc>
      </w:tr>
      <w:tr>
        <w:tc>
          <w:tcPr>
            <w:shd w:fill="FFFFFF" w:val="clear"/>
            <w:tcMar>
              <w:top w:type="dxa" w:w="100"/>
              <w:left w:type="dxa" w:w="150"/>
              <w:bottom w:type="dxa" w:w="100"/>
              <w:right w:type="dxa" w:w="150"/>
            </w:tcMar>
          </w:tcPr>
          <w:p>
            <w:pPr>
              <w:spacing w:line="250"/>
            </w:pPr>
            <w:r>
              <w:rPr>
                <w:color w:val="1A1A1A"/>
                <w:sz w:val="19"/>
                <w:szCs w:val="19"/>
              </w:rPr>
              <w:t xml:space="preserve">JetBrains IDEs</w:t>
            </w:r>
          </w:p>
        </w:tc>
        <w:tc>
          <w:tcPr>
            <w:shd w:fill="FFFFFF" w:val="clear"/>
            <w:tcMar>
              <w:top w:type="dxa" w:w="100"/>
              <w:left w:type="dxa" w:w="150"/>
              <w:bottom w:type="dxa" w:w="100"/>
              <w:right w:type="dxa" w:w="150"/>
            </w:tcMar>
          </w:tcPr>
          <w:p>
            <w:pPr>
              <w:spacing w:line="250"/>
            </w:pPr>
            <w:r>
              <w:rPr>
                <w:color w:val="1A1A1A"/>
                <w:sz w:val="19"/>
                <w:szCs w:val="19"/>
              </w:rPr>
              <w:t xml:space="preserve">Progressive disclosure pattern for error detail; collapsible technical panels that don't intimidate by default but are one click from full diagnostic depth.</w:t>
            </w:r>
          </w:p>
        </w:tc>
      </w:tr>
      <w:tr>
        <w:tc>
          <w:tcPr>
            <w:shd w:fill="F2F3F5" w:val="clear"/>
            <w:tcMar>
              <w:top w:type="dxa" w:w="100"/>
              <w:left w:type="dxa" w:w="150"/>
              <w:bottom w:type="dxa" w:w="100"/>
              <w:right w:type="dxa" w:w="150"/>
            </w:tcMar>
          </w:tcPr>
          <w:p>
            <w:pPr>
              <w:spacing w:line="250"/>
            </w:pPr>
            <w:r>
              <w:rPr>
                <w:color w:val="1A1A1A"/>
                <w:sz w:val="19"/>
                <w:szCs w:val="19"/>
              </w:rPr>
              <w:t xml:space="preserve">Microsoft Office</w:t>
            </w:r>
          </w:p>
        </w:tc>
        <w:tc>
          <w:tcPr>
            <w:shd w:fill="F2F3F5" w:val="clear"/>
            <w:tcMar>
              <w:top w:type="dxa" w:w="100"/>
              <w:left w:type="dxa" w:w="150"/>
              <w:bottom w:type="dxa" w:w="100"/>
              <w:right w:type="dxa" w:w="150"/>
            </w:tcMar>
          </w:tcPr>
          <w:p>
            <w:pPr>
              <w:spacing w:line="250"/>
            </w:pPr>
            <w:r>
              <w:rPr>
                <w:color w:val="1A1A1A"/>
                <w:sz w:val="19"/>
                <w:szCs w:val="19"/>
              </w:rPr>
              <w:t xml:space="preserve">Familiarity of interaction patterns (menus, dialogs, file pickers) so business users feel zero friction from day one.</w:t>
            </w:r>
          </w:p>
        </w:tc>
      </w:tr>
    </w:tbl>
    <w:p>
      <w:pPr>
        <w:spacing w:after="200"/>
      </w:pPr>
    </w:p>
    <w:p>
      <w:pPr>
        <w:pStyle w:val="Heading2"/>
        <w:spacing w:after="160" w:before="360"/>
      </w:pPr>
      <w:r>
        <w:rPr>
          <w:b/>
          <w:bCs/>
          <w:color w:val="1B2A4A"/>
          <w:sz w:val="26"/>
          <w:szCs w:val="26"/>
        </w:rPr>
        <w:t xml:space="preserve">1.3 What This Design Deliberately Avoids</w:t>
      </w:r>
    </w:p>
    <w:p>
      <w:pPr>
        <w:pStyle w:val="ListParagraph"/>
        <w:numPr>
          <w:ilvl w:val="0"/>
          <w:numId w:val="2"/>
        </w:numPr>
        <w:spacing w:after="100" w:line="264"/>
      </w:pPr>
      <w:r>
        <w:rPr>
          <w:color w:val="1A1A1A"/>
          <w:sz w:val="21"/>
          <w:szCs w:val="21"/>
        </w:rPr>
        <w:t xml:space="preserve">Dashboards, widgets, or panels that exist only to look sophisticated.</w:t>
      </w:r>
    </w:p>
    <w:p>
      <w:pPr>
        <w:pStyle w:val="ListParagraph"/>
        <w:numPr>
          <w:ilvl w:val="0"/>
          <w:numId w:val="2"/>
        </w:numPr>
        <w:spacing w:after="100" w:line="264"/>
      </w:pPr>
      <w:r>
        <w:rPr>
          <w:color w:val="1A1A1A"/>
          <w:sz w:val="21"/>
          <w:szCs w:val="21"/>
        </w:rPr>
        <w:t>Multi-step wizards for tasks that are fundamentally linear. The folder-scan model remains linear: scan → select order → import — no wizard framing is needed.</w:t>
      </w:r>
    </w:p>
    <w:p>
      <w:pPr>
        <w:pStyle w:val="ListParagraph"/>
        <w:numPr>
          <w:ilvl w:val="0"/>
          <w:numId w:val="2"/>
        </w:numPr>
        <w:spacing w:after="100" w:line="264"/>
      </w:pPr>
      <w:r>
        <w:rPr>
          <w:color w:val="1A1A1A"/>
          <w:sz w:val="21"/>
          <w:szCs w:val="21"/>
        </w:rPr>
        <w:t xml:space="preserve">Color used decoratively — every color on screen carries meaning.</w:t>
      </w:r>
    </w:p>
    <w:p>
      <w:pPr>
        <w:pStyle w:val="ListParagraph"/>
        <w:numPr>
          <w:ilvl w:val="0"/>
          <w:numId w:val="2"/>
        </w:numPr>
        <w:spacing w:after="100" w:line="264"/>
      </w:pPr>
      <w:r>
        <w:rPr>
          <w:color w:val="1A1A1A"/>
          <w:sz w:val="21"/>
          <w:szCs w:val="21"/>
        </w:rPr>
        <w:t xml:space="preserve">Motion for its own sake — animation is used only to communicate state change (e.g. progress), never as flourish.</w:t>
      </w:r>
    </w:p>
    <w:p>
      <w:pPr>
        <w:pStyle w:val="ListParagraph"/>
        <w:numPr>
          <w:ilvl w:val="0"/>
          <w:numId w:val="2"/>
        </w:numPr>
        <w:spacing w:after="100" w:line="264"/>
      </w:pPr>
      <w:r>
        <w:rPr>
          <w:color w:val="1A1A1A"/>
          <w:sz w:val="21"/>
          <w:szCs w:val="21"/>
        </w:rPr>
        <w:t>Settings screens for unrelated features. The Folder Configuration panel (§2, §3) is in scope precisely because folder paths are inherent to the workflow, not a preference.</w:t>
      </w:r>
    </w:p>
    <w:p>
      <w:r>
        <w:br w:type="page"/>
      </w:r>
    </w:p>
    <w:p>
      <w:pPr>
        <w:pStyle w:val="Heading1"/>
        <w:pBdr>
          <w:bottom w:val="single" w:color="1B2A4A" w:sz="6" w:space="4"/>
        </w:pBdr>
        <w:spacing w:after="200" w:before="480"/>
      </w:pPr>
      <w:r>
        <w:rPr>
          <w:b/>
          <w:bCs/>
          <w:color w:val="1B2A4A"/>
          <w:sz w:val="32"/>
          <w:szCs w:val="32"/>
        </w:rPr>
        <w:t xml:space="preserve">2. User Journey</w:t>
      </w:r>
    </w:p>
    <w:p>
      <w:pPr>
        <w:spacing w:after="180" w:line="276"/>
      </w:pPr>
      <w:r>
        <w:rPr>
          <w:color w:val="1A1A1A"/>
          <w:sz w:val="21"/>
          <w:szCs w:val="21"/>
        </w:rPr>
        <w:t xml:space="preserve">The complete journey from launch to a successful import, with the underlying intent of each step.</w:t>
      </w:r>
    </w:p>
    <w:p>
      <w:pPr>
        <w:pStyle w:val="Heading2"/>
        <w:spacing w:after="160" w:before="360"/>
      </w:pPr>
      <w:r>
        <w:rPr>
          <w:b/>
          <w:bCs/>
          <w:color w:val="1B2A4A"/>
          <w:sz w:val="26"/>
          <w:szCs w:val="26"/>
        </w:rPr>
        <w:t xml:space="preserve">2.1 Primary Flow</w:t>
      </w:r>
    </w:p>
    <w:p>
      <w:pPr>
        <w:pStyle w:val="ListParagraph"/>
        <w:numPr>
          <w:ilvl w:val="0"/>
          <w:numId w:val="3"/>
        </w:numPr>
        <w:spacing w:after="100" w:line="264"/>
      </w:pPr>
      <w:r>
        <w:rPr>
          <w:color w:val="1A1A1A"/>
          <w:sz w:val="21"/>
          <w:szCs w:val="21"/>
        </w:rPr>
        <w:t>Launch — The app opens to the Folder Scan View: a list of pending Purchase Order workbooks found in the configured Incoming Orders folder. No splash screen, no onboarding tour. If no folders have been configured, a first-run prompt asks the user to set up both folder paths before any import is possible.</w:t>
      </w:r>
    </w:p>
    <w:p>
      <w:pPr>
        <w:pStyle w:val="ListParagraph"/>
        <w:numPr>
          <w:ilvl w:val="0"/>
          <w:numId w:val="3"/>
        </w:numPr>
        <w:spacing w:after="100" w:line="264"/>
      </w:pPr>
      <w:r>
        <w:rPr>
          <w:color w:val="1A1A1A"/>
          <w:sz w:val="21"/>
          <w:szCs w:val="21"/>
        </w:rPr>
        <w:t>Folder scan — The application automatically scans the Incoming Orders folder on launch (and on manual refresh). Each Excel workbook found is listed as a pending order card showing filename, file size, and last-modified date. No individual file picker is required — the folder is the input.</w:t>
      </w:r>
    </w:p>
    <w:p>
      <w:pPr>
        <w:pStyle w:val="ListParagraph"/>
        <w:numPr>
          <w:ilvl w:val="0"/>
          <w:numId w:val="3"/>
        </w:numPr>
        <w:spacing w:after="100" w:line="264"/>
      </w:pPr>
      <w:r>
        <w:rPr>
          <w:color w:val="1A1A1A"/>
          <w:sz w:val="21"/>
          <w:szCs w:val="21"/>
        </w:rPr>
        <w:t>Select order — The user selects a pending order from the list. This highlights the card and enables the primary action button ("Import Purchase Order"). If only one workbook is pending, it is pre-selected automatically.</w:t>
      </w:r>
    </w:p>
    <w:p>
      <w:pPr>
        <w:pStyle w:val="ListParagraph"/>
        <w:numPr>
          <w:ilvl w:val="0"/>
          <w:numId w:val="3"/>
        </w:numPr>
        <w:spacing w:after="100" w:line="264"/>
      </w:pPr>
      <w:r>
        <w:rPr>
          <w:color w:val="1A1A1A"/>
          <w:sz w:val="21"/>
          <w:szCs w:val="21"/>
        </w:rPr>
        <w:t>Start import — User clicks "Import Purchase Order." The selected card locks; the progress panel replaces the list in the content area. The same import pipeline (validate → resolve vendor → resolve products → create PO) runs as before.</w:t>
      </w:r>
    </w:p>
    <w:p>
      <w:pPr>
        <w:pStyle w:val="ListParagraph"/>
        <w:numPr>
          <w:ilvl w:val="0"/>
          <w:numId w:val="3"/>
        </w:numPr>
        <w:spacing w:after="100" w:line="264"/>
      </w:pPr>
      <w:r>
        <w:rPr>
          <w:color w:val="1A1A1A"/>
          <w:sz w:val="21"/>
          <w:szCs w:val="21"/>
        </w:rPr>
        <w:t>Progress — Identical to V1: the fixed set of workflow stages is displayed as a named checklist with live status (see §7).</w:t>
      </w:r>
    </w:p>
    <w:p>
      <w:pPr>
        <w:pStyle w:val="ListParagraph"/>
        <w:numPr>
          <w:ilvl w:val="0"/>
          <w:numId w:val="3"/>
        </w:numPr>
        <w:spacing w:after="100" w:line="264"/>
      </w:pPr>
      <w:r>
        <w:rPr>
          <w:color w:val="1A1A1A"/>
          <w:sz w:val="21"/>
          <w:szCs w:val="21"/>
        </w:rPr>
        <w:t>Result (success) — On success, the result panel shows the PO ID and row summary. The imported workbook is automatically moved from Incoming Orders to Processed Orders. A quiet confirmation line ("✓ Workbook moved to Processed Orders") appears beneath the row count. The next pending order becomes immediately available.</w:t>
      </w:r>
    </w:p>
    <w:p>
      <w:pPr>
        <w:pStyle w:val="ListParagraph"/>
        <w:numPr>
          <w:ilvl w:val="0"/>
          <w:numId w:val="3"/>
        </w:numPr>
        <w:spacing w:after="100" w:line="264"/>
      </w:pPr>
      <w:r>
        <w:rPr>
          <w:color w:val="1A1A1A"/>
          <w:sz w:val="21"/>
          <w:szCs w:val="21"/>
        </w:rPr>
        <w:t>Result (failure) — On failure, the result panel shows the plain-language error and retry option. The workbook is NOT moved — it remains in Incoming Orders so it can be corrected and retried. No partial moves occur.</w:t>
      </w:r>
    </w:p>
    <w:p>
      <w:pPr>
        <w:pStyle w:val="Heading2"/>
        <w:spacing w:after="160" w:before="360"/>
      </w:pPr>
      <w:r>
        <w:rPr>
          <w:b/>
          <w:bCs/>
          <w:color w:val="1B2A4A"/>
          <w:sz w:val="26"/>
          <w:szCs w:val="26"/>
        </w:rPr>
        <w:t xml:space="preserve">2.2 Secondary / Edge Paths</w:t>
      </w:r>
    </w:p>
    <w:p>
      <w:pPr>
        <w:pStyle w:val="ListParagraph"/>
        <w:numPr>
          <w:ilvl w:val="0"/>
          <w:numId w:val="2"/>
        </w:numPr>
        <w:spacing w:after="100" w:line="264"/>
      </w:pPr>
      <w:r>
        <w:rPr>
          <w:b/>
          <w:bCs/>
          <w:color w:val="1A1A1A"/>
          <w:sz w:val="21"/>
          <w:szCs w:val="21"/>
        </w:rPr>
        <w:t>Incoming folder is empty: The Folder Scan View shows an empty state — "No pending orders found. Add Excel workbooks to the Incoming Orders folder to begin." A Refresh button allows a manual re-scan without restarting the app.</w:t>
      </w:r>
      <w:r>
        <w:rPr>
          <w:color w:val="1A1A1A"/>
          <w:sz w:val="21"/>
          <w:szCs w:val="21"/>
        </w:rPr>
      </w:r>
    </w:p>
    <w:p>
      <w:pPr>
        <w:pStyle w:val="ListParagraph"/>
        <w:numPr>
          <w:ilvl w:val="0"/>
          <w:numId w:val="2"/>
        </w:numPr>
        <w:spacing w:after="100" w:line="264"/>
      </w:pPr>
      <w:r>
        <w:rPr>
          <w:b/>
          <w:bCs/>
          <w:color w:val="1A1A1A"/>
          <w:sz w:val="21"/>
          <w:szCs w:val="21"/>
        </w:rPr>
        <w:t>Folders not configured (first run): A first-run state replaces the normal Folder Scan View with a prompt: "To begin, choose your Incoming Orders folder and your Processed Orders folder." Two folder-picker buttons and a "Save &amp; Continue" action. Settings are persisted between sessions.</w:t>
      </w:r>
      <w:r>
        <w:rPr>
          <w:color w:val="1A1A1A"/>
          <w:sz w:val="21"/>
          <w:szCs w:val="21"/>
        </w:rPr>
      </w:r>
    </w:p>
    <w:p>
      <w:pPr>
        <w:pStyle w:val="ListParagraph"/>
        <w:numPr>
          <w:ilvl w:val="0"/>
          <w:numId w:val="2"/>
        </w:numPr>
        <w:spacing w:after="100" w:line="264"/>
      </w:pPr>
      <w:r>
        <w:rPr>
          <w:b/>
          <w:bCs/>
          <w:color w:val="1A1A1A"/>
          <w:sz w:val="21"/>
          <w:szCs w:val="21"/>
        </w:rPr>
        <w:t>User cancels mid-import: Identical to V1 — Cancel affordance available if the backend supports it; omitted otherwise. The workbook is NOT moved on cancellation.</w:t>
      </w:r>
      <w:r>
        <w:rPr>
          <w:color w:val="1A1A1A"/>
          <w:sz w:val="21"/>
          <w:szCs w:val="21"/>
        </w:rPr>
      </w:r>
    </w:p>
    <w:p>
      <w:pPr>
        <w:pStyle w:val="ListParagraph"/>
        <w:numPr>
          <w:ilvl w:val="0"/>
          <w:numId w:val="2"/>
        </w:numPr>
        <w:spacing w:after="100" w:line="264"/>
      </w:pPr>
      <w:r>
        <w:rPr>
          <w:b/>
          <w:bCs/>
          <w:color w:val="1A1A1A"/>
          <w:sz w:val="21"/>
          <w:szCs w:val="21"/>
        </w:rPr>
        <w:t>Duplicate filename in Processed folder: If a workbook with the same name already exists in Processed Orders, the incoming file is renamed with a timestamp suffix before moving (e.g. PO_DRInternational_2026-07-20_143205.xlsx). A toast notification informs the user of the rename. This avoids a blocking dialog that would interrupt the post-success flow.</w:t>
      </w:r>
      <w:r>
        <w:rPr>
          <w:color w:val="1A1A1A"/>
          <w:sz w:val="21"/>
          <w:szCs w:val="21"/>
        </w:rPr>
      </w:r>
    </w:p>
    <w:p>
      <w:pPr>
        <w:pStyle w:val="Heading2"/>
        <w:spacing w:after="160" w:before="360"/>
      </w:pPr>
      <w:r>
        <w:rPr>
          <w:b/>
          <w:bCs/>
          <w:color w:val="1B2A4A"/>
          <w:sz w:val="26"/>
          <w:szCs w:val="26"/>
        </w:rPr>
        <w:t xml:space="preserve">2.3 Journey Map Summary</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gridCol w:w="100"/>
      </w:tblGrid>
      <w:tr>
        <w:trPr>
          <w:tblHeader/>
        </w:trPr>
        <w:tc>
          <w:tcPr>
            <w:tcW w:type="pct" w:w="33.333333333333336%"/>
            <w:shd w:fill="1B2A4A" w:val="clear"/>
            <w:tcMar>
              <w:top w:type="dxa" w:w="100"/>
              <w:left w:type="dxa" w:w="150"/>
              <w:bottom w:type="dxa" w:w="100"/>
              <w:right w:type="dxa" w:w="150"/>
            </w:tcMar>
          </w:tcPr>
          <w:p>
            <w:r>
              <w:rPr>
                <w:b/>
                <w:bCs/>
                <w:color w:val="FFFFFF"/>
                <w:sz w:val="19"/>
                <w:szCs w:val="19"/>
              </w:rPr>
              <w:t xml:space="preserve">Stage</w:t>
            </w:r>
          </w:p>
        </w:tc>
        <w:tc>
          <w:tcPr>
            <w:tcW w:type="pct" w:w="33.333333333333336%"/>
            <w:shd w:fill="1B2A4A" w:val="clear"/>
            <w:tcMar>
              <w:top w:type="dxa" w:w="100"/>
              <w:left w:type="dxa" w:w="150"/>
              <w:bottom w:type="dxa" w:w="100"/>
              <w:right w:type="dxa" w:w="150"/>
            </w:tcMar>
          </w:tcPr>
          <w:p>
            <w:r>
              <w:rPr>
                <w:b/>
                <w:bCs/>
                <w:color w:val="FFFFFF"/>
                <w:sz w:val="19"/>
                <w:szCs w:val="19"/>
              </w:rPr>
              <w:t xml:space="preserve">Emotional Goal</w:t>
            </w:r>
          </w:p>
        </w:tc>
        <w:tc>
          <w:tcPr>
            <w:tcW w:type="pct" w:w="33.333333333333336%"/>
            <w:shd w:fill="1B2A4A" w:val="clear"/>
            <w:tcMar>
              <w:top w:type="dxa" w:w="100"/>
              <w:left w:type="dxa" w:w="150"/>
              <w:bottom w:type="dxa" w:w="100"/>
              <w:right w:type="dxa" w:w="150"/>
            </w:tcMar>
          </w:tcPr>
          <w:p>
            <w:r>
              <w:rPr>
                <w:b/>
                <w:bCs/>
                <w:color w:val="FFFFFF"/>
                <w:sz w:val="19"/>
                <w:szCs w:val="19"/>
              </w:rPr>
              <w:t xml:space="preserve">Design Response</w:t>
            </w:r>
          </w:p>
        </w:tc>
      </w:tr>
      <w:tr>
        <w:tc>
          <w:tcPr>
            <w:shd w:fill="FFFFFF" w:val="clear"/>
            <w:tcMar>
              <w:top w:type="dxa" w:w="100"/>
              <w:left w:type="dxa" w:w="150"/>
              <w:bottom w:type="dxa" w:w="100"/>
              <w:right w:type="dxa" w:w="150"/>
            </w:tcMar>
          </w:tcPr>
          <w:p>
            <w:pPr>
              <w:spacing w:line="250"/>
            </w:pPr>
            <w:r>
              <w:rPr>
                <w:color w:val="1A1A1A"/>
                <w:sz w:val="19"/>
                <w:szCs w:val="19"/>
              </w:rPr>
              <w:t xml:space="preserve">Launch</w:t>
            </w:r>
          </w:p>
        </w:tc>
        <w:tc>
          <w:tcPr>
            <w:shd w:fill="FFFFFF" w:val="clear"/>
            <w:tcMar>
              <w:top w:type="dxa" w:w="100"/>
              <w:left w:type="dxa" w:w="150"/>
              <w:bottom w:type="dxa" w:w="100"/>
              <w:right w:type="dxa" w:w="150"/>
            </w:tcMar>
          </w:tcPr>
          <w:p>
            <w:pPr>
              <w:spacing w:line="250"/>
            </w:pPr>
            <w:r>
              <w:rPr>
                <w:color w:val="1A1A1A"/>
                <w:sz w:val="19"/>
                <w:szCs w:val="19"/>
              </w:rPr>
              <w:t xml:space="preserve">Orientation</w:t>
            </w:r>
          </w:p>
        </w:tc>
        <w:tc>
          <w:tcPr>
            <w:shd w:fill="FFFFFF" w:val="clear"/>
            <w:tcMar>
              <w:top w:type="dxa" w:w="100"/>
              <w:left w:type="dxa" w:w="150"/>
              <w:bottom w:type="dxa" w:w="100"/>
              <w:right w:type="dxa" w:w="150"/>
            </w:tcMar>
          </w:tcPr>
          <w:p>
            <w:pPr>
              <w:spacing w:line="250"/>
            </w:pPr>
            <w:r>
              <w:rPr>
                <w:color w:val="1A1A1A"/>
                <w:sz w:val="19"/>
                <w:szCs w:val="19"/>
              </w:rPr>
              <w:t xml:space="preserve">Empty, calm, one clear call to action</w:t>
            </w:r>
          </w:p>
        </w:tc>
      </w:tr>
      <w:tr>
        <w:tc>
          <w:tcPr>
            <w:shd w:fill="F2F3F5" w:val="clear"/>
            <w:tcMar>
              <w:top w:type="dxa" w:w="100"/>
              <w:left w:type="dxa" w:w="150"/>
              <w:bottom w:type="dxa" w:w="100"/>
              <w:right w:type="dxa" w:w="150"/>
            </w:tcMar>
          </w:tcPr>
          <w:p>
            <w:pPr>
              <w:spacing w:line="250"/>
            </w:pPr>
            <w:r>
              <w:rPr>
                <w:color w:val="1A1A1A"/>
                <w:sz w:val="19"/>
                <w:szCs w:val="19"/>
              </w:rPr>
              <w:t xml:space="preserve">Select file</w:t>
            </w:r>
          </w:p>
        </w:tc>
        <w:tc>
          <w:tcPr>
            <w:shd w:fill="F2F3F5" w:val="clear"/>
            <w:tcMar>
              <w:top w:type="dxa" w:w="100"/>
              <w:left w:type="dxa" w:w="150"/>
              <w:bottom w:type="dxa" w:w="100"/>
              <w:right w:type="dxa" w:w="150"/>
            </w:tcMar>
          </w:tcPr>
          <w:p>
            <w:pPr>
              <w:spacing w:line="250"/>
            </w:pPr>
            <w:r>
              <w:rPr>
                <w:color w:val="1A1A1A"/>
                <w:sz w:val="19"/>
                <w:szCs w:val="19"/>
              </w:rPr>
              <w:t xml:space="preserve">Confidence</w:t>
            </w:r>
          </w:p>
        </w:tc>
        <w:tc>
          <w:tcPr>
            <w:shd w:fill="F2F3F5" w:val="clear"/>
            <w:tcMar>
              <w:top w:type="dxa" w:w="100"/>
              <w:left w:type="dxa" w:w="150"/>
              <w:bottom w:type="dxa" w:w="100"/>
              <w:right w:type="dxa" w:w="150"/>
            </w:tcMar>
          </w:tcPr>
          <w:p>
            <w:pPr>
              <w:spacing w:line="250"/>
            </w:pPr>
            <w:r>
              <w:rPr>
                <w:color w:val="1A1A1A"/>
                <w:sz w:val="19"/>
                <w:szCs w:val="19"/>
              </w:rPr>
              <w:t xml:space="preserve">Immediate visual confirmation of what was selected</w:t>
            </w:r>
          </w:p>
        </w:tc>
      </w:tr>
      <w:tr>
        <w:tc>
          <w:tcPr>
            <w:shd w:fill="FFFFFF" w:val="clear"/>
            <w:tcMar>
              <w:top w:type="dxa" w:w="100"/>
              <w:left w:type="dxa" w:w="150"/>
              <w:bottom w:type="dxa" w:w="100"/>
              <w:right w:type="dxa" w:w="150"/>
            </w:tcMar>
          </w:tcPr>
          <w:p>
            <w:pPr>
              <w:spacing w:line="250"/>
            </w:pPr>
            <w:r>
              <w:rPr>
                <w:color w:val="1A1A1A"/>
                <w:sz w:val="19"/>
                <w:szCs w:val="19"/>
              </w:rPr>
              <w:t xml:space="preserve">Start import</w:t>
            </w:r>
          </w:p>
        </w:tc>
        <w:tc>
          <w:tcPr>
            <w:shd w:fill="FFFFFF" w:val="clear"/>
            <w:tcMar>
              <w:top w:type="dxa" w:w="100"/>
              <w:left w:type="dxa" w:w="150"/>
              <w:bottom w:type="dxa" w:w="100"/>
              <w:right w:type="dxa" w:w="150"/>
            </w:tcMar>
          </w:tcPr>
          <w:p>
            <w:pPr>
              <w:spacing w:line="250"/>
            </w:pPr>
            <w:r>
              <w:rPr>
                <w:color w:val="1A1A1A"/>
                <w:sz w:val="19"/>
                <w:szCs w:val="19"/>
              </w:rPr>
              <w:t xml:space="preserve">Commitment</w:t>
            </w:r>
          </w:p>
        </w:tc>
        <w:tc>
          <w:tcPr>
            <w:shd w:fill="FFFFFF" w:val="clear"/>
            <w:tcMar>
              <w:top w:type="dxa" w:w="100"/>
              <w:left w:type="dxa" w:w="150"/>
              <w:bottom w:type="dxa" w:w="100"/>
              <w:right w:type="dxa" w:w="150"/>
            </w:tcMar>
          </w:tcPr>
          <w:p>
            <w:pPr>
              <w:spacing w:line="250"/>
            </w:pPr>
            <w:r>
              <w:rPr>
                <w:color w:val="1A1A1A"/>
                <w:sz w:val="19"/>
                <w:szCs w:val="19"/>
              </w:rPr>
              <w:t xml:space="preserve">Clear point of no return; button state changes decisively</w:t>
            </w:r>
          </w:p>
        </w:tc>
      </w:tr>
      <w:tr>
        <w:tc>
          <w:tcPr>
            <w:shd w:fill="F2F3F5" w:val="clear"/>
            <w:tcMar>
              <w:top w:type="dxa" w:w="100"/>
              <w:left w:type="dxa" w:w="150"/>
              <w:bottom w:type="dxa" w:w="100"/>
              <w:right w:type="dxa" w:w="150"/>
            </w:tcMar>
          </w:tcPr>
          <w:p>
            <w:pPr>
              <w:spacing w:line="250"/>
            </w:pPr>
            <w:r>
              <w:rPr>
                <w:color w:val="1A1A1A"/>
                <w:sz w:val="19"/>
                <w:szCs w:val="19"/>
              </w:rPr>
              <w:t xml:space="preserve">Progress</w:t>
            </w:r>
          </w:p>
        </w:tc>
        <w:tc>
          <w:tcPr>
            <w:shd w:fill="F2F3F5" w:val="clear"/>
            <w:tcMar>
              <w:top w:type="dxa" w:w="100"/>
              <w:left w:type="dxa" w:w="150"/>
              <w:bottom w:type="dxa" w:w="100"/>
              <w:right w:type="dxa" w:w="150"/>
            </w:tcMar>
          </w:tcPr>
          <w:p>
            <w:pPr>
              <w:spacing w:line="250"/>
            </w:pPr>
            <w:r>
              <w:rPr>
                <w:color w:val="1A1A1A"/>
                <w:sz w:val="19"/>
                <w:szCs w:val="19"/>
              </w:rPr>
              <w:t xml:space="preserve">Reassurance</w:t>
            </w:r>
          </w:p>
        </w:tc>
        <w:tc>
          <w:tcPr>
            <w:shd w:fill="F2F3F5" w:val="clear"/>
            <w:tcMar>
              <w:top w:type="dxa" w:w="100"/>
              <w:left w:type="dxa" w:w="150"/>
              <w:bottom w:type="dxa" w:w="100"/>
              <w:right w:type="dxa" w:w="150"/>
            </w:tcMar>
          </w:tcPr>
          <w:p>
            <w:pPr>
              <w:spacing w:line="250"/>
            </w:pPr>
            <w:r>
              <w:rPr>
                <w:color w:val="1A1A1A"/>
                <w:sz w:val="19"/>
                <w:szCs w:val="19"/>
              </w:rPr>
              <w:t xml:space="preserve">Visible forward motion, no ambiguity about what's happening</w:t>
            </w:r>
          </w:p>
        </w:tc>
      </w:tr>
      <w:tr>
        <w:tc>
          <w:tcPr>
            <w:shd w:fill="FFFFFF" w:val="clear"/>
            <w:tcMar>
              <w:top w:type="dxa" w:w="100"/>
              <w:left w:type="dxa" w:w="150"/>
              <w:bottom w:type="dxa" w:w="100"/>
              <w:right w:type="dxa" w:w="150"/>
            </w:tcMar>
          </w:tcPr>
          <w:p>
            <w:pPr>
              <w:spacing w:line="250"/>
            </w:pPr>
            <w:r>
              <w:rPr>
                <w:color w:val="1A1A1A"/>
                <w:sz w:val="19"/>
                <w:szCs w:val="19"/>
              </w:rPr>
              <w:t xml:space="preserve">Success</w:t>
            </w:r>
          </w:p>
        </w:tc>
        <w:tc>
          <w:tcPr>
            <w:shd w:fill="FFFFFF" w:val="clear"/>
            <w:tcMar>
              <w:top w:type="dxa" w:w="100"/>
              <w:left w:type="dxa" w:w="150"/>
              <w:bottom w:type="dxa" w:w="100"/>
              <w:right w:type="dxa" w:w="150"/>
            </w:tcMar>
          </w:tcPr>
          <w:p>
            <w:pPr>
              <w:spacing w:line="250"/>
            </w:pPr>
            <w:r>
              <w:rPr>
                <w:color w:val="1A1A1A"/>
                <w:sz w:val="19"/>
                <w:szCs w:val="19"/>
              </w:rPr>
              <w:t xml:space="preserve">Relief / closure</w:t>
            </w:r>
          </w:p>
        </w:tc>
        <w:tc>
          <w:tcPr>
            <w:shd w:fill="FFFFFF" w:val="clear"/>
            <w:tcMar>
              <w:top w:type="dxa" w:w="100"/>
              <w:left w:type="dxa" w:w="150"/>
              <w:bottom w:type="dxa" w:w="100"/>
              <w:right w:type="dxa" w:w="150"/>
            </w:tcMar>
          </w:tcPr>
          <w:p>
            <w:pPr>
              <w:spacing w:line="250"/>
            </w:pPr>
            <w:r>
              <w:rPr>
                <w:color w:val="1A1A1A"/>
                <w:sz w:val="19"/>
                <w:szCs w:val="19"/>
              </w:rPr>
              <w:t xml:space="preserve">Confirmation + concrete result (PO number) + easy next step</w:t>
            </w:r>
          </w:p>
        </w:tc>
      </w:tr>
      <w:tr>
        <w:tc>
          <w:tcPr>
            <w:shd w:fill="F2F3F5" w:val="clear"/>
            <w:tcMar>
              <w:top w:type="dxa" w:w="100"/>
              <w:left w:type="dxa" w:w="150"/>
              <w:bottom w:type="dxa" w:w="100"/>
              <w:right w:type="dxa" w:w="150"/>
            </w:tcMar>
          </w:tcPr>
          <w:p>
            <w:pPr>
              <w:spacing w:line="250"/>
            </w:pPr>
            <w:r>
              <w:rPr>
                <w:color w:val="1A1A1A"/>
                <w:sz w:val="19"/>
                <w:szCs w:val="19"/>
              </w:rPr>
              <w:t xml:space="preserve">Failure</w:t>
            </w:r>
          </w:p>
        </w:tc>
        <w:tc>
          <w:tcPr>
            <w:shd w:fill="F2F3F5" w:val="clear"/>
            <w:tcMar>
              <w:top w:type="dxa" w:w="100"/>
              <w:left w:type="dxa" w:w="150"/>
              <w:bottom w:type="dxa" w:w="100"/>
              <w:right w:type="dxa" w:w="150"/>
            </w:tcMar>
          </w:tcPr>
          <w:p>
            <w:pPr>
              <w:spacing w:line="250"/>
            </w:pPr>
            <w:r>
              <w:rPr>
                <w:color w:val="1A1A1A"/>
                <w:sz w:val="19"/>
                <w:szCs w:val="19"/>
              </w:rPr>
              <w:t xml:space="preserve">Clarity, not panic</w:t>
            </w:r>
          </w:p>
        </w:tc>
        <w:tc>
          <w:tcPr>
            <w:shd w:fill="F2F3F5" w:val="clear"/>
            <w:tcMar>
              <w:top w:type="dxa" w:w="100"/>
              <w:left w:type="dxa" w:w="150"/>
              <w:bottom w:type="dxa" w:w="100"/>
              <w:right w:type="dxa" w:w="150"/>
            </w:tcMar>
          </w:tcPr>
          <w:p>
            <w:pPr>
              <w:spacing w:line="250"/>
            </w:pPr>
            <w:r>
              <w:rPr>
                <w:color w:val="1A1A1A"/>
                <w:sz w:val="19"/>
                <w:szCs w:val="19"/>
              </w:rPr>
              <w:t xml:space="preserve">Plain-language explanation first, technical detail on demand</w:t>
            </w:r>
          </w:p>
        </w:tc>
      </w:tr>
    </w:tbl>
    <w:p>
      <w:r>
        <w:br w:type="page"/>
      </w:r>
    </w:p>
    <w:p>
      <w:pPr>
        <w:pStyle w:val="Heading1"/>
        <w:pBdr>
          <w:bottom w:val="single" w:color="1B2A4A" w:sz="6" w:space="4"/>
        </w:pBdr>
        <w:spacing w:after="200" w:before="480"/>
      </w:pPr>
      <w:r>
        <w:rPr>
          <w:b/>
          <w:bCs/>
          <w:color w:val="1B2A4A"/>
          <w:sz w:val="32"/>
          <w:szCs w:val="32"/>
        </w:rPr>
        <w:t xml:space="preserve">3. Window Layout</w:t>
      </w:r>
    </w:p>
    <w:p>
      <w:pPr>
        <w:spacing w:after="180" w:line="276"/>
      </w:pPr>
      <w:r>
        <w:rPr>
          <w:color w:val="1A1A1A"/>
          <w:sz w:val="21"/>
          <w:szCs w:val="21"/>
        </w:rPr>
        <w:t xml:space="preserve">A single-window application, fixed conceptual structure, resizable within sane bounds. No tabs, no multi-window juggling — everything the user needs is always visible.</w:t>
      </w:r>
    </w:p>
    <w:p>
      <w:pPr>
        <w:pStyle w:val="Heading2"/>
        <w:spacing w:after="160" w:before="360"/>
      </w:pPr>
      <w:r>
        <w:rPr>
          <w:b/>
          <w:bCs/>
          <w:color w:val="1B2A4A"/>
          <w:sz w:val="26"/>
          <w:szCs w:val="26"/>
        </w:rPr>
        <w:t xml:space="preserve">3.1 Structural Regions</w:t>
      </w:r>
    </w:p>
    <w:p>
      <w:pPr>
        <w:pStyle w:val="Heading3"/>
        <w:spacing w:after="120" w:before="260"/>
      </w:pPr>
      <w:r>
        <w:rPr>
          <w:b/>
          <w:bCs/>
          <w:color w:val="44546A"/>
          <w:sz w:val="22"/>
          <w:szCs w:val="22"/>
        </w:rPr>
        <w:t xml:space="preserve">Title Bar (native OS chrome)</w:t>
      </w:r>
    </w:p>
    <w:p>
      <w:pPr>
        <w:spacing w:after="180" w:line="276"/>
      </w:pPr>
      <w:r>
        <w:rPr>
          <w:color w:val="1A1A1A"/>
          <w:sz w:val="21"/>
          <w:szCs w:val="21"/>
        </w:rPr>
        <w:t xml:space="preserve">Standard Windows title bar showing "Purchase Order Importer." No custom chrome — a custom title bar adds engineering cost and risk for zero UX benefit in an internal business tool. Native chrome is instantly familiar and free.</w:t>
      </w:r>
    </w:p>
    <w:p>
      <w:pPr>
        <w:pStyle w:val="Heading3"/>
        <w:spacing w:after="120" w:before="260"/>
      </w:pPr>
      <w:r>
        <w:rPr>
          <w:b/>
          <w:bCs/>
          <w:color w:val="44546A"/>
          <w:sz w:val="22"/>
          <w:szCs w:val="22"/>
        </w:rPr>
        <w:t xml:space="preserve">Header Band</w:t>
      </w:r>
    </w:p>
    <w:p>
      <w:pPr>
        <w:spacing w:after="180" w:line="276"/>
      </w:pPr>
      <w:r>
        <w:rPr>
          <w:color w:val="1A1A1A"/>
          <w:sz w:val="21"/>
          <w:szCs w:val="21"/>
        </w:rPr>
        <w:t xml:space="preserve">A slim, fixed band beneath the title bar. Contains: the application name/logo mark (small, left-aligned) and a connection status indicator (right-aligned — a small dot + label showing "Connected to Odoo" or "Not connected"). This is the only persistent chrome. It exists so a user can tell at a glance, before even attempting an import, whether the tool is able to reach the server — surfacing a category of failure before the user wastes time selecting a file.</w:t>
      </w:r>
    </w:p>
    <w:p>
      <w:pPr>
        <w:pStyle w:val="Heading3"/>
        <w:spacing w:after="120" w:before="260"/>
      </w:pPr>
      <w:r>
        <w:rPr>
          <w:b/>
          <w:bCs/>
          <w:color w:val="44546A"/>
          <w:sz w:val="22"/>
          <w:szCs w:val="22"/>
        </w:rPr>
        <w:t xml:space="preserve">Primary Content Area</w:t>
      </w:r>
    </w:p>
    <w:p>
      <w:pPr>
        <w:spacing w:after="180" w:line="276"/>
      </w:pPr>
      <w:r>
        <w:rPr>
          <w:color w:val="1A1A1A"/>
          <w:sz w:val="21"/>
          <w:szCs w:val="21"/>
        </w:rPr>
        <w:t>The single largest region of the window. This area is a state machine with exactly five mutually exclusive states, each replacing the last in place (no navigation, no new window):</w:t>
      </w:r>
    </w:p>
    <w:p>
      <w:pPr>
        <w:pStyle w:val="ListParagraph"/>
        <w:numPr>
          <w:ilvl w:val="0"/>
          <w:numId w:val="2"/>
        </w:numPr>
        <w:spacing w:after="100" w:line="264"/>
      </w:pPr>
      <w:r>
        <w:rPr>
          <w:color w:val="1A1A1A"/>
          <w:sz w:val="21"/>
          <w:szCs w:val="21"/>
        </w:rPr>
        <w:t>Folder Scan state — pending order list (or empty/first-run prompt)</w:t>
      </w:r>
    </w:p>
    <w:p>
      <w:pPr>
        <w:pStyle w:val="ListParagraph"/>
        <w:numPr>
          <w:ilvl w:val="0"/>
          <w:numId w:val="2"/>
        </w:numPr>
        <w:spacing w:after="100" w:line="264"/>
      </w:pPr>
      <w:r>
        <w:rPr>
          <w:color w:val="1A1A1A"/>
          <w:sz w:val="21"/>
          <w:szCs w:val="21"/>
        </w:rPr>
        <w:t>Ready state — selected order card + primary action button</w:t>
      </w:r>
    </w:p>
    <w:p>
      <w:pPr>
        <w:pStyle w:val="ListParagraph"/>
        <w:numPr>
          <w:ilvl w:val="0"/>
          <w:numId w:val="2"/>
        </w:numPr>
        <w:spacing w:after="100" w:line="264"/>
      </w:pPr>
      <w:r>
        <w:rPr>
          <w:color w:val="1A1A1A"/>
          <w:sz w:val="21"/>
          <w:szCs w:val="21"/>
        </w:rPr>
        <w:t>Progress state — workflow checklist with live status</w:t>
      </w:r>
    </w:p>
    <w:p>
      <w:pPr>
        <w:pStyle w:val="ListParagraph"/>
        <w:numPr>
          <w:ilvl w:val="0"/>
          <w:numId w:val="2"/>
        </w:numPr>
        <w:spacing w:after="100" w:line="264"/>
      </w:pPr>
      <w:r>
        <w:rPr>
          <w:color w:val="1A1A1A"/>
          <w:sz w:val="21"/>
          <w:szCs w:val="21"/>
        </w:rPr>
        <w:t>Success state — PO result panel + auto-move confirmation</w:t>
      </w:r>
    </w:p>
    <w:p>
      <w:pPr>
        <w:spacing w:after="180" w:line="276"/>
      </w:pPr>
      <w:r>
        <w:rPr>
          <w:color w:val="1A1A1A"/>
          <w:sz w:val="21"/>
          <w:szCs w:val="21"/>
        </w:rPr>
        <w:t>Failure state — error result + workbook remains in Incoming Orders</w:t>
      </w:r>
    </w:p>
    <w:p>
      <w:pPr>
        <w:pStyle w:val="Heading3"/>
        <w:spacing w:after="120" w:before="260"/>
      </w:pPr>
      <w:r>
        <w:rPr>
          <w:b/>
          <w:bCs/>
          <w:color w:val="44546A"/>
          <w:sz w:val="22"/>
          <w:szCs w:val="22"/>
        </w:rPr>
        <w:t xml:space="preserve">Footer / Status Strip</w:t>
      </w:r>
    </w:p>
    <w:p>
      <w:pPr>
        <w:spacing w:after="180" w:line="276"/>
      </w:pPr>
      <w:r>
        <w:rPr>
          <w:color w:val="1A1A1A"/>
          <w:sz w:val="21"/>
          <w:szCs w:val="21"/>
        </w:rPr>
        <w:t>A thin strip anchored to the bottom of the window. Shows secondary, low-priority information: app version, a "Configure Folders" link (opens the Folder Configuration panel), a "View Log File" link, and (post-import) a timestamp of the last import.</w:t>
      </w:r>
    </w:p>
    <w:p>
      <w:pPr>
        <w:pStyle w:val="Heading2"/>
        <w:spacing w:after="160" w:before="360"/>
      </w:pPr>
      <w:r>
        <w:rPr>
          <w:b/>
          <w:bCs/>
          <w:color w:val="1B2A4A"/>
          <w:sz w:val="26"/>
          <w:szCs w:val="26"/>
        </w:rPr>
        <w:t xml:space="preserve">3.2 Why This Structure</w:t>
      </w:r>
    </w:p>
    <w:p>
      <w:pPr>
        <w:pStyle w:val="ListParagraph"/>
        <w:numPr>
          <w:ilvl w:val="0"/>
          <w:numId w:val="2"/>
        </w:numPr>
        <w:spacing w:after="100" w:line="264"/>
      </w:pPr>
      <w:r>
        <w:rPr>
          <w:b/>
          <w:bCs/>
          <w:color w:val="1A1A1A"/>
          <w:sz w:val="21"/>
          <w:szCs w:val="21"/>
        </w:rPr>
        <w:t xml:space="preserve">Single content region: </w:t>
      </w:r>
      <w:r>
        <w:rPr>
          <w:color w:val="1A1A1A"/>
          <w:sz w:val="21"/>
          <w:szCs w:val="21"/>
        </w:rPr>
        <w:t xml:space="preserve">Business users under time pressure should never have to ask "where do I click next?" A morphing single region guarantees the next action is always in the same visual location.</w:t>
      </w:r>
    </w:p>
    <w:p>
      <w:pPr>
        <w:pStyle w:val="ListParagraph"/>
        <w:numPr>
          <w:ilvl w:val="0"/>
          <w:numId w:val="2"/>
        </w:numPr>
        <w:spacing w:after="100" w:line="264"/>
      </w:pPr>
      <w:r>
        <w:rPr>
          <w:b/>
          <w:bCs/>
          <w:color w:val="1A1A1A"/>
          <w:sz w:val="21"/>
          <w:szCs w:val="21"/>
        </w:rPr>
        <w:t xml:space="preserve">Header as trust signal: </w:t>
      </w:r>
      <w:r>
        <w:rPr>
          <w:color w:val="1A1A1A"/>
          <w:sz w:val="21"/>
          <w:szCs w:val="21"/>
        </w:rPr>
        <w:t xml:space="preserve">Surfacing Odoo connection status persistently — not just at import time — lets IT preempt a whole class of "import isn't working" tickets.</w:t>
      </w:r>
    </w:p>
    <w:p>
      <w:pPr>
        <w:pStyle w:val="ListParagraph"/>
        <w:numPr>
          <w:ilvl w:val="0"/>
          <w:numId w:val="2"/>
        </w:numPr>
        <w:spacing w:after="100" w:line="264"/>
      </w:pPr>
      <w:r>
        <w:rPr>
          <w:b/>
          <w:bCs/>
          <w:color w:val="1A1A1A"/>
          <w:sz w:val="21"/>
          <w:szCs w:val="21"/>
        </w:rPr>
        <w:t xml:space="preserve">Footer as an escape hatch for complexity: </w:t>
      </w:r>
      <w:r>
        <w:rPr>
          <w:color w:val="1A1A1A"/>
          <w:sz w:val="21"/>
          <w:szCs w:val="21"/>
        </w:rPr>
        <w:t xml:space="preserve">Anything that would intimidate a non-technical user (raw logs, version numbers, diagnostic links) is demoted to the footer, present but never foregrounded.</w:t>
      </w:r>
    </w:p>
    <w:p>
      <w:pPr>
        <w:pStyle w:val="Heading2"/>
        <w:spacing w:after="160" w:before="360"/>
      </w:pPr>
      <w:r>
        <w:rPr>
          <w:b/>
          <w:bCs/>
          <w:color w:val="1B2A4A"/>
          <w:sz w:val="26"/>
          <w:szCs w:val="26"/>
        </w:rPr>
        <w:t xml:space="preserve">3.3 Recommended Window Sizing</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tblGrid>
      <w:tr>
        <w:trPr>
          <w:tblHeader/>
        </w:trPr>
        <w:tc>
          <w:tcPr>
            <w:tcW w:type="pct" w:w="50%"/>
            <w:shd w:fill="1B2A4A" w:val="clear"/>
            <w:tcMar>
              <w:top w:type="dxa" w:w="100"/>
              <w:left w:type="dxa" w:w="150"/>
              <w:bottom w:type="dxa" w:w="100"/>
              <w:right w:type="dxa" w:w="150"/>
            </w:tcMar>
          </w:tcPr>
          <w:p>
            <w:r>
              <w:rPr>
                <w:b/>
                <w:bCs/>
                <w:color w:val="FFFFFF"/>
                <w:sz w:val="19"/>
                <w:szCs w:val="19"/>
              </w:rPr>
              <w:t xml:space="preserve">Property</w:t>
            </w:r>
          </w:p>
        </w:tc>
        <w:tc>
          <w:tcPr>
            <w:tcW w:type="pct" w:w="50%"/>
            <w:shd w:fill="1B2A4A" w:val="clear"/>
            <w:tcMar>
              <w:top w:type="dxa" w:w="100"/>
              <w:left w:type="dxa" w:w="150"/>
              <w:bottom w:type="dxa" w:w="100"/>
              <w:right w:type="dxa" w:w="150"/>
            </w:tcMar>
          </w:tcPr>
          <w:p>
            <w:r>
              <w:rPr>
                <w:b/>
                <w:bCs/>
                <w:color w:val="FFFFFF"/>
                <w:sz w:val="19"/>
                <w:szCs w:val="19"/>
              </w:rPr>
              <w:t xml:space="preserve">Recommendation</w:t>
            </w:r>
          </w:p>
        </w:tc>
      </w:tr>
      <w:tr>
        <w:tc>
          <w:tcPr>
            <w:shd w:fill="FFFFFF" w:val="clear"/>
            <w:tcMar>
              <w:top w:type="dxa" w:w="100"/>
              <w:left w:type="dxa" w:w="150"/>
              <w:bottom w:type="dxa" w:w="100"/>
              <w:right w:type="dxa" w:w="150"/>
            </w:tcMar>
          </w:tcPr>
          <w:p>
            <w:pPr>
              <w:spacing w:line="250"/>
            </w:pPr>
            <w:r>
              <w:rPr>
                <w:color w:val="1A1A1A"/>
                <w:sz w:val="19"/>
                <w:szCs w:val="19"/>
              </w:rPr>
              <w:t xml:space="preserve">Default size</w:t>
            </w:r>
          </w:p>
        </w:tc>
        <w:tc>
          <w:tcPr>
            <w:shd w:fill="FFFFFF" w:val="clear"/>
            <w:tcMar>
              <w:top w:type="dxa" w:w="100"/>
              <w:left w:type="dxa" w:w="150"/>
              <w:bottom w:type="dxa" w:w="100"/>
              <w:right w:type="dxa" w:w="150"/>
            </w:tcMar>
          </w:tcPr>
          <w:p>
            <w:pPr>
              <w:spacing w:line="250"/>
            </w:pPr>
            <w:r>
              <w:rPr>
                <w:color w:val="1A1A1A"/>
                <w:sz w:val="19"/>
                <w:szCs w:val="19"/>
              </w:rPr>
              <w:t xml:space="preserve">760 × 560 px (logical / DPI-independent)</w:t>
            </w:r>
          </w:p>
        </w:tc>
      </w:tr>
      <w:tr>
        <w:tc>
          <w:tcPr>
            <w:shd w:fill="F2F3F5" w:val="clear"/>
            <w:tcMar>
              <w:top w:type="dxa" w:w="100"/>
              <w:left w:type="dxa" w:w="150"/>
              <w:bottom w:type="dxa" w:w="100"/>
              <w:right w:type="dxa" w:w="150"/>
            </w:tcMar>
          </w:tcPr>
          <w:p>
            <w:pPr>
              <w:spacing w:line="250"/>
            </w:pPr>
            <w:r>
              <w:rPr>
                <w:color w:val="1A1A1A"/>
                <w:sz w:val="19"/>
                <w:szCs w:val="19"/>
              </w:rPr>
              <w:t xml:space="preserve">Minimum size</w:t>
            </w:r>
          </w:p>
        </w:tc>
        <w:tc>
          <w:tcPr>
            <w:shd w:fill="F2F3F5" w:val="clear"/>
            <w:tcMar>
              <w:top w:type="dxa" w:w="100"/>
              <w:left w:type="dxa" w:w="150"/>
              <w:bottom w:type="dxa" w:w="100"/>
              <w:right w:type="dxa" w:w="150"/>
            </w:tcMar>
          </w:tcPr>
          <w:p>
            <w:pPr>
              <w:spacing w:line="250"/>
            </w:pPr>
            <w:r>
              <w:rPr>
                <w:color w:val="1A1A1A"/>
                <w:sz w:val="19"/>
                <w:szCs w:val="19"/>
              </w:rPr>
              <w:t xml:space="preserve">640 × 480 px — below this, the workflow checklist and result panel begin to crowd</w:t>
            </w:r>
          </w:p>
        </w:tc>
      </w:tr>
      <w:tr>
        <w:tc>
          <w:tcPr>
            <w:shd w:fill="FFFFFF" w:val="clear"/>
            <w:tcMar>
              <w:top w:type="dxa" w:w="100"/>
              <w:left w:type="dxa" w:w="150"/>
              <w:bottom w:type="dxa" w:w="100"/>
              <w:right w:type="dxa" w:w="150"/>
            </w:tcMar>
          </w:tcPr>
          <w:p>
            <w:pPr>
              <w:spacing w:line="250"/>
            </w:pPr>
            <w:r>
              <w:rPr>
                <w:color w:val="1A1A1A"/>
                <w:sz w:val="19"/>
                <w:szCs w:val="19"/>
              </w:rPr>
              <w:t xml:space="preserve">Maximum size</w:t>
            </w:r>
          </w:p>
        </w:tc>
        <w:tc>
          <w:tcPr>
            <w:shd w:fill="FFFFFF" w:val="clear"/>
            <w:tcMar>
              <w:top w:type="dxa" w:w="100"/>
              <w:left w:type="dxa" w:w="150"/>
              <w:bottom w:type="dxa" w:w="100"/>
              <w:right w:type="dxa" w:w="150"/>
            </w:tcMar>
          </w:tcPr>
          <w:p>
            <w:pPr>
              <w:spacing w:line="250"/>
            </w:pPr>
            <w:r>
              <w:rPr>
                <w:color w:val="1A1A1A"/>
                <w:sz w:val="19"/>
                <w:szCs w:val="19"/>
              </w:rPr>
              <w:t xml:space="preserve">Unconstrained, but content area caps at ~880px content width and centers with margin — prevents an ultrawide monitor from stretching text into an unreadable line length</w:t>
            </w:r>
          </w:p>
        </w:tc>
      </w:tr>
      <w:tr>
        <w:tc>
          <w:tcPr>
            <w:shd w:fill="F2F3F5" w:val="clear"/>
            <w:tcMar>
              <w:top w:type="dxa" w:w="100"/>
              <w:left w:type="dxa" w:w="150"/>
              <w:bottom w:type="dxa" w:w="100"/>
              <w:right w:type="dxa" w:w="150"/>
            </w:tcMar>
          </w:tcPr>
          <w:p>
            <w:pPr>
              <w:spacing w:line="250"/>
            </w:pPr>
            <w:r>
              <w:rPr>
                <w:color w:val="1A1A1A"/>
                <w:sz w:val="19"/>
                <w:szCs w:val="19"/>
              </w:rPr>
              <w:t xml:space="preserve">Resizable</w:t>
            </w:r>
          </w:p>
        </w:tc>
        <w:tc>
          <w:tcPr>
            <w:shd w:fill="F2F3F5" w:val="clear"/>
            <w:tcMar>
              <w:top w:type="dxa" w:w="100"/>
              <w:left w:type="dxa" w:w="150"/>
              <w:bottom w:type="dxa" w:w="100"/>
              <w:right w:type="dxa" w:w="150"/>
            </w:tcMar>
          </w:tcPr>
          <w:p>
            <w:pPr>
              <w:spacing w:line="250"/>
            </w:pPr>
            <w:r>
              <w:rPr>
                <w:color w:val="1A1A1A"/>
                <w:sz w:val="19"/>
                <w:szCs w:val="19"/>
              </w:rPr>
              <w:t xml:space="preserve">Yes, standard OS resize handles. Not user-resizable panels within the window — there is only one region, so internal splitters are unnecessary</w:t>
            </w:r>
          </w:p>
        </w:tc>
      </w:tr>
    </w:tbl>
    <w:p>
      <w:r>
        <w:br w:type="page"/>
      </w:r>
    </w:p>
    <w:p>
      <w:pPr>
        <w:pStyle w:val="Heading1"/>
        <w:pBdr>
          <w:bottom w:val="single" w:color="1B2A4A" w:sz="6" w:space="4"/>
        </w:pBdr>
        <w:spacing w:after="200" w:before="480"/>
      </w:pPr>
      <w:r>
        <w:rPr>
          <w:b/>
          <w:bCs/>
          <w:color w:val="1B2A4A"/>
          <w:sz w:val="32"/>
          <w:szCs w:val="32"/>
        </w:rPr>
        <w:t xml:space="preserve">4. Information Hierarchy</w:t>
      </w:r>
    </w:p>
    <w:p>
      <w:pPr>
        <w:spacing w:after="180" w:line="276"/>
      </w:pPr>
      <w:r>
        <w:rPr>
          <w:color w:val="1A1A1A"/>
          <w:sz w:val="21"/>
          <w:szCs w:val="21"/>
        </w:rPr>
        <w:t xml:space="preserve">What the eye should land on, in order, at each stage of the journey. This governs type scale, color weight, and spatial priority throughout the visual design.</w:t>
      </w:r>
    </w:p>
    <w:p>
      <w:pPr>
        <w:pStyle w:val="Heading2"/>
        <w:spacing w:after="160" w:before="360"/>
      </w:pPr>
      <w:r>
        <w:rPr>
          <w:b/>
          <w:bCs/>
          <w:color w:val="1B2A4A"/>
          <w:sz w:val="26"/>
          <w:szCs w:val="26"/>
        </w:rPr>
        <w:t>4.1 On Launch (Folder Scan State)</w:t>
      </w:r>
    </w:p>
    <w:p>
      <w:pPr>
        <w:pStyle w:val="ListParagraph"/>
        <w:numPr>
          <w:ilvl w:val="0"/>
          <w:numId w:val="3"/>
        </w:numPr>
        <w:spacing w:after="100" w:line="264"/>
      </w:pPr>
      <w:r>
        <w:rPr>
          <w:color w:val="1A1A1A"/>
          <w:sz w:val="21"/>
          <w:szCs w:val="21"/>
        </w:rPr>
        <w:t>The pending orders list — a vertical stack of order cards showing filename, size, and modified date. If only one workbook is pending it is pre-selected and the eye lands directly on the primary action button.</w:t>
      </w:r>
    </w:p>
    <w:p>
      <w:pPr>
        <w:pStyle w:val="ListParagraph"/>
        <w:numPr>
          <w:ilvl w:val="0"/>
          <w:numId w:val="3"/>
        </w:numPr>
        <w:spacing w:after="100" w:line="264"/>
      </w:pPr>
      <w:r>
        <w:rPr>
          <w:color w:val="1A1A1A"/>
          <w:sz w:val="21"/>
          <w:szCs w:val="21"/>
        </w:rPr>
        <w:t>The order count badge — "3 orders pending" — small, above the list, confirming scope at a glance.</w:t>
      </w:r>
    </w:p>
    <w:p>
      <w:pPr>
        <w:pStyle w:val="ListParagraph"/>
        <w:numPr>
          <w:ilvl w:val="0"/>
          <w:numId w:val="3"/>
        </w:numPr>
        <w:spacing w:after="100" w:line="264"/>
      </w:pPr>
      <w:r>
        <w:rPr>
          <w:color w:val="1A1A1A"/>
          <w:sz w:val="21"/>
          <w:szCs w:val="21"/>
        </w:rPr>
        <w:t>Connection status in the header — quietly present; escalated visually if the Odoo connection is lost.</w:t>
      </w:r>
    </w:p>
    <w:p>
      <w:pPr>
        <w:pStyle w:val="Heading2"/>
        <w:spacing w:after="160" w:before="360"/>
      </w:pPr>
      <w:r>
        <w:rPr>
          <w:b/>
          <w:bCs/>
          <w:color w:val="1B2A4A"/>
          <w:sz w:val="26"/>
          <w:szCs w:val="26"/>
        </w:rPr>
        <w:t>4.2 After Order Selection</w:t>
      </w:r>
    </w:p>
    <w:p>
      <w:pPr>
        <w:pStyle w:val="ListParagraph"/>
        <w:numPr>
          <w:ilvl w:val="0"/>
          <w:numId w:val="3"/>
        </w:numPr>
        <w:spacing w:after="100" w:line="264"/>
      </w:pPr>
      <w:r>
        <w:rPr>
          <w:color w:val="1A1A1A"/>
          <w:sz w:val="21"/>
          <w:szCs w:val="21"/>
        </w:rPr>
        <w:t>The selected order card — filename is the largest, boldest text on screen at this moment, with a highlighted border indicating selection.</w:t>
      </w:r>
    </w:p>
    <w:p>
      <w:pPr>
        <w:pStyle w:val="ListParagraph"/>
        <w:numPr>
          <w:ilvl w:val="0"/>
          <w:numId w:val="3"/>
        </w:numPr>
        <w:spacing w:after="100" w:line="264"/>
      </w:pPr>
      <w:r>
        <w:rPr>
          <w:color w:val="1A1A1A"/>
          <w:sz w:val="21"/>
          <w:szCs w:val="21"/>
        </w:rPr>
        <w:t>The primary action button ("Import Purchase Order") — high contrast, unmistakably the next step.</w:t>
      </w:r>
    </w:p>
    <w:p>
      <w:pPr>
        <w:pStyle w:val="ListParagraph"/>
        <w:numPr>
          <w:ilvl w:val="0"/>
          <w:numId w:val="3"/>
        </w:numPr>
        <w:spacing w:after="100" w:line="264"/>
      </w:pPr>
      <w:r>
        <w:rPr>
          <w:color w:val="1A1A1A"/>
          <w:sz w:val="21"/>
          <w:szCs w:val="21"/>
        </w:rPr>
        <w:t>A subtle "Back to order list" link — present but visually quiet.</w:t>
      </w:r>
    </w:p>
    <w:p>
      <w:pPr>
        <w:pStyle w:val="Heading2"/>
        <w:spacing w:after="160" w:before="360"/>
      </w:pPr>
      <w:r>
        <w:rPr>
          <w:b/>
          <w:bCs/>
          <w:color w:val="1B2A4A"/>
          <w:sz w:val="26"/>
          <w:szCs w:val="26"/>
        </w:rPr>
        <w:t xml:space="preserve">4.3 During Progress</w:t>
      </w:r>
    </w:p>
    <w:p>
      <w:pPr>
        <w:pStyle w:val="ListParagraph"/>
        <w:numPr>
          <w:ilvl w:val="0"/>
          <w:numId w:val="3"/>
        </w:numPr>
        <w:spacing w:after="100" w:line="264"/>
      </w:pPr>
      <w:r>
        <w:rPr>
          <w:color w:val="1A1A1A"/>
          <w:sz w:val="21"/>
          <w:szCs w:val="21"/>
        </w:rPr>
        <w:t xml:space="preserve">The currently active step — highlighted, animated indicator (spinner or pulsing dot).</w:t>
      </w:r>
    </w:p>
    <w:p>
      <w:pPr>
        <w:pStyle w:val="ListParagraph"/>
        <w:numPr>
          <w:ilvl w:val="0"/>
          <w:numId w:val="3"/>
        </w:numPr>
        <w:spacing w:after="100" w:line="264"/>
      </w:pPr>
      <w:r>
        <w:rPr>
          <w:color w:val="1A1A1A"/>
          <w:sz w:val="21"/>
          <w:szCs w:val="21"/>
        </w:rPr>
        <w:t xml:space="preserve">Completed steps — shown with a calm checkmark, in a lower-contrast/settled color so the eye isn't drawn backward.</w:t>
      </w:r>
    </w:p>
    <w:p>
      <w:pPr>
        <w:pStyle w:val="ListParagraph"/>
        <w:numPr>
          <w:ilvl w:val="0"/>
          <w:numId w:val="3"/>
        </w:numPr>
        <w:spacing w:after="100" w:line="264"/>
      </w:pPr>
      <w:r>
        <w:rPr>
          <w:color w:val="1A1A1A"/>
          <w:sz w:val="21"/>
          <w:szCs w:val="21"/>
        </w:rPr>
        <w:t xml:space="preserve">Pending steps — muted/greyed, present for context but not competing for attention.</w:t>
      </w:r>
    </w:p>
    <w:p>
      <w:pPr>
        <w:pStyle w:val="Heading2"/>
        <w:spacing w:after="160" w:before="360"/>
      </w:pPr>
      <w:r>
        <w:rPr>
          <w:b/>
          <w:bCs/>
          <w:color w:val="1B2A4A"/>
          <w:sz w:val="26"/>
          <w:szCs w:val="26"/>
        </w:rPr>
        <w:t xml:space="preserve">4.4 On Success</w:t>
      </w:r>
    </w:p>
    <w:p>
      <w:pPr>
        <w:pStyle w:val="ListParagraph"/>
        <w:numPr>
          <w:ilvl w:val="0"/>
          <w:numId w:val="3"/>
        </w:numPr>
        <w:spacing w:after="100" w:line="264"/>
      </w:pPr>
      <w:r>
        <w:rPr>
          <w:color w:val="1A1A1A"/>
          <w:sz w:val="21"/>
          <w:szCs w:val="21"/>
        </w:rPr>
        <w:t xml:space="preserve">A single unambiguous success signal (green check + "Purchase Order Created") — large, immediate.</w:t>
      </w:r>
    </w:p>
    <w:p>
      <w:pPr>
        <w:pStyle w:val="ListParagraph"/>
        <w:numPr>
          <w:ilvl w:val="0"/>
          <w:numId w:val="3"/>
        </w:numPr>
        <w:spacing w:after="100" w:line="264"/>
      </w:pPr>
      <w:r>
        <w:rPr>
          <w:color w:val="1A1A1A"/>
          <w:sz w:val="21"/>
          <w:szCs w:val="21"/>
        </w:rPr>
        <w:t xml:space="preserve">The Purchase Order ID / reference number — this is the one piece of data the user came for; it must be the most prominent piece of text on the result screen, easily copyable.</w:t>
      </w:r>
    </w:p>
    <w:p>
      <w:pPr>
        <w:pStyle w:val="ListParagraph"/>
        <w:numPr>
          <w:ilvl w:val="0"/>
          <w:numId w:val="3"/>
        </w:numPr>
        <w:spacing w:after="100" w:line="264"/>
      </w:pPr>
      <w:r>
        <w:rPr>
          <w:color w:val="1A1A1A"/>
          <w:sz w:val="21"/>
          <w:szCs w:val="21"/>
        </w:rPr>
        <w:t xml:space="preserve">Row summary ("12 of 12 rows imported") — secondary confirmation, smaller type.</w:t>
      </w:r>
    </w:p>
    <w:p>
      <w:pPr>
        <w:pStyle w:val="ListParagraph"/>
        <w:numPr>
          <w:ilvl w:val="0"/>
          <w:numId w:val="3"/>
        </w:numPr>
        <w:spacing w:after="100" w:line="264"/>
      </w:pPr>
      <w:r>
        <w:rPr>
          <w:color w:val="1A1A1A"/>
          <w:sz w:val="21"/>
          <w:szCs w:val="21"/>
        </w:rPr>
        <w:t>Next-step actions ("Import Next Order", "Open in Odoo") — on success the app has already moved the workbook to Processed Orders; "Import Next Order" advances directly to the Folder Scan View, refreshed, with the next pending order pre-selected.</w:t>
      </w:r>
    </w:p>
    <w:p>
      <w:pPr>
        <w:pStyle w:val="Heading2"/>
        <w:spacing w:after="160" w:before="360"/>
      </w:pPr>
      <w:r>
        <w:rPr>
          <w:b/>
          <w:bCs/>
          <w:color w:val="1B2A4A"/>
          <w:sz w:val="26"/>
          <w:szCs w:val="26"/>
        </w:rPr>
        <w:t xml:space="preserve">4.5 On Failure</w:t>
      </w:r>
    </w:p>
    <w:p>
      <w:pPr>
        <w:pStyle w:val="ListParagraph"/>
        <w:numPr>
          <w:ilvl w:val="0"/>
          <w:numId w:val="3"/>
        </w:numPr>
        <w:spacing w:after="100" w:line="264"/>
      </w:pPr>
      <w:r>
        <w:rPr>
          <w:color w:val="1A1A1A"/>
          <w:sz w:val="21"/>
          <w:szCs w:val="21"/>
        </w:rPr>
        <w:t xml:space="preserve">A single unambiguous failure signal (red/amber icon + plain-language headline) — what went wrong, in one sentence a non-technical person can act on.</w:t>
      </w:r>
    </w:p>
    <w:p>
      <w:pPr>
        <w:pStyle w:val="ListParagraph"/>
        <w:numPr>
          <w:ilvl w:val="0"/>
          <w:numId w:val="3"/>
        </w:numPr>
        <w:spacing w:after="100" w:line="264"/>
      </w:pPr>
      <w:r>
        <w:rPr>
          <w:color w:val="1A1A1A"/>
          <w:sz w:val="21"/>
          <w:szCs w:val="21"/>
        </w:rPr>
        <w:t xml:space="preserve">The specific, actionable detail if available (e.g. "Row 7: Vendor 'ACME Corp' not found in Odoo") — this is what lets a business user often self-correct without calling IT.</w:t>
      </w:r>
    </w:p>
    <w:p>
      <w:pPr>
        <w:pStyle w:val="ListParagraph"/>
        <w:numPr>
          <w:ilvl w:val="0"/>
          <w:numId w:val="3"/>
        </w:numPr>
        <w:spacing w:after="100" w:line="264"/>
      </w:pPr>
      <w:r>
        <w:rPr>
          <w:color w:val="1A1A1A"/>
          <w:sz w:val="21"/>
          <w:szCs w:val="21"/>
        </w:rPr>
        <w:t xml:space="preserve">A de-emphasized "View Technical Details" disclosure — present, low-contrast, expandable — for IT escalation.</w:t>
      </w:r>
    </w:p>
    <w:p>
      <w:pPr>
        <w:pStyle w:val="ListParagraph"/>
        <w:numPr>
          <w:ilvl w:val="0"/>
          <w:numId w:val="3"/>
        </w:numPr>
        <w:spacing w:after="100" w:line="264"/>
      </w:pPr>
      <w:r>
        <w:rPr>
          <w:color w:val="1A1A1A"/>
          <w:sz w:val="21"/>
          <w:szCs w:val="21"/>
        </w:rPr>
        <w:t xml:space="preserve">Retry / next-step action.</w:t>
      </w:r>
    </w:p>
    <w:p>
      <w:r>
        <w:br w:type="page"/>
      </w:r>
    </w:p>
    <w:p>
      <w:pPr>
        <w:pStyle w:val="Heading1"/>
        <w:pBdr>
          <w:bottom w:val="single" w:color="1B2A4A" w:sz="6" w:space="4"/>
        </w:pBdr>
        <w:spacing w:after="200" w:before="480"/>
      </w:pPr>
      <w:r>
        <w:rPr>
          <w:b/>
          <w:bCs/>
          <w:color w:val="1B2A4A"/>
          <w:sz w:val="32"/>
          <w:szCs w:val="32"/>
        </w:rPr>
        <w:t xml:space="preserve">5. Screen Wireframes</w:t>
      </w:r>
    </w:p>
    <w:p>
      <w:pPr>
        <w:spacing w:after="180" w:line="276"/>
      </w:pPr>
      <w:r>
        <w:rPr>
          <w:color w:val="1A1A1A"/>
          <w:sz w:val="21"/>
          <w:szCs w:val="21"/>
        </w:rPr>
        <w:t xml:space="preserve">ASCII wireframes of every primary state, at the recommended default window size of 760×560. Proportions are illustrative of hierarchy, not pixel-exact.</w:t>
      </w:r>
    </w:p>
    <w:p>
      <w:pPr>
        <w:pStyle w:val="Heading2"/>
        <w:spacing w:after="160" w:before="360"/>
      </w:pPr>
      <w:r>
        <w:rPr>
          <w:b/>
          <w:bCs/>
          <w:color w:val="1B2A4A"/>
          <w:sz w:val="26"/>
          <w:szCs w:val="26"/>
        </w:rPr>
        <w:t>5.1 Folder Scan State — Initial Launch (Orders Pending)</w:t>
      </w:r>
    </w:p>
    <w:p>
      <w:pPr>
        <w:pBdr>
          <w:top w:val="single" w:color="0D1117" w:sz="4"/>
          <w:bottom w:val="single" w:color="0D1117" w:sz="4"/>
          <w:left w:val="single" w:color="0D1117" w:sz="4"/>
          <w:right w:val="single" w:color="0D1117" w:sz="4"/>
        </w:pBdr>
        <w:shd w:fill="0D1117" w:val="clear"/>
        <w:spacing w:after="240" w:before="120"/>
      </w:pPr>
      <w:r>
        <w:rPr>
          <w:rFonts w:ascii="Consolas" w:cs="Consolas" w:eastAsia="Consolas" w:hAnsi="Consolas"/>
          <w:color w:val="D6E2F0"/>
          <w:sz w:val="17"/>
          <w:szCs w:val="17"/>
        </w:rPr>
        <w:t>┌──────────────────────────────────────────────────────────────────┐</w:t>
        <w:br/>
        <w:t>│  Purchase Order Importer                              ─  □  ✕     │  ← native title bar</w:t>
        <w:br/>
        <w:t>├──────────────────────────────────────────────────────────────────┤</w:t>
        <w:br/>
        <w:t>│  ◆ PO Importer                          ● Connected to Odoo       │  ← header</w:t>
        <w:br/>
        <w:t>├──────────────────────────────────────────────────────────────────┤</w:t>
        <w:br/>
        <w:t>│                                                                    │</w:t>
        <w:br/>
        <w:t>│  3 pending orders   Incoming: D:\Orders\Incoming   [⟳ Refresh]    │</w:t>
        <w:br/>
        <w:t>│                                                                    │</w:t>
        <w:br/>
        <w:t>│  ┌──────────────────────────────────────────────────────────┐    │</w:t>
        <w:br/>
        <w:t>│  │  📄  PO_DRInternational_July.xlsx      248 KB  Jul 20  │    │  ← selected</w:t>
        <w:br/>
        <w:t>│  └──────────────────────────────────────────────────────────┘    │</w:t>
        <w:br/>
        <w:t>│  ┌──────────────────────────────────────────────────────────┐    │</w:t>
        <w:br/>
        <w:t>│  │  📄  PO_ACME_Q3.xlsx                    91 KB  Jul 19  │    │</w:t>
        <w:br/>
        <w:t>│  └──────────────────────────────────────────────────────────┘    │</w:t>
        <w:br/>
        <w:t>│                                                                    │</w:t>
        <w:br/>
        <w:t>│                  ┌──────────────────────────────┐               │</w:t>
        <w:br/>
        <w:t>│                  │   Import Purchase Order        │               │</w:t>
        <w:br/>
        <w:t>│                  └──────────────────────────────┘               │</w:t>
        <w:br/>
        <w:t>│                                                                    │</w:t>
        <w:br/>
        <w:t>├──────────────────────────────────────────────────────────────────┤</w:t>
        <w:br/>
        <w:t>│  v2.0.0           Configure Folders              View Log File    │  ← footer</w:t>
        <w:br/>
        <w:t>└──────────────────────────────────────────────────────────────────┘</w:t>
        <w:br/>
        <w:t xml:space="preserve">   760 px wide x 560 px tall (default)</w:t>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p>
    <w:p>
      <w:pPr>
        <w:pStyle w:val="Heading2"/>
        <w:spacing w:after="160" w:before="360"/>
      </w:pPr>
      <w:r>
        <w:rPr>
          <w:b/>
          <w:bCs/>
          <w:color w:val="1B2A4A"/>
          <w:sz w:val="26"/>
          <w:szCs w:val="26"/>
        </w:rPr>
        <w:t>5.2 Ready State — Order Selected</w:t>
      </w:r>
    </w:p>
    <w:p>
      <w:pPr>
        <w:pBdr>
          <w:top w:val="single" w:color="0D1117" w:sz="4"/>
          <w:bottom w:val="single" w:color="0D1117" w:sz="4"/>
          <w:left w:val="single" w:color="0D1117" w:sz="4"/>
          <w:right w:val="single" w:color="0D1117" w:sz="4"/>
        </w:pBdr>
        <w:shd w:fill="0D1117" w:val="clear"/>
        <w:spacing w:after="240" w:before="120"/>
      </w:pPr>
      <w:r>
        <w:rPr>
          <w:rFonts w:ascii="Consolas" w:cs="Consolas" w:eastAsia="Consolas" w:hAnsi="Consolas"/>
          <w:color w:val="D6E2F0"/>
          <w:sz w:val="17"/>
          <w:szCs w:val="17"/>
        </w:rPr>
        <w:t>┌──────────────────────────────────────────────────────────────────┐</w:t>
        <w:br/>
        <w:t>│  Purchase Order Importer                              ─  □  ✕     │</w:t>
        <w:br/>
        <w:t>├──────────────────────────────────────────────────────────────────┤</w:t>
        <w:br/>
        <w:t>│  ◆ PO Importer                          ● Connected to Odoo       │</w:t>
        <w:br/>
        <w:t>├──────────────────────────────────────────────────────────────────┤</w:t>
        <w:br/>
        <w:t>│                                                                    │</w:t>
        <w:br/>
        <w:t>│   ┌────────────────────────────────────────────────────────────┐   │</w:t>
        <w:br/>
        <w:t>│   │  📄  PO_DRInternational_July.xlsx                         │   │</w:t>
        <w:br/>
        <w:t>│   │       248 KB · Modified 20 Jul · D:\Orders\Incoming             │   │</w:t>
        <w:br/>
        <w:t>│   └────────────────────────────────────────────────────────────┘   │</w:t>
        <w:br/>
        <w:t>│                                                                    │</w:t>
        <w:br/>
        <w:t>│                  ┌──────────────────────────────┐               │</w:t>
        <w:br/>
        <w:t>│                  │   Import Purchase Order        │               │</w:t>
        <w:br/>
        <w:t>│                  └──────────────────────────────┘               │</w:t>
        <w:br/>
        <w:t>│                                                                    │</w:t>
        <w:br/>
        <w:t>│                   ← Back to order list                           │</w:t>
        <w:br/>
        <w:t>│                                                                    │</w:t>
        <w:br/>
        <w:t>├──────────────────────────────────────────────────────────────────┤</w:t>
        <w:br/>
        <w:t>│  v2.0.0           Configure Folders              View Log File    │</w:t>
        <w:br/>
        <w:t>└──────────────────────────────────────────────────────────────────┘</w:t>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p>
    <w:p>
      <w:pPr>
        <w:pStyle w:val="Heading2"/>
        <w:spacing w:after="160" w:before="360"/>
      </w:pPr>
      <w:r>
        <w:rPr>
          <w:b/>
          <w:bCs/>
          <w:color w:val="1B2A4A"/>
          <w:sz w:val="26"/>
          <w:szCs w:val="26"/>
        </w:rPr>
        <w:t xml:space="preserve">5.3 Progress State</w:t>
      </w:r>
    </w:p>
    <w:p>
      <w:pPr>
        <w:pBdr>
          <w:top w:val="single" w:color="0D1117" w:sz="4"/>
          <w:bottom w:val="single" w:color="0D1117" w:sz="4"/>
          <w:left w:val="single" w:color="0D1117" w:sz="4"/>
          <w:right w:val="single" w:color="0D1117" w:sz="4"/>
        </w:pBdr>
        <w:shd w:fill="0D1117" w:val="clear"/>
        <w:spacing w:after="240" w:before="120"/>
      </w:pPr>
      <w:r>
        <w:rPr>
          <w:rFonts w:ascii="Consolas" w:cs="Consolas" w:eastAsia="Consolas" w:hAnsi="Consolas"/>
          <w:color w:val="D6E2F0"/>
          <w:sz w:val="17"/>
          <w:szCs w:val="17"/>
        </w:rPr>
        <w:t xml:space="preserve">┌──────────────────────────────────────────────────────────────────┐</w:t>
      </w:r>
      <w:r>
        <w:rPr>
          <w:rFonts w:ascii="Consolas" w:cs="Consolas" w:eastAsia="Consolas" w:hAnsi="Consolas"/>
          <w:color w:val="D6E2F0"/>
          <w:sz w:val="17"/>
          <w:szCs w:val="17"/>
        </w:rPr>
        <w:br/>
        <w:t xml:space="preserve">│  Purchase Order Importer                              ─  □  ✕     │</w:t>
      </w:r>
      <w:r>
        <w:rPr>
          <w:rFonts w:ascii="Consolas" w:cs="Consolas" w:eastAsia="Consolas" w:hAnsi="Consolas"/>
          <w:color w:val="D6E2F0"/>
          <w:sz w:val="17"/>
          <w:szCs w:val="17"/>
        </w:rPr>
        <w:br/>
        <w:t xml:space="preserve">├──────────────────────────────────────────────────────────────────┤</w:t>
      </w:r>
      <w:r>
        <w:rPr>
          <w:rFonts w:ascii="Consolas" w:cs="Consolas" w:eastAsia="Consolas" w:hAnsi="Consolas"/>
          <w:color w:val="D6E2F0"/>
          <w:sz w:val="17"/>
          <w:szCs w:val="17"/>
        </w:rPr>
        <w:br/>
        <w:t xml:space="preserve">│  ◆ PO Importer                          ● Connected to Odoo       │</w:t>
      </w:r>
      <w:r>
        <w:rPr>
          <w:rFonts w:ascii="Consolas" w:cs="Consolas" w:eastAsia="Consolas" w:hAnsi="Consolas"/>
          <w:color w:val="D6E2F0"/>
          <w:sz w:val="17"/>
          <w:szCs w:val="17"/>
        </w:rPr>
        <w:br/>
        <w:t xml:space="preserve">├──────────────────────────────────────────────────────────────────┤</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Importing Q3_PurchaseOrder_DRInternational.xlsx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  Reading workbook                                             │</w:t>
      </w:r>
      <w:r>
        <w:rPr>
          <w:rFonts w:ascii="Consolas" w:cs="Consolas" w:eastAsia="Consolas" w:hAnsi="Consolas"/>
          <w:color w:val="D6E2F0"/>
          <w:sz w:val="17"/>
          <w:szCs w:val="17"/>
        </w:rPr>
        <w:br/>
        <w:t xml:space="preserve">│   ✓  Validating columns                                           │</w:t>
      </w:r>
      <w:r>
        <w:rPr>
          <w:rFonts w:ascii="Consolas" w:cs="Consolas" w:eastAsia="Consolas" w:hAnsi="Consolas"/>
          <w:color w:val="D6E2F0"/>
          <w:sz w:val="17"/>
          <w:szCs w:val="17"/>
        </w:rPr>
        <w:br/>
        <w:t xml:space="preserve">│   ✓  Validating rows                                              │</w:t>
      </w:r>
      <w:r>
        <w:rPr>
          <w:rFonts w:ascii="Consolas" w:cs="Consolas" w:eastAsia="Consolas" w:hAnsi="Consolas"/>
          <w:color w:val="D6E2F0"/>
          <w:sz w:val="17"/>
          <w:szCs w:val="17"/>
        </w:rPr>
        <w:br/>
        <w:t xml:space="preserve">│   ⟳  Resolving vendor…                                            │</w:t>
      </w:r>
      <w:r>
        <w:rPr>
          <w:rFonts w:ascii="Consolas" w:cs="Consolas" w:eastAsia="Consolas" w:hAnsi="Consolas"/>
          <w:color w:val="D6E2F0"/>
          <w:sz w:val="17"/>
          <w:szCs w:val="17"/>
        </w:rPr>
        <w:br/>
        <w:t xml:space="preserve">│   ○  Resolving products                                           │</w:t>
      </w:r>
      <w:r>
        <w:rPr>
          <w:rFonts w:ascii="Consolas" w:cs="Consolas" w:eastAsia="Consolas" w:hAnsi="Consolas"/>
          <w:color w:val="D6E2F0"/>
          <w:sz w:val="17"/>
          <w:szCs w:val="17"/>
        </w:rPr>
        <w:br/>
        <w:t xml:space="preserve">│   ○  Creating purchase order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  3 / 6 steps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 Cancel Import ]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w:t>
      </w:r>
      <w:r>
        <w:rPr>
          <w:rFonts w:ascii="Consolas" w:cs="Consolas" w:eastAsia="Consolas" w:hAnsi="Consolas"/>
          <w:color w:val="D6E2F0"/>
          <w:sz w:val="17"/>
          <w:szCs w:val="17"/>
        </w:rPr>
        <w:br/>
        <w:t xml:space="preserve">│  v1.2.0                                    View Log File          │</w:t>
      </w:r>
      <w:r>
        <w:rPr>
          <w:rFonts w:ascii="Consolas" w:cs="Consolas" w:eastAsia="Consolas" w:hAnsi="Consolas"/>
          <w:color w:val="D6E2F0"/>
          <w:sz w:val="17"/>
          <w:szCs w:val="17"/>
        </w:rPr>
        <w:br/>
        <w:t xml:space="preserve">└──────────────────────────────────────────────────────────────────┘</w:t>
      </w:r>
    </w:p>
    <w:p>
      <w:pPr>
        <w:pStyle w:val="Heading2"/>
        <w:spacing w:after="160" w:before="360"/>
      </w:pPr>
      <w:r>
        <w:rPr>
          <w:b/>
          <w:bCs/>
          <w:color w:val="1B2A4A"/>
          <w:sz w:val="26"/>
          <w:szCs w:val="26"/>
        </w:rPr>
        <w:t>5.4 Success State</w:t>
      </w:r>
    </w:p>
    <w:p>
      <w:pPr>
        <w:pBdr>
          <w:top w:val="single" w:color="0D1117" w:sz="4"/>
          <w:bottom w:val="single" w:color="0D1117" w:sz="4"/>
          <w:left w:val="single" w:color="0D1117" w:sz="4"/>
          <w:right w:val="single" w:color="0D1117" w:sz="4"/>
        </w:pBdr>
        <w:shd w:fill="0D1117" w:val="clear"/>
        <w:spacing w:after="240" w:before="120"/>
      </w:pPr>
      <w:r>
        <w:rPr>
          <w:rFonts w:ascii="Consolas" w:cs="Consolas" w:eastAsia="Consolas" w:hAnsi="Consolas"/>
          <w:color w:val="D6E2F0"/>
          <w:sz w:val="17"/>
          <w:szCs w:val="17"/>
        </w:rPr>
        <w:t>┌──────────────────────────────────────────────────────────────────┐</w:t>
        <w:br/>
        <w:t>│  Purchase Order Importer                              ─  □  ✕     │</w:t>
        <w:br/>
        <w:t>├──────────────────────────────────────────────────────────────────┤</w:t>
        <w:br/>
        <w:t>│  ◆ PO Importer                          ● Connected to Odoo       │</w:t>
        <w:br/>
        <w:t>├──────────────────────────────────────────────────────────────────┤</w:t>
        <w:br/>
        <w:t>│                                                                    │</w:t>
        <w:br/>
        <w:t>│                           ✓                                       │</w:t>
        <w:br/>
        <w:t>│                 Purchase Order Created                            │</w:t>
        <w:br/>
        <w:t>│                                                                    │</w:t>
        <w:br/>
        <w:t>│                    ┌───────────────────┐                          │</w:t>
        <w:br/>
        <w:t>│                    │   PO00847      📋 │                          │</w:t>
        <w:br/>
        <w:t>│                    └───────────────────┘                          │</w:t>
        <w:br/>
        <w:t>│                                                                    │</w:t>
        <w:br/>
        <w:t>│               12 of 12 rows imported successfully                 │</w:t>
        <w:br/>
        <w:t>│               ✓  Workbook moved to Processed Orders              │</w:t>
        <w:br/>
        <w:t>│                                                                    │</w:t>
        <w:br/>
        <w:t>│         ┌───────────────────┐  ┌───────────────────────┐        │</w:t>
        <w:br/>
        <w:t>│         │ Import Next Order  │  │  Open in Odoo   ↗     │        │</w:t>
        <w:br/>
        <w:t>│         └───────────────────┘  └───────────────────────┘        │</w:t>
        <w:br/>
        <w:t>│                                                                    │</w:t>
        <w:br/>
        <w:t>├──────────────────────────────────────────────────────────────────┤</w:t>
        <w:br/>
        <w:t>│  v2.0.0  Imported at 4:12 PM    Configure Folders   View Log    │</w:t>
        <w:br/>
        <w:t>└──────────────────────────────────────────────────────────────────┘</w:t>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p>
    <w:p>
      <w:pPr>
        <w:pStyle w:val="Heading2"/>
        <w:spacing w:after="160" w:before="360"/>
      </w:pPr>
      <w:r>
        <w:rPr>
          <w:b/>
          <w:bCs/>
          <w:color w:val="1B2A4A"/>
          <w:sz w:val="26"/>
          <w:szCs w:val="26"/>
        </w:rPr>
        <w:t>5.5 Failure State (Collapsed Technical Detail)</w:t>
      </w:r>
    </w:p>
    <w:p>
      <w:pPr>
        <w:pBdr>
          <w:top w:val="single" w:color="0D1117" w:sz="4"/>
          <w:bottom w:val="single" w:color="0D1117" w:sz="4"/>
          <w:left w:val="single" w:color="0D1117" w:sz="4"/>
          <w:right w:val="single" w:color="0D1117" w:sz="4"/>
        </w:pBdr>
        <w:shd w:fill="0D1117" w:val="clear"/>
        <w:spacing w:after="240" w:before="120"/>
      </w:pPr>
      <w:r>
        <w:rPr>
          <w:rFonts w:ascii="Consolas" w:cs="Consolas" w:eastAsia="Consolas" w:hAnsi="Consolas"/>
          <w:color w:val="D6E2F0"/>
          <w:sz w:val="17"/>
          <w:szCs w:val="17"/>
        </w:rPr>
        <w:t>┌──────────────────────────────────────────────────────────────────┐</w:t>
        <w:br/>
        <w:t>│  Purchase Order Importer                              ─  □  ✕     │</w:t>
        <w:br/>
        <w:t>├──────────────────────────────────────────────────────────────────┤</w:t>
        <w:br/>
        <w:t>│  ◆ PO Importer                          ● Connected to Odoo       │</w:t>
        <w:br/>
        <w:t>├──────────────────────────────────────────────────────────────────┤</w:t>
        <w:br/>
        <w:t>│                                                                    │</w:t>
        <w:br/>
        <w:t>│                           ⚠                                       │</w:t>
        <w:br/>
        <w:t>│                    Import Could Not Finish                        │</w:t>
        <w:br/>
        <w:t>│                                                                    │</w:t>
        <w:br/>
        <w:t>│   Row 7: Vendor "ACME Corp" could not be matched to a vendor      │</w:t>
        <w:br/>
        <w:t>│   in Odoo. No purchase order was created.                         │</w:t>
        <w:br/>
        <w:t>│                                                                    │</w:t>
        <w:br/>
        <w:t>│   9 of 12 rows validated · 0 rows imported                        │</w:t>
        <w:br/>
        <w:t>│                                                                    │</w:t>
        <w:br/>
        <w:t>│   ⓘ  Workbook remains in Incoming Orders — correct and retry.    │</w:t>
        <w:br/>
        <w:t>│                                                                    │</w:t>
        <w:br/>
        <w:t>│   ▸ View Technical Details                                        │</w:t>
        <w:br/>
        <w:t>│                                                                    │</w:t>
        <w:br/>
        <w:t>│         ┌──────────────┐  ┌────────────────────────┐             │</w:t>
        <w:br/>
        <w:t>│         │  Try Again     │  │  Back to Order List     │             │</w:t>
        <w:br/>
        <w:t>│         └──────────────┘  └────────────────────────┘             │</w:t>
        <w:br/>
        <w:t>│                                                                    │</w:t>
        <w:br/>
        <w:t>├──────────────────────────────────────────────────────────────────┤</w:t>
        <w:br/>
        <w:t>│  v2.0.0           Configure Folders              View Log File    │</w:t>
        <w:br/>
        <w:t>└──────────────────────────────────────────────────────────────────┘</w:t>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r>
        <w:rPr>
          <w:rFonts w:ascii="Consolas" w:cs="Consolas" w:eastAsia="Consolas" w:hAnsi="Consolas"/>
          <w:color w:val="D6E2F0"/>
          <w:sz w:val="17"/>
          <w:szCs w:val="17"/>
        </w:rPr>
      </w:r>
    </w:p>
    <w:p>
      <w:pPr>
        <w:pStyle w:val="Heading2"/>
        <w:spacing w:after="160" w:before="360"/>
      </w:pPr>
      <w:r>
        <w:rPr>
          <w:b/>
          <w:bCs/>
          <w:color w:val="1B2A4A"/>
          <w:sz w:val="26"/>
          <w:szCs w:val="26"/>
        </w:rPr>
        <w:t xml:space="preserve">5.6 Failure State (Expanded Technical Detail)</w:t>
      </w:r>
    </w:p>
    <w:p>
      <w:pPr>
        <w:pBdr>
          <w:top w:val="single" w:color="0D1117" w:sz="4"/>
          <w:bottom w:val="single" w:color="0D1117" w:sz="4"/>
          <w:left w:val="single" w:color="0D1117" w:sz="4"/>
          <w:right w:val="single" w:color="0D1117" w:sz="4"/>
        </w:pBdr>
        <w:shd w:fill="0D1117" w:val="clear"/>
        <w:spacing w:after="240" w:before="120"/>
      </w:pPr>
      <w:r>
        <w:rPr>
          <w:rFonts w:ascii="Consolas" w:cs="Consolas" w:eastAsia="Consolas" w:hAnsi="Consolas"/>
          <w:color w:val="D6E2F0"/>
          <w:sz w:val="17"/>
          <w:szCs w:val="17"/>
        </w:rPr>
        <w:t xml:space="preserve">   ▾ View Technical Details                                        │</w:t>
      </w:r>
      <w:r>
        <w:rPr>
          <w:rFonts w:ascii="Consolas" w:cs="Consolas" w:eastAsia="Consolas" w:hAnsi="Consolas"/>
          <w:color w:val="D6E2F0"/>
          <w:sz w:val="17"/>
          <w:szCs w:val="17"/>
        </w:rPr>
        <w:br/>
        <w:t xml:space="preserve">│  ┌──────────────────────────────────────────────────────────┐   │</w:t>
      </w:r>
      <w:r>
        <w:rPr>
          <w:rFonts w:ascii="Consolas" w:cs="Consolas" w:eastAsia="Consolas" w:hAnsi="Consolas"/>
          <w:color w:val="D6E2F0"/>
          <w:sz w:val="17"/>
          <w:szCs w:val="17"/>
        </w:rPr>
        <w:br/>
        <w:t xml:space="preserve">│  │ Error Code:     VENDOR_NOT_FOUND                          │   │</w:t>
      </w:r>
      <w:r>
        <w:rPr>
          <w:rFonts w:ascii="Consolas" w:cs="Consolas" w:eastAsia="Consolas" w:hAnsi="Consolas"/>
          <w:color w:val="D6E2F0"/>
          <w:sz w:val="17"/>
          <w:szCs w:val="17"/>
        </w:rPr>
        <w:br/>
        <w:t xml:space="preserve">│  │ Stage:          resolve_vendor                            │   │</w:t>
      </w:r>
      <w:r>
        <w:rPr>
          <w:rFonts w:ascii="Consolas" w:cs="Consolas" w:eastAsia="Consolas" w:hAnsi="Consolas"/>
          <w:color w:val="D6E2F0"/>
          <w:sz w:val="17"/>
          <w:szCs w:val="17"/>
        </w:rPr>
        <w:br/>
        <w:t xml:space="preserve">│  │ Raised at:       services/vendor_resolver.py:41            │   │</w:t>
      </w:r>
      <w:r>
        <w:rPr>
          <w:rFonts w:ascii="Consolas" w:cs="Consolas" w:eastAsia="Consolas" w:hAnsi="Consolas"/>
          <w:color w:val="D6E2F0"/>
          <w:sz w:val="17"/>
          <w:szCs w:val="17"/>
        </w:rPr>
        <w:br/>
        <w:t xml:space="preserve">│  │                                                             │   │</w:t>
      </w:r>
      <w:r>
        <w:rPr>
          <w:rFonts w:ascii="Consolas" w:cs="Consolas" w:eastAsia="Consolas" w:hAnsi="Consolas"/>
          <w:color w:val="D6E2F0"/>
          <w:sz w:val="17"/>
          <w:szCs w:val="17"/>
        </w:rPr>
        <w:br/>
        <w:t xml:space="preserve">│  │ XML-RPC Fault: search_read() returned 0 results for        │   │</w:t>
      </w:r>
      <w:r>
        <w:rPr>
          <w:rFonts w:ascii="Consolas" w:cs="Consolas" w:eastAsia="Consolas" w:hAnsi="Consolas"/>
          <w:color w:val="D6E2F0"/>
          <w:sz w:val="17"/>
          <w:szCs w:val="17"/>
        </w:rPr>
        <w:br/>
        <w:t xml:space="preserve">│  │ domain [('name','=','ACME Corp')] on res.partner            │   │</w:t>
      </w:r>
      <w:r>
        <w:rPr>
          <w:rFonts w:ascii="Consolas" w:cs="Consolas" w:eastAsia="Consolas" w:hAnsi="Consolas"/>
          <w:color w:val="D6E2F0"/>
          <w:sz w:val="17"/>
          <w:szCs w:val="17"/>
        </w:rPr>
        <w:br/>
        <w:t xml:space="preserve">│  │                                                             │   │</w:t>
      </w:r>
      <w:r>
        <w:rPr>
          <w:rFonts w:ascii="Consolas" w:cs="Consolas" w:eastAsia="Consolas" w:hAnsi="Consolas"/>
          <w:color w:val="D6E2F0"/>
          <w:sz w:val="17"/>
          <w:szCs w:val="17"/>
        </w:rPr>
        <w:br/>
        <w:t xml:space="preserve">│  │ [ Copy Details ]              [ Open Full Log File ]        │   │</w:t>
      </w:r>
      <w:r>
        <w:rPr>
          <w:rFonts w:ascii="Consolas" w:cs="Consolas" w:eastAsia="Consolas" w:hAnsi="Consolas"/>
          <w:color w:val="D6E2F0"/>
          <w:sz w:val="17"/>
          <w:szCs w:val="17"/>
        </w:rPr>
        <w:br/>
        <w:t xml:space="preserve">│  └──────────────────────────────────────────────────────────┘   │</w:t>
      </w:r>
    </w:p>
    <w:p>
      <w:r>
        <w:br w:type="page"/>
      </w:r>
    </w:p>
    <w:p>
      <w:pPr>
        <w:pStyle w:val="Heading1"/>
        <w:pBdr>
          <w:bottom w:val="single" w:color="1B2A4A" w:sz="6" w:space="4"/>
        </w:pBdr>
        <w:spacing w:after="200" w:before="480"/>
      </w:pPr>
      <w:r>
        <w:rPr>
          <w:b/>
          <w:bCs/>
          <w:color w:val="1B2A4A"/>
          <w:sz w:val="32"/>
          <w:szCs w:val="32"/>
        </w:rPr>
        <w:t xml:space="preserve">6. Component Specification</w:t>
      </w:r>
    </w:p>
    <w:p>
      <w:pPr>
        <w:spacing w:after="180" w:line="276"/>
      </w:pPr>
      <w:r>
        <w:rPr>
          <w:color w:val="1A1A1A"/>
          <w:sz w:val="21"/>
          <w:szCs w:val="21"/>
        </w:rPr>
        <w:t xml:space="preserve">Every reusable UI element, its states, and the reasoning behind its design. This section is written so a frontend engineer can build a component library directly from it.</w:t>
      </w:r>
    </w:p>
    <w:p>
      <w:pPr>
        <w:pStyle w:val="Heading2"/>
        <w:spacing w:after="160" w:before="360"/>
      </w:pPr>
      <w:r>
        <w:rPr>
          <w:b/>
          <w:bCs/>
          <w:color w:val="1B2A4A"/>
          <w:sz w:val="26"/>
          <w:szCs w:val="26"/>
        </w:rPr>
        <w:t xml:space="preserve">6.1 Buttons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tblGrid>
      <w:tr>
        <w:trPr>
          <w:tblHeader/>
        </w:trPr>
        <w:tc>
          <w:tcPr>
            <w:tcW w:type="pct" w:w="50%"/>
            <w:shd w:fill="1B2A4A" w:val="clear"/>
            <w:tcMar>
              <w:top w:type="dxa" w:w="100"/>
              <w:left w:type="dxa" w:w="150"/>
              <w:bottom w:type="dxa" w:w="100"/>
              <w:right w:type="dxa" w:w="150"/>
            </w:tcMar>
          </w:tcPr>
          <w:p>
            <w:r>
              <w:rPr>
                <w:b/>
                <w:bCs/>
                <w:color w:val="FFFFFF"/>
                <w:sz w:val="19"/>
                <w:szCs w:val="19"/>
              </w:rPr>
              <w:t xml:space="preserve">Variant</w:t>
            </w:r>
          </w:p>
        </w:tc>
        <w:tc>
          <w:tcPr>
            <w:tcW w:type="pct" w:w="50%"/>
            <w:shd w:fill="1B2A4A" w:val="clear"/>
            <w:tcMar>
              <w:top w:type="dxa" w:w="100"/>
              <w:left w:type="dxa" w:w="150"/>
              <w:bottom w:type="dxa" w:w="100"/>
              <w:right w:type="dxa" w:w="150"/>
            </w:tcMar>
          </w:tcPr>
          <w:p>
            <w:r>
              <w:rPr>
                <w:b/>
                <w:bCs/>
                <w:color w:val="FFFFFF"/>
                <w:sz w:val="19"/>
                <w:szCs w:val="19"/>
              </w:rPr>
              <w:t xml:space="preserve">Specification</w:t>
            </w:r>
          </w:p>
        </w:tc>
      </w:tr>
      <w:tr>
        <w:tc>
          <w:tcPr>
            <w:shd w:fill="FFFFFF" w:val="clear"/>
            <w:tcMar>
              <w:top w:type="dxa" w:w="100"/>
              <w:left w:type="dxa" w:w="150"/>
              <w:bottom w:type="dxa" w:w="100"/>
              <w:right w:type="dxa" w:w="150"/>
            </w:tcMar>
          </w:tcPr>
          <w:p>
            <w:pPr>
              <w:spacing w:line="250"/>
            </w:pPr>
            <w:r>
              <w:rPr>
                <w:color w:val="1A1A1A"/>
                <w:sz w:val="19"/>
                <w:szCs w:val="19"/>
              </w:rPr>
              <w:t xml:space="preserve">Primary</w:t>
            </w:r>
          </w:p>
        </w:tc>
        <w:tc>
          <w:tcPr>
            <w:shd w:fill="FFFFFF" w:val="clear"/>
            <w:tcMar>
              <w:top w:type="dxa" w:w="100"/>
              <w:left w:type="dxa" w:w="150"/>
              <w:bottom w:type="dxa" w:w="100"/>
              <w:right w:type="dxa" w:w="150"/>
            </w:tcMar>
          </w:tcPr>
          <w:p>
            <w:pPr>
              <w:spacing w:line="250"/>
            </w:pPr>
            <w:r>
              <w:rPr>
                <w:color w:val="1A1A1A"/>
                <w:sz w:val="19"/>
                <w:szCs w:val="19"/>
              </w:rPr>
              <w:t xml:space="preserve">Solid fill, accent color (#2E6FDB), white text, medium weight. One per screen, maximum. Used for: Import Purchase Order, Try Again.</w:t>
            </w:r>
          </w:p>
        </w:tc>
      </w:tr>
      <w:tr>
        <w:tc>
          <w:tcPr>
            <w:shd w:fill="F2F3F5" w:val="clear"/>
            <w:tcMar>
              <w:top w:type="dxa" w:w="100"/>
              <w:left w:type="dxa" w:w="150"/>
              <w:bottom w:type="dxa" w:w="100"/>
              <w:right w:type="dxa" w:w="150"/>
            </w:tcMar>
          </w:tcPr>
          <w:p>
            <w:pPr>
              <w:spacing w:line="250"/>
            </w:pPr>
            <w:r>
              <w:rPr>
                <w:color w:val="1A1A1A"/>
                <w:sz w:val="19"/>
                <w:szCs w:val="19"/>
              </w:rPr>
              <w:t xml:space="preserve">Secondary</w:t>
            </w:r>
          </w:p>
        </w:tc>
        <w:tc>
          <w:tcPr>
            <w:shd w:fill="F2F3F5" w:val="clear"/>
            <w:tcMar>
              <w:top w:type="dxa" w:w="100"/>
              <w:left w:type="dxa" w:w="150"/>
              <w:bottom w:type="dxa" w:w="100"/>
              <w:right w:type="dxa" w:w="150"/>
            </w:tcMar>
          </w:tcPr>
          <w:p>
            <w:pPr>
              <w:spacing w:line="250"/>
            </w:pPr>
            <w:r>
              <w:rPr>
                <w:color w:val="1A1A1A"/>
                <w:sz w:val="19"/>
                <w:szCs w:val="19"/>
              </w:rPr>
              <w:t xml:space="preserve">Outlined, 1px border in border-grey, navy text, transparent fill. Used for: Import Another File, Change File.</w:t>
            </w:r>
          </w:p>
        </w:tc>
      </w:tr>
      <w:tr>
        <w:tc>
          <w:tcPr>
            <w:shd w:fill="FFFFFF" w:val="clear"/>
            <w:tcMar>
              <w:top w:type="dxa" w:w="100"/>
              <w:left w:type="dxa" w:w="150"/>
              <w:bottom w:type="dxa" w:w="100"/>
              <w:right w:type="dxa" w:w="150"/>
            </w:tcMar>
          </w:tcPr>
          <w:p>
            <w:pPr>
              <w:spacing w:line="250"/>
            </w:pPr>
            <w:r>
              <w:rPr>
                <w:color w:val="1A1A1A"/>
                <w:sz w:val="19"/>
                <w:szCs w:val="19"/>
              </w:rPr>
              <w:t xml:space="preserve">Tertiary / Link</w:t>
            </w:r>
          </w:p>
        </w:tc>
        <w:tc>
          <w:tcPr>
            <w:shd w:fill="FFFFFF" w:val="clear"/>
            <w:tcMar>
              <w:top w:type="dxa" w:w="100"/>
              <w:left w:type="dxa" w:w="150"/>
              <w:bottom w:type="dxa" w:w="100"/>
              <w:right w:type="dxa" w:w="150"/>
            </w:tcMar>
          </w:tcPr>
          <w:p>
            <w:pPr>
              <w:spacing w:line="250"/>
            </w:pPr>
            <w:r>
              <w:rPr>
                <w:color w:val="1A1A1A"/>
                <w:sz w:val="19"/>
                <w:szCs w:val="19"/>
              </w:rPr>
              <w:t xml:space="preserve">No border, no fill, accent-colored text, underline on hover only. Used for: View Log File, Open in Odoo.</w:t>
            </w:r>
          </w:p>
        </w:tc>
      </w:tr>
      <w:tr>
        <w:tc>
          <w:tcPr>
            <w:shd w:fill="F2F3F5" w:val="clear"/>
            <w:tcMar>
              <w:top w:type="dxa" w:w="100"/>
              <w:left w:type="dxa" w:w="150"/>
              <w:bottom w:type="dxa" w:w="100"/>
              <w:right w:type="dxa" w:w="150"/>
            </w:tcMar>
          </w:tcPr>
          <w:p>
            <w:pPr>
              <w:spacing w:line="250"/>
            </w:pPr>
            <w:r>
              <w:rPr>
                <w:color w:val="1A1A1A"/>
                <w:sz w:val="19"/>
                <w:szCs w:val="19"/>
              </w:rPr>
              <w:t xml:space="preserve">Destructive</w:t>
            </w:r>
          </w:p>
        </w:tc>
        <w:tc>
          <w:tcPr>
            <w:shd w:fill="F2F3F5" w:val="clear"/>
            <w:tcMar>
              <w:top w:type="dxa" w:w="100"/>
              <w:left w:type="dxa" w:w="150"/>
              <w:bottom w:type="dxa" w:w="100"/>
              <w:right w:type="dxa" w:w="150"/>
            </w:tcMar>
          </w:tcPr>
          <w:p>
            <w:pPr>
              <w:spacing w:line="250"/>
            </w:pPr>
            <w:r>
              <w:rPr>
                <w:color w:val="1A1A1A"/>
                <w:sz w:val="19"/>
                <w:szCs w:val="19"/>
              </w:rPr>
              <w:t xml:space="preserve">Outlined in red, red text. Used only for: Cancel Import. Never filled red — filled red is reserved for irreversible/dangerous actions this app does not have.</w:t>
            </w:r>
          </w:p>
        </w:tc>
      </w:tr>
      <w:tr>
        <w:tc>
          <w:tcPr>
            <w:shd w:fill="FFFFFF" w:val="clear"/>
            <w:tcMar>
              <w:top w:type="dxa" w:w="100"/>
              <w:left w:type="dxa" w:w="150"/>
              <w:bottom w:type="dxa" w:w="100"/>
              <w:right w:type="dxa" w:w="150"/>
            </w:tcMar>
          </w:tcPr>
          <w:p>
            <w:pPr>
              <w:spacing w:line="250"/>
            </w:pPr>
            <w:r>
              <w:rPr>
                <w:color w:val="1A1A1A"/>
                <w:sz w:val="19"/>
                <w:szCs w:val="19"/>
              </w:rPr>
              <w:t xml:space="preserve">Disabled</w:t>
            </w:r>
          </w:p>
        </w:tc>
        <w:tc>
          <w:tcPr>
            <w:shd w:fill="FFFFFF" w:val="clear"/>
            <w:tcMar>
              <w:top w:type="dxa" w:w="100"/>
              <w:left w:type="dxa" w:w="150"/>
              <w:bottom w:type="dxa" w:w="100"/>
              <w:right w:type="dxa" w:w="150"/>
            </w:tcMar>
          </w:tcPr>
          <w:p>
            <w:pPr>
              <w:spacing w:line="250"/>
            </w:pPr>
            <w:r>
              <w:rPr>
                <w:color w:val="1A1A1A"/>
                <w:sz w:val="19"/>
                <w:szCs w:val="19"/>
              </w:rPr>
              <w:t xml:space="preserve">50% opacity, no hover/focus response, cursor: not-allowed. Import button is disabled until a valid file is selected.</w:t>
            </w:r>
          </w:p>
        </w:tc>
      </w:tr>
    </w:tbl>
    <w:p>
      <w:pPr>
        <w:spacing w:after="180" w:line="276"/>
      </w:pPr>
      <w:r>
        <w:rPr>
          <w:color w:val="1A1A1A"/>
          <w:sz w:val="21"/>
          <w:szCs w:val="21"/>
        </w:rPr>
        <w:t xml:space="preserve">All buttons: 8px vertical / 20px horizontal padding, 6px corner radius, 14px medium-weight label, 150ms ease-out transition on hover/press states only — never on load.</w:t>
      </w:r>
    </w:p>
    <w:p>
      <w:pPr>
        <w:pStyle w:val="Heading2"/>
        <w:spacing w:after="160" w:before="360"/>
      </w:pPr>
      <w:r>
        <w:rPr>
          <w:b/>
          <w:bCs/>
          <w:color w:val="1B2A4A"/>
          <w:sz w:val="26"/>
          <w:szCs w:val="26"/>
        </w:rPr>
        <w:t>6.2 Pending Order List</w:t>
      </w:r>
    </w:p>
    <w:p>
      <w:pPr>
        <w:pStyle w:val="ListParagraph"/>
        <w:numPr>
          <w:ilvl w:val="0"/>
          <w:numId w:val="2"/>
        </w:numPr>
        <w:spacing w:after="100" w:line="264"/>
      </w:pPr>
      <w:r>
        <w:rPr>
          <w:b/>
          <w:bCs/>
          <w:color w:val="1A1A1A"/>
          <w:sz w:val="21"/>
          <w:szCs w:val="21"/>
        </w:rPr>
        <w:t>Default: A vertically-scrollable list of order cards, each spanning the full content column width. Cards show: file-type icon (left) · filename (bold) · metadata line (size · modified date · folder path, muted) · a selection highlight (1px accent-blue border + very light blue fill) when selected.</w:t>
      </w:r>
      <w:r>
        <w:rPr>
          <w:color w:val="1A1A1A"/>
          <w:sz w:val="21"/>
          <w:szCs w:val="21"/>
        </w:rPr>
      </w:r>
    </w:p>
    <w:p>
      <w:pPr>
        <w:pStyle w:val="ListParagraph"/>
        <w:numPr>
          <w:ilvl w:val="0"/>
          <w:numId w:val="2"/>
        </w:numPr>
        <w:spacing w:after="100" w:line="264"/>
      </w:pPr>
      <w:r>
        <w:rPr>
          <w:b/>
          <w:bCs/>
          <w:color w:val="1A1A1A"/>
          <w:sz w:val="21"/>
          <w:szCs w:val="21"/>
        </w:rPr>
        <w:t>Empty state (folder configured but empty): Centered empty-state message — "No pending orders found. Add Excel workbooks to your Incoming Orders folder to begin." Plus a Refresh button and a path label showing the watched folder.</w:t>
      </w:r>
      <w:r>
        <w:rPr>
          <w:color w:val="1A1A1A"/>
          <w:sz w:val="21"/>
          <w:szCs w:val="21"/>
        </w:rPr>
      </w:r>
    </w:p>
    <w:p>
      <w:pPr>
        <w:pStyle w:val="ListParagraph"/>
        <w:numPr>
          <w:ilvl w:val="0"/>
          <w:numId w:val="2"/>
        </w:numPr>
        <w:spacing w:after="100" w:line="264"/>
      </w:pPr>
      <w:r>
        <w:rPr>
          <w:b/>
          <w:bCs/>
          <w:color w:val="1A1A1A"/>
          <w:sz w:val="21"/>
          <w:szCs w:val="21"/>
        </w:rPr>
        <w:t>First-run state (no folders configured): Replaces the list entirely with the Folder Configuration prompt (see §6.14). The import button remains disabled until folders are set.</w:t>
      </w:r>
      <w:r>
        <w:rPr>
          <w:color w:val="1A1A1A"/>
          <w:sz w:val="21"/>
          <w:szCs w:val="21"/>
        </w:rPr>
      </w:r>
    </w:p>
    <w:p>
      <w:pPr>
        <w:pStyle w:val="ListParagraph"/>
        <w:numPr>
          <w:ilvl w:val="0"/>
          <w:numId w:val="2"/>
        </w:numPr>
        <w:spacing w:after="100" w:line="264"/>
      </w:pPr>
      <w:r>
        <w:rPr>
          <w:b/>
          <w:bCs/>
          <w:color w:val="1A1A1A"/>
          <w:sz w:val="21"/>
          <w:szCs w:val="21"/>
        </w:rPr>
        <w:t>Refreshing: A subtle spinner in the order count badge + "Scanning..." text. Individual cards do not flash — the list updates in place once the scan completes.</w:t>
      </w:r>
      <w:r>
        <w:rPr>
          <w:color w:val="1A1A1A"/>
          <w:sz w:val="21"/>
          <w:szCs w:val="21"/>
        </w:rPr>
      </w:r>
    </w:p>
    <w:p>
      <w:pPr>
        <w:pStyle w:val="Heading2"/>
        <w:spacing w:after="160" w:before="360"/>
      </w:pPr>
      <w:r>
        <w:rPr>
          <w:b/>
          <w:bCs/>
          <w:color w:val="1B2A4A"/>
          <w:sz w:val="26"/>
          <w:szCs w:val="26"/>
        </w:rPr>
        <w:t>6.3 Order Card</w:t>
      </w:r>
    </w:p>
    <w:p>
      <w:pPr>
        <w:spacing w:after="180" w:line="276"/>
      </w:pPr>
      <w:r>
        <w:rPr>
          <w:color w:val="1A1A1A"/>
          <w:sz w:val="21"/>
          <w:szCs w:val="21"/>
        </w:rPr>
        <w:t>A single-row card within the Pending Order List: file-type icon (left) · filename (bold, truncated with ellipsis + full name on tooltip) · metadata line (size · modified date · folder path, muted grey, smaller). No remove icon — workbooks are managed through the file system, not the GUI.</w:t>
      </w:r>
    </w:p>
    <w:p>
      <w:pPr>
        <w:spacing w:after="180" w:line="276"/>
      </w:pPr>
      <w:r>
        <w:rPr>
          <w:color w:val="1A1A1A"/>
          <w:sz w:val="21"/>
          <w:szCs w:val="21"/>
        </w:rPr>
        <w:t>Specification: white background, 1px border-grey border, 8px corner radius, 16px padding, subtle 1px drop shadow. Selected state: 2px accent-blue border, very light blue fill (#EBF2FF). Hover state: border darkens to Slate 600. Entire card is clickable; no separate click target required.</w:t>
      </w:r>
    </w:p>
    <w:p>
      <w:pPr>
        <w:pStyle w:val="Heading2"/>
        <w:spacing w:after="160" w:before="360"/>
      </w:pPr>
      <w:r>
        <w:rPr>
          <w:b/>
          <w:bCs/>
          <w:color w:val="1B2A4A"/>
          <w:sz w:val="26"/>
          <w:szCs w:val="26"/>
        </w:rPr>
        <w:t xml:space="preserve">6.4 Status Badges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tblGrid>
      <w:tr>
        <w:trPr>
          <w:tblHeader/>
        </w:trPr>
        <w:tc>
          <w:tcPr>
            <w:tcW w:type="pct" w:w="50%"/>
            <w:shd w:fill="1B2A4A" w:val="clear"/>
            <w:tcMar>
              <w:top w:type="dxa" w:w="100"/>
              <w:left w:type="dxa" w:w="150"/>
              <w:bottom w:type="dxa" w:w="100"/>
              <w:right w:type="dxa" w:w="150"/>
            </w:tcMar>
          </w:tcPr>
          <w:p>
            <w:r>
              <w:rPr>
                <w:b/>
                <w:bCs/>
                <w:color w:val="FFFFFF"/>
                <w:sz w:val="19"/>
                <w:szCs w:val="19"/>
              </w:rPr>
              <w:t xml:space="preserve">Badge</w:t>
            </w:r>
          </w:p>
        </w:tc>
        <w:tc>
          <w:tcPr>
            <w:tcW w:type="pct" w:w="50%"/>
            <w:shd w:fill="1B2A4A" w:val="clear"/>
            <w:tcMar>
              <w:top w:type="dxa" w:w="100"/>
              <w:left w:type="dxa" w:w="150"/>
              <w:bottom w:type="dxa" w:w="100"/>
              <w:right w:type="dxa" w:w="150"/>
            </w:tcMar>
          </w:tcPr>
          <w:p>
            <w:r>
              <w:rPr>
                <w:b/>
                <w:bCs/>
                <w:color w:val="FFFFFF"/>
                <w:sz w:val="19"/>
                <w:szCs w:val="19"/>
              </w:rPr>
              <w:t xml:space="preserve">Specification</w:t>
            </w:r>
          </w:p>
        </w:tc>
      </w:tr>
      <w:tr>
        <w:tc>
          <w:tcPr>
            <w:shd w:fill="FFFFFF" w:val="clear"/>
            <w:tcMar>
              <w:top w:type="dxa" w:w="100"/>
              <w:left w:type="dxa" w:w="150"/>
              <w:bottom w:type="dxa" w:w="100"/>
              <w:right w:type="dxa" w:w="150"/>
            </w:tcMar>
          </w:tcPr>
          <w:p>
            <w:pPr>
              <w:spacing w:line="250"/>
            </w:pPr>
            <w:r>
              <w:rPr>
                <w:color w:val="1A1A1A"/>
                <w:sz w:val="19"/>
                <w:szCs w:val="19"/>
              </w:rPr>
              <w:t xml:space="preserve">Connected</w:t>
            </w:r>
          </w:p>
        </w:tc>
        <w:tc>
          <w:tcPr>
            <w:shd w:fill="FFFFFF" w:val="clear"/>
            <w:tcMar>
              <w:top w:type="dxa" w:w="100"/>
              <w:left w:type="dxa" w:w="150"/>
              <w:bottom w:type="dxa" w:w="100"/>
              <w:right w:type="dxa" w:w="150"/>
            </w:tcMar>
          </w:tcPr>
          <w:p>
            <w:pPr>
              <w:spacing w:line="250"/>
            </w:pPr>
            <w:r>
              <w:rPr>
                <w:color w:val="1A1A1A"/>
                <w:sz w:val="19"/>
                <w:szCs w:val="19"/>
              </w:rPr>
              <w:t xml:space="preserve">Green dot (#1E7A46) + "Connected to Odoo", 12px label</w:t>
            </w:r>
          </w:p>
        </w:tc>
      </w:tr>
      <w:tr>
        <w:tc>
          <w:tcPr>
            <w:shd w:fill="F2F3F5" w:val="clear"/>
            <w:tcMar>
              <w:top w:type="dxa" w:w="100"/>
              <w:left w:type="dxa" w:w="150"/>
              <w:bottom w:type="dxa" w:w="100"/>
              <w:right w:type="dxa" w:w="150"/>
            </w:tcMar>
          </w:tcPr>
          <w:p>
            <w:pPr>
              <w:spacing w:line="250"/>
            </w:pPr>
            <w:r>
              <w:rPr>
                <w:color w:val="1A1A1A"/>
                <w:sz w:val="19"/>
                <w:szCs w:val="19"/>
              </w:rPr>
              <w:t xml:space="preserve">Disconnected</w:t>
            </w:r>
          </w:p>
        </w:tc>
        <w:tc>
          <w:tcPr>
            <w:shd w:fill="F2F3F5" w:val="clear"/>
            <w:tcMar>
              <w:top w:type="dxa" w:w="100"/>
              <w:left w:type="dxa" w:w="150"/>
              <w:bottom w:type="dxa" w:w="100"/>
              <w:right w:type="dxa" w:w="150"/>
            </w:tcMar>
          </w:tcPr>
          <w:p>
            <w:pPr>
              <w:spacing w:line="250"/>
            </w:pPr>
            <w:r>
              <w:rPr>
                <w:color w:val="1A1A1A"/>
                <w:sz w:val="19"/>
                <w:szCs w:val="19"/>
              </w:rPr>
              <w:t xml:space="preserve">Red dot (#B3261E) + "Not connected", 12px label, entire header band gains a 1px red bottom border to raise urgency without a modal</w:t>
            </w:r>
          </w:p>
        </w:tc>
      </w:tr>
      <w:tr>
        <w:tc>
          <w:tcPr>
            <w:shd w:fill="FFFFFF" w:val="clear"/>
            <w:tcMar>
              <w:top w:type="dxa" w:w="100"/>
              <w:left w:type="dxa" w:w="150"/>
              <w:bottom w:type="dxa" w:w="100"/>
              <w:right w:type="dxa" w:w="150"/>
            </w:tcMar>
          </w:tcPr>
          <w:p>
            <w:pPr>
              <w:spacing w:line="250"/>
            </w:pPr>
            <w:r>
              <w:rPr>
                <w:color w:val="1A1A1A"/>
                <w:sz w:val="19"/>
                <w:szCs w:val="19"/>
              </w:rPr>
              <w:t xml:space="preserve">Connecting…</w:t>
            </w:r>
          </w:p>
        </w:tc>
        <w:tc>
          <w:tcPr>
            <w:shd w:fill="FFFFFF" w:val="clear"/>
            <w:tcMar>
              <w:top w:type="dxa" w:w="100"/>
              <w:left w:type="dxa" w:w="150"/>
              <w:bottom w:type="dxa" w:w="100"/>
              <w:right w:type="dxa" w:w="150"/>
            </w:tcMar>
          </w:tcPr>
          <w:p>
            <w:pPr>
              <w:spacing w:line="250"/>
            </w:pPr>
            <w:r>
              <w:rPr>
                <w:color w:val="1A1A1A"/>
                <w:sz w:val="19"/>
                <w:szCs w:val="19"/>
              </w:rPr>
              <w:t xml:space="preserve">Amber/grey pulsing dot + "Connecting…"</w:t>
            </w:r>
          </w:p>
        </w:tc>
      </w:tr>
      <w:tr>
        <w:tc>
          <w:tcPr>
            <w:shd w:fill="F2F3F5" w:val="clear"/>
            <w:tcMar>
              <w:top w:type="dxa" w:w="100"/>
              <w:left w:type="dxa" w:w="150"/>
              <w:bottom w:type="dxa" w:w="100"/>
              <w:right w:type="dxa" w:w="150"/>
            </w:tcMar>
          </w:tcPr>
          <w:p>
            <w:pPr>
              <w:spacing w:line="250"/>
            </w:pPr>
            <w:r>
              <w:rPr>
                <w:color w:val="1A1A1A"/>
                <w:sz w:val="19"/>
                <w:szCs w:val="19"/>
              </w:rPr>
              <w:t xml:space="preserve">Success (result)</w:t>
            </w:r>
          </w:p>
        </w:tc>
        <w:tc>
          <w:tcPr>
            <w:shd w:fill="F2F3F5" w:val="clear"/>
            <w:tcMar>
              <w:top w:type="dxa" w:w="100"/>
              <w:left w:type="dxa" w:w="150"/>
              <w:bottom w:type="dxa" w:w="100"/>
              <w:right w:type="dxa" w:w="150"/>
            </w:tcMar>
          </w:tcPr>
          <w:p>
            <w:pPr>
              <w:spacing w:line="250"/>
            </w:pPr>
            <w:r>
              <w:rPr>
                <w:color w:val="1A1A1A"/>
                <w:sz w:val="19"/>
                <w:szCs w:val="19"/>
              </w:rPr>
              <w:t xml:space="preserve">Green filled circle, white checkmark, 48px, used once per success screen</w:t>
            </w:r>
          </w:p>
        </w:tc>
      </w:tr>
      <w:tr>
        <w:tc>
          <w:tcPr>
            <w:shd w:fill="FFFFFF" w:val="clear"/>
            <w:tcMar>
              <w:top w:type="dxa" w:w="100"/>
              <w:left w:type="dxa" w:w="150"/>
              <w:bottom w:type="dxa" w:w="100"/>
              <w:right w:type="dxa" w:w="150"/>
            </w:tcMar>
          </w:tcPr>
          <w:p>
            <w:pPr>
              <w:spacing w:line="250"/>
            </w:pPr>
            <w:r>
              <w:rPr>
                <w:color w:val="1A1A1A"/>
                <w:sz w:val="19"/>
                <w:szCs w:val="19"/>
              </w:rPr>
              <w:t xml:space="preserve">Failure (result)</w:t>
            </w:r>
          </w:p>
        </w:tc>
        <w:tc>
          <w:tcPr>
            <w:shd w:fill="FFFFFF" w:val="clear"/>
            <w:tcMar>
              <w:top w:type="dxa" w:w="100"/>
              <w:left w:type="dxa" w:w="150"/>
              <w:bottom w:type="dxa" w:w="100"/>
              <w:right w:type="dxa" w:w="150"/>
            </w:tcMar>
          </w:tcPr>
          <w:p>
            <w:pPr>
              <w:spacing w:line="250"/>
            </w:pPr>
            <w:r>
              <w:rPr>
                <w:color w:val="1A1A1A"/>
                <w:sz w:val="19"/>
                <w:szCs w:val="19"/>
              </w:rPr>
              <w:t xml:space="preserve">Amber/red filled circle, white exclamation, 48px, used once per failure screen — amber for validation-type failures, red for connection/system failures (see §9.3)</w:t>
            </w:r>
          </w:p>
        </w:tc>
      </w:tr>
    </w:tbl>
    <w:p>
      <w:pPr>
        <w:pStyle w:val="Heading2"/>
        <w:spacing w:after="160" w:before="360"/>
      </w:pPr>
      <w:r>
        <w:rPr>
          <w:b/>
          <w:bCs/>
          <w:color w:val="1B2A4A"/>
          <w:sz w:val="26"/>
          <w:szCs w:val="26"/>
        </w:rPr>
        <w:t xml:space="preserve">6.5 Workflow Checklist (Progress)</w:t>
      </w:r>
    </w:p>
    <w:p>
      <w:pPr>
        <w:spacing w:after="180" w:line="276"/>
      </w:pPr>
      <w:r>
        <w:rPr>
          <w:color w:val="1A1A1A"/>
          <w:sz w:val="21"/>
          <w:szCs w:val="21"/>
        </w:rPr>
        <w:t xml:space="preserve">A vertical list of fixed steps, each row: status icon (left, 20px) + step label (14px) + optional trailing detail text (muted, e.g. row counts once known).</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tblGrid>
      <w:tr>
        <w:trPr>
          <w:tblHeader/>
        </w:trPr>
        <w:tc>
          <w:tcPr>
            <w:tcW w:type="pct" w:w="50%"/>
            <w:shd w:fill="1B2A4A" w:val="clear"/>
            <w:tcMar>
              <w:top w:type="dxa" w:w="100"/>
              <w:left w:type="dxa" w:w="150"/>
              <w:bottom w:type="dxa" w:w="100"/>
              <w:right w:type="dxa" w:w="150"/>
            </w:tcMar>
          </w:tcPr>
          <w:p>
            <w:r>
              <w:rPr>
                <w:b/>
                <w:bCs/>
                <w:color w:val="FFFFFF"/>
                <w:sz w:val="19"/>
                <w:szCs w:val="19"/>
              </w:rPr>
              <w:t xml:space="preserve">State</w:t>
            </w:r>
          </w:p>
        </w:tc>
        <w:tc>
          <w:tcPr>
            <w:tcW w:type="pct" w:w="50%"/>
            <w:shd w:fill="1B2A4A" w:val="clear"/>
            <w:tcMar>
              <w:top w:type="dxa" w:w="100"/>
              <w:left w:type="dxa" w:w="150"/>
              <w:bottom w:type="dxa" w:w="100"/>
              <w:right w:type="dxa" w:w="150"/>
            </w:tcMar>
          </w:tcPr>
          <w:p>
            <w:r>
              <w:rPr>
                <w:b/>
                <w:bCs/>
                <w:color w:val="FFFFFF"/>
                <w:sz w:val="19"/>
                <w:szCs w:val="19"/>
              </w:rPr>
              <w:t xml:space="preserve">Specification</w:t>
            </w:r>
          </w:p>
        </w:tc>
      </w:tr>
      <w:tr>
        <w:tc>
          <w:tcPr>
            <w:shd w:fill="FFFFFF" w:val="clear"/>
            <w:tcMar>
              <w:top w:type="dxa" w:w="100"/>
              <w:left w:type="dxa" w:w="150"/>
              <w:bottom w:type="dxa" w:w="100"/>
              <w:right w:type="dxa" w:w="150"/>
            </w:tcMar>
          </w:tcPr>
          <w:p>
            <w:pPr>
              <w:spacing w:line="250"/>
            </w:pPr>
            <w:r>
              <w:rPr>
                <w:color w:val="1A1A1A"/>
                <w:sz w:val="19"/>
                <w:szCs w:val="19"/>
              </w:rPr>
              <w:t xml:space="preserve">Pending</w:t>
            </w:r>
          </w:p>
        </w:tc>
        <w:tc>
          <w:tcPr>
            <w:shd w:fill="FFFFFF" w:val="clear"/>
            <w:tcMar>
              <w:top w:type="dxa" w:w="100"/>
              <w:left w:type="dxa" w:w="150"/>
              <w:bottom w:type="dxa" w:w="100"/>
              <w:right w:type="dxa" w:w="150"/>
            </w:tcMar>
          </w:tcPr>
          <w:p>
            <w:pPr>
              <w:spacing w:line="250"/>
            </w:pPr>
            <w:r>
              <w:rPr>
                <w:color w:val="1A1A1A"/>
                <w:sz w:val="19"/>
                <w:szCs w:val="19"/>
              </w:rPr>
              <w:t xml:space="preserve">Hollow grey circle ○, label in muted grey (#6B7280)</w:t>
            </w:r>
          </w:p>
        </w:tc>
      </w:tr>
      <w:tr>
        <w:tc>
          <w:tcPr>
            <w:shd w:fill="F2F3F5" w:val="clear"/>
            <w:tcMar>
              <w:top w:type="dxa" w:w="100"/>
              <w:left w:type="dxa" w:w="150"/>
              <w:bottom w:type="dxa" w:w="100"/>
              <w:right w:type="dxa" w:w="150"/>
            </w:tcMar>
          </w:tcPr>
          <w:p>
            <w:pPr>
              <w:spacing w:line="250"/>
            </w:pPr>
            <w:r>
              <w:rPr>
                <w:color w:val="1A1A1A"/>
                <w:sz w:val="19"/>
                <w:szCs w:val="19"/>
              </w:rPr>
              <w:t xml:space="preserve">Active</w:t>
            </w:r>
          </w:p>
        </w:tc>
        <w:tc>
          <w:tcPr>
            <w:shd w:fill="F2F3F5" w:val="clear"/>
            <w:tcMar>
              <w:top w:type="dxa" w:w="100"/>
              <w:left w:type="dxa" w:w="150"/>
              <w:bottom w:type="dxa" w:w="100"/>
              <w:right w:type="dxa" w:w="150"/>
            </w:tcMar>
          </w:tcPr>
          <w:p>
            <w:pPr>
              <w:spacing w:line="250"/>
            </w:pPr>
            <w:r>
              <w:rPr>
                <w:color w:val="1A1A1A"/>
                <w:sz w:val="19"/>
                <w:szCs w:val="19"/>
              </w:rPr>
              <w:t xml:space="preserve">Animated spinner ⟳ in accent color, label in full-contrast navy, subtly bolder weight</w:t>
            </w:r>
          </w:p>
        </w:tc>
      </w:tr>
      <w:tr>
        <w:tc>
          <w:tcPr>
            <w:shd w:fill="FFFFFF" w:val="clear"/>
            <w:tcMar>
              <w:top w:type="dxa" w:w="100"/>
              <w:left w:type="dxa" w:w="150"/>
              <w:bottom w:type="dxa" w:w="100"/>
              <w:right w:type="dxa" w:w="150"/>
            </w:tcMar>
          </w:tcPr>
          <w:p>
            <w:pPr>
              <w:spacing w:line="250"/>
            </w:pPr>
            <w:r>
              <w:rPr>
                <w:color w:val="1A1A1A"/>
                <w:sz w:val="19"/>
                <w:szCs w:val="19"/>
              </w:rPr>
              <w:t xml:space="preserve">Complete</w:t>
            </w:r>
          </w:p>
        </w:tc>
        <w:tc>
          <w:tcPr>
            <w:shd w:fill="FFFFFF" w:val="clear"/>
            <w:tcMar>
              <w:top w:type="dxa" w:w="100"/>
              <w:left w:type="dxa" w:w="150"/>
              <w:bottom w:type="dxa" w:w="100"/>
              <w:right w:type="dxa" w:w="150"/>
            </w:tcMar>
          </w:tcPr>
          <w:p>
            <w:pPr>
              <w:spacing w:line="250"/>
            </w:pPr>
            <w:r>
              <w:rPr>
                <w:color w:val="1A1A1A"/>
                <w:sz w:val="19"/>
                <w:szCs w:val="19"/>
              </w:rPr>
              <w:t xml:space="preserve">Solid green checkmark ✓, label returns to normal weight but stays full-contrast (not muted — completed steps remain legible, unlike "pending" which recedes)</w:t>
            </w:r>
          </w:p>
        </w:tc>
      </w:tr>
      <w:tr>
        <w:tc>
          <w:tcPr>
            <w:shd w:fill="F2F3F5" w:val="clear"/>
            <w:tcMar>
              <w:top w:type="dxa" w:w="100"/>
              <w:left w:type="dxa" w:w="150"/>
              <w:bottom w:type="dxa" w:w="100"/>
              <w:right w:type="dxa" w:w="150"/>
            </w:tcMar>
          </w:tcPr>
          <w:p>
            <w:pPr>
              <w:spacing w:line="250"/>
            </w:pPr>
            <w:r>
              <w:rPr>
                <w:color w:val="1A1A1A"/>
                <w:sz w:val="19"/>
                <w:szCs w:val="19"/>
              </w:rPr>
              <w:t xml:space="preserve">Failed (this step)</w:t>
            </w:r>
          </w:p>
        </w:tc>
        <w:tc>
          <w:tcPr>
            <w:shd w:fill="F2F3F5" w:val="clear"/>
            <w:tcMar>
              <w:top w:type="dxa" w:w="100"/>
              <w:left w:type="dxa" w:w="150"/>
              <w:bottom w:type="dxa" w:w="100"/>
              <w:right w:type="dxa" w:w="150"/>
            </w:tcMar>
          </w:tcPr>
          <w:p>
            <w:pPr>
              <w:spacing w:line="250"/>
            </w:pPr>
            <w:r>
              <w:rPr>
                <w:color w:val="1A1A1A"/>
                <w:sz w:val="19"/>
                <w:szCs w:val="19"/>
              </w:rPr>
              <w:t xml:space="preserve">Solid red ✕, label in red, this becomes the terminal state of the checklist — steps after it remain pending/grey permanently</w:t>
            </w:r>
          </w:p>
        </w:tc>
      </w:tr>
    </w:tbl>
    <w:p>
      <w:pPr>
        <w:spacing w:after="180" w:line="276"/>
      </w:pPr>
      <w:r>
        <w:rPr>
          <w:color w:val="1A1A1A"/>
          <w:sz w:val="21"/>
          <w:szCs w:val="21"/>
        </w:rPr>
        <w:t xml:space="preserve">Design rationale: this is a checklist, not a percentage bar alone, because business users trust concrete named steps ("Resolving vendor") far more than an abstract percentage. A percentage answers "how much," a checklist answers "what, exactly, is happening right now" — which is what builds trust during a process the user cannot otherwise see.</w:t>
      </w:r>
    </w:p>
    <w:p>
      <w:pPr>
        <w:pStyle w:val="Heading2"/>
        <w:spacing w:after="160" w:before="360"/>
      </w:pPr>
      <w:r>
        <w:rPr>
          <w:b/>
          <w:bCs/>
          <w:color w:val="1B2A4A"/>
          <w:sz w:val="26"/>
          <w:szCs w:val="26"/>
        </w:rPr>
        <w:t xml:space="preserve">6.6 Progress Bar (secondary, supplementary)</w:t>
      </w:r>
    </w:p>
    <w:p>
      <w:pPr>
        <w:spacing w:after="180" w:line="276"/>
      </w:pPr>
      <w:r>
        <w:rPr>
          <w:color w:val="1A1A1A"/>
          <w:sz w:val="21"/>
          <w:szCs w:val="21"/>
        </w:rPr>
        <w:t xml:space="preserve">A slim (4px) linear bar beneath the checklist, filled in accent color, showing step completion (n of 6). This is deliberately secondary to the checklist — it answers "how close to done," a question the checklist alone doesn't quickly answer at a glance from across a desk.</w:t>
      </w:r>
    </w:p>
    <w:p>
      <w:pPr>
        <w:pStyle w:val="Heading2"/>
        <w:spacing w:after="160" w:before="360"/>
      </w:pPr>
      <w:r>
        <w:rPr>
          <w:b/>
          <w:bCs/>
          <w:color w:val="1B2A4A"/>
          <w:sz w:val="26"/>
          <w:szCs w:val="26"/>
        </w:rPr>
        <w:t xml:space="preserve">6.7 Result Panel</w:t>
      </w:r>
    </w:p>
    <w:p>
      <w:pPr>
        <w:spacing w:after="180" w:line="276"/>
      </w:pPr>
      <w:r>
        <w:rPr>
          <w:color w:val="1A1A1A"/>
          <w:sz w:val="21"/>
          <w:szCs w:val="21"/>
        </w:rPr>
        <w:t xml:space="preserve">Shared structural component for both Success and Failure, differing only in color/icon/copy — this consistency means users learn the layout once and recognize both states instantly:</w:t>
      </w:r>
    </w:p>
    <w:p>
      <w:pPr>
        <w:pStyle w:val="ListParagraph"/>
        <w:numPr>
          <w:ilvl w:val="0"/>
          <w:numId w:val="3"/>
        </w:numPr>
        <w:spacing w:after="100" w:line="264"/>
      </w:pPr>
      <w:r>
        <w:rPr>
          <w:color w:val="1A1A1A"/>
          <w:sz w:val="21"/>
          <w:szCs w:val="21"/>
        </w:rPr>
        <w:t xml:space="preserve">Status icon, centered, 48px</w:t>
      </w:r>
    </w:p>
    <w:p>
      <w:pPr>
        <w:pStyle w:val="ListParagraph"/>
        <w:numPr>
          <w:ilvl w:val="0"/>
          <w:numId w:val="3"/>
        </w:numPr>
        <w:spacing w:after="100" w:line="264"/>
      </w:pPr>
      <w:r>
        <w:rPr>
          <w:color w:val="1A1A1A"/>
          <w:sz w:val="21"/>
          <w:szCs w:val="21"/>
        </w:rPr>
        <w:t xml:space="preserve">Headline, centered, 20px bold</w:t>
      </w:r>
    </w:p>
    <w:p>
      <w:pPr>
        <w:pStyle w:val="ListParagraph"/>
        <w:numPr>
          <w:ilvl w:val="0"/>
          <w:numId w:val="3"/>
        </w:numPr>
        <w:spacing w:after="100" w:line="264"/>
      </w:pPr>
      <w:r>
        <w:rPr>
          <w:color w:val="1A1A1A"/>
          <w:sz w:val="21"/>
          <w:szCs w:val="21"/>
        </w:rPr>
        <w:t xml:space="preserve">Key data block (PO number, or primary error line) — visually distinct card</w:t>
      </w:r>
    </w:p>
    <w:p>
      <w:pPr>
        <w:pStyle w:val="ListParagraph"/>
        <w:numPr>
          <w:ilvl w:val="0"/>
          <w:numId w:val="3"/>
        </w:numPr>
        <w:spacing w:after="100" w:line="264"/>
      </w:pPr>
      <w:r>
        <w:rPr>
          <w:color w:val="1A1A1A"/>
          <w:sz w:val="21"/>
          <w:szCs w:val="21"/>
        </w:rPr>
        <w:t xml:space="preserve">Summary line (row counts) — 13px muted</w:t>
      </w:r>
    </w:p>
    <w:p>
      <w:pPr>
        <w:pStyle w:val="ListParagraph"/>
        <w:numPr>
          <w:ilvl w:val="0"/>
          <w:numId w:val="3"/>
        </w:numPr>
        <w:spacing w:after="100" w:line="264"/>
      </w:pPr>
      <w:r>
        <w:rPr>
          <w:color w:val="1A1A1A"/>
          <w:sz w:val="21"/>
          <w:szCs w:val="21"/>
        </w:rPr>
        <w:t xml:space="preserve">Optional expandable technical detail (failure only)</w:t>
      </w:r>
    </w:p>
    <w:p>
      <w:pPr>
        <w:pStyle w:val="ListParagraph"/>
        <w:numPr>
          <w:ilvl w:val="0"/>
          <w:numId w:val="3"/>
        </w:numPr>
        <w:spacing w:after="100" w:line="264"/>
      </w:pPr>
      <w:r>
        <w:rPr>
          <w:color w:val="1A1A1A"/>
          <w:sz w:val="21"/>
          <w:szCs w:val="21"/>
        </w:rPr>
        <w:t xml:space="preserve">Action button row — right-aligned pair, primary + secondary</w:t>
      </w:r>
    </w:p>
    <w:p>
      <w:pPr>
        <w:pStyle w:val="Heading2"/>
        <w:spacing w:after="160" w:before="360"/>
      </w:pPr>
      <w:r>
        <w:rPr>
          <w:b/>
          <w:bCs/>
          <w:color w:val="1B2A4A"/>
          <w:sz w:val="26"/>
          <w:szCs w:val="26"/>
        </w:rPr>
        <w:t xml:space="preserve">6.8 Technical Details Disclosure</w:t>
      </w:r>
    </w:p>
    <w:p>
      <w:pPr>
        <w:spacing w:after="180" w:line="276"/>
      </w:pPr>
      <w:r>
        <w:rPr>
          <w:color w:val="1A1A1A"/>
          <w:sz w:val="21"/>
          <w:szCs w:val="21"/>
        </w:rPr>
        <w:t xml:space="preserve">A collapsed-by-default expander (▸ / ▾ chevron + "View Technical Details"), 13px muted-navy text, no border when collapsed. When expanded, reveals a monospace panel: dark background (#0D1117), light text, containing error code, failing stage/service name, and the raw backend fault string — verbatim from the controller, never rewritten by the GUI. Includes "Copy Details" and "Open Full Log File" actions.</w:t>
      </w:r>
    </w:p>
    <w:p>
      <w:pPr>
        <w:spacing w:after="180" w:line="276"/>
      </w:pPr>
      <w:r>
        <w:rPr>
          <w:color w:val="1A1A1A"/>
          <w:sz w:val="21"/>
          <w:szCs w:val="21"/>
        </w:rPr>
        <w:t xml:space="preserve">This component is the load-bearing piece of the entire dual-audience strategy: it lets the same screen serve a warehouse coordinator and an IT technician without either feeling like the wrong tool for them.</w:t>
      </w:r>
    </w:p>
    <w:p>
      <w:pPr>
        <w:pStyle w:val="Heading2"/>
        <w:spacing w:after="160" w:before="360"/>
      </w:pPr>
      <w:r>
        <w:rPr>
          <w:b/>
          <w:bCs/>
          <w:color w:val="1B2A4A"/>
          <w:sz w:val="26"/>
          <w:szCs w:val="26"/>
        </w:rPr>
        <w:t xml:space="preserve">6.9 Notifications / Toasts</w:t>
      </w:r>
    </w:p>
    <w:p>
      <w:pPr>
        <w:spacing w:after="180" w:line="276"/>
      </w:pPr>
      <w:r>
        <w:rPr>
          <w:color w:val="1A1A1A"/>
          <w:sz w:val="21"/>
          <w:szCs w:val="21"/>
        </w:rPr>
        <w:t xml:space="preserve">Used sparingly — only for background/non-blocking events, e.g. "Log file saved" after a copy action. Bottom-right, auto-dismiss after 4 seconds, neutral grey background (never colored — color is reserved for the result panel's actual status, so a toast never competes with it).</w:t>
      </w:r>
    </w:p>
    <w:p>
      <w:pPr>
        <w:pStyle w:val="Heading2"/>
        <w:spacing w:after="160" w:before="360"/>
      </w:pPr>
      <w:r>
        <w:rPr>
          <w:b/>
          <w:bCs/>
          <w:color w:val="1B2A4A"/>
          <w:sz w:val="26"/>
          <w:szCs w:val="26"/>
        </w:rPr>
        <w:t xml:space="preserve">6.10 Dialogs (Modal)</w:t>
      </w:r>
    </w:p>
    <w:p>
      <w:pPr>
        <w:spacing w:after="180" w:line="276"/>
      </w:pPr>
      <w:r>
        <w:rPr>
          <w:color w:val="1A1A1A"/>
          <w:sz w:val="21"/>
          <w:szCs w:val="21"/>
        </w:rPr>
        <w:t xml:space="preserve">Reserved for exactly one interaction in v1: confirming cancellation of an in-progress import ("Cancel this import? Rows already created in Odoo will not be undone."). Centered, 400px wide, scrim at 40% black behind it, two buttons (Keep Importing / Cancel Import — destructive on the right, per Windows convention). Modals are avoided everywhere else in this app; the single-region layout is deliberately designed to make modals unnecessary.</w:t>
      </w:r>
    </w:p>
    <w:p>
      <w:pPr>
        <w:pStyle w:val="Heading2"/>
        <w:spacing w:after="160" w:before="360"/>
      </w:pPr>
      <w:r>
        <w:rPr>
          <w:b/>
          <w:bCs/>
          <w:color w:val="1B2A4A"/>
          <w:sz w:val="26"/>
          <w:szCs w:val="26"/>
        </w:rPr>
        <w:t xml:space="preserve">6.11 Tooltips</w:t>
      </w:r>
    </w:p>
    <w:p>
      <w:pPr>
        <w:spacing w:after="180" w:line="276"/>
      </w:pPr>
      <w:r>
        <w:rPr>
          <w:color w:val="1A1A1A"/>
          <w:sz w:val="21"/>
          <w:szCs w:val="21"/>
        </w:rPr>
        <w:t xml:space="preserve">11px, dark background, appear after 500ms hover delay (not instant — avoids flicker on incidental mouse movement). Used for: truncated filenames, the connection-status dot (shows last successful connection time), and disabled-button states (explains why Import is disabled, e.g. "Select a file to continue").</w:t>
      </w:r>
    </w:p>
    <w:p>
      <w:pPr>
        <w:pStyle w:val="Heading2"/>
        <w:spacing w:after="160" w:before="360"/>
      </w:pPr>
      <w:r>
        <w:rPr>
          <w:b/>
          <w:bCs/>
          <w:color w:val="1B2A4A"/>
          <w:sz w:val="26"/>
          <w:szCs w:val="26"/>
        </w:rPr>
        <w:t xml:space="preserve">6.12 Empty States</w:t>
      </w:r>
    </w:p>
    <w:p>
      <w:pPr>
        <w:spacing w:after="180" w:line="276"/>
      </w:pPr>
      <w:r>
        <w:rPr>
          <w:color w:val="1A1A1A"/>
          <w:sz w:val="21"/>
          <w:szCs w:val="21"/>
        </w:rPr>
        <w:t>Two empty states exist in v2. First-run (no folders configured): a direct prompt to set up both required folder paths — the application cannot function without them, and copy reflects this without inducing panic. Folder-empty (configured but no pending orders): an instructional message pointing the user to the Incoming folder, with a manual Refresh button. Neither uses apologetic copy.</w:t>
      </w:r>
    </w:p>
    <w:p>
      <w:pPr>
        <w:pStyle w:val="Heading2"/>
        <w:spacing w:after="160" w:before="360"/>
      </w:pPr>
      <w:r>
        <w:rPr>
          <w:b/>
          <w:bCs/>
          <w:color w:val="1B2A4A"/>
          <w:sz w:val="26"/>
          <w:szCs w:val="26"/>
        </w:rPr>
        <w:t xml:space="preserve">6.13 Loading / Busy States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tblGrid>
      <w:tr>
        <w:trPr>
          <w:tblHeader/>
        </w:trPr>
        <w:tc>
          <w:tcPr>
            <w:tcW w:type="pct" w:w="50%"/>
            <w:shd w:fill="1B2A4A" w:val="clear"/>
            <w:tcMar>
              <w:top w:type="dxa" w:w="100"/>
              <w:left w:type="dxa" w:w="150"/>
              <w:bottom w:type="dxa" w:w="100"/>
              <w:right w:type="dxa" w:w="150"/>
            </w:tcMar>
          </w:tcPr>
          <w:p>
            <w:r>
              <w:rPr>
                <w:b/>
                <w:bCs/>
                <w:color w:val="FFFFFF"/>
                <w:sz w:val="19"/>
                <w:szCs w:val="19"/>
              </w:rPr>
              <w:t xml:space="preserve">Context</w:t>
            </w:r>
          </w:p>
        </w:tc>
        <w:tc>
          <w:tcPr>
            <w:tcW w:type="pct" w:w="50%"/>
            <w:shd w:fill="1B2A4A" w:val="clear"/>
            <w:tcMar>
              <w:top w:type="dxa" w:w="100"/>
              <w:left w:type="dxa" w:w="150"/>
              <w:bottom w:type="dxa" w:w="100"/>
              <w:right w:type="dxa" w:w="150"/>
            </w:tcMar>
          </w:tcPr>
          <w:p>
            <w:r>
              <w:rPr>
                <w:b/>
                <w:bCs/>
                <w:color w:val="FFFFFF"/>
                <w:sz w:val="19"/>
                <w:szCs w:val="19"/>
              </w:rPr>
              <w:t xml:space="preserve">Treatment</w:t>
            </w:r>
          </w:p>
        </w:tc>
      </w:tr>
      <w:tr>
        <w:tc>
          <w:tcPr>
            <w:shd w:fill="FFFFFF" w:val="clear"/>
            <w:tcMar>
              <w:top w:type="dxa" w:w="100"/>
              <w:left w:type="dxa" w:w="150"/>
              <w:bottom w:type="dxa" w:w="100"/>
              <w:right w:type="dxa" w:w="150"/>
            </w:tcMar>
          </w:tcPr>
          <w:p>
            <w:pPr>
              <w:spacing w:line="250"/>
            </w:pPr>
            <w:r>
              <w:rPr>
                <w:color w:val="1A1A1A"/>
                <w:sz w:val="19"/>
                <w:szCs w:val="19"/>
              </w:rPr>
              <w:t xml:space="preserve">App launch / connecting to Odoo</w:t>
            </w:r>
          </w:p>
        </w:tc>
        <w:tc>
          <w:tcPr>
            <w:shd w:fill="FFFFFF" w:val="clear"/>
            <w:tcMar>
              <w:top w:type="dxa" w:w="100"/>
              <w:left w:type="dxa" w:w="150"/>
              <w:bottom w:type="dxa" w:w="100"/>
              <w:right w:type="dxa" w:w="150"/>
            </w:tcMar>
          </w:tcPr>
          <w:p>
            <w:pPr>
              <w:spacing w:line="250"/>
            </w:pPr>
            <w:r>
              <w:rPr>
                <w:color w:val="1A1A1A"/>
                <w:sz w:val="19"/>
                <w:szCs w:val="19"/>
              </w:rPr>
              <w:t xml:space="preserve">Header connection badge shows amber pulsing "Connecting…"; content area shows the empty state underneath (not blocked) since file selection doesn't require an active connection</w:t>
            </w:r>
          </w:p>
        </w:tc>
      </w:tr>
      <w:tr>
        <w:tc>
          <w:tcPr>
            <w:shd w:fill="F2F3F5" w:val="clear"/>
            <w:tcMar>
              <w:top w:type="dxa" w:w="100"/>
              <w:left w:type="dxa" w:w="150"/>
              <w:bottom w:type="dxa" w:w="100"/>
              <w:right w:type="dxa" w:w="150"/>
            </w:tcMar>
          </w:tcPr>
          <w:p>
            <w:pPr>
              <w:spacing w:line="250"/>
            </w:pPr>
            <w:r>
              <w:rPr>
                <w:color w:val="1A1A1A"/>
                <w:sz w:val="19"/>
                <w:szCs w:val="19"/>
              </w:rPr>
              <w:t xml:space="preserve">Import running</w:t>
            </w:r>
          </w:p>
        </w:tc>
        <w:tc>
          <w:tcPr>
            <w:shd w:fill="F2F3F5" w:val="clear"/>
            <w:tcMar>
              <w:top w:type="dxa" w:w="100"/>
              <w:left w:type="dxa" w:w="150"/>
              <w:bottom w:type="dxa" w:w="100"/>
              <w:right w:type="dxa" w:w="150"/>
            </w:tcMar>
          </w:tcPr>
          <w:p>
            <w:pPr>
              <w:spacing w:line="250"/>
            </w:pPr>
            <w:r>
              <w:rPr>
                <w:color w:val="1A1A1A"/>
                <w:sz w:val="19"/>
                <w:szCs w:val="19"/>
              </w:rPr>
              <w:t xml:space="preserve">Full progress-state takeover (§5.3); primary action area is fully replaced, not overlaid, so there's no ambiguity about whether input is still possible</w:t>
            </w:r>
          </w:p>
        </w:tc>
      </w:tr>
      <w:tr>
        <w:tc>
          <w:tcPr>
            <w:shd w:fill="FFFFFF" w:val="clear"/>
            <w:tcMar>
              <w:top w:type="dxa" w:w="100"/>
              <w:left w:type="dxa" w:w="150"/>
              <w:bottom w:type="dxa" w:w="100"/>
              <w:right w:type="dxa" w:w="150"/>
            </w:tcMar>
          </w:tcPr>
          <w:p>
            <w:pPr>
              <w:spacing w:line="250"/>
            </w:pPr>
            <w:r>
              <w:rPr>
                <w:color w:val="1A1A1A"/>
                <w:sz w:val="19"/>
                <w:szCs w:val="19"/>
              </w:rPr>
              <w:t xml:space="preserve">Any button mid-action</w:t>
            </w:r>
          </w:p>
        </w:tc>
        <w:tc>
          <w:tcPr>
            <w:shd w:fill="FFFFFF" w:val="clear"/>
            <w:tcMar>
              <w:top w:type="dxa" w:w="100"/>
              <w:left w:type="dxa" w:w="150"/>
              <w:bottom w:type="dxa" w:w="100"/>
              <w:right w:type="dxa" w:w="150"/>
            </w:tcMar>
          </w:tcPr>
          <w:p>
            <w:pPr>
              <w:spacing w:line="250"/>
            </w:pPr>
            <w:r>
              <w:rPr>
                <w:color w:val="1A1A1A"/>
                <w:sz w:val="19"/>
                <w:szCs w:val="19"/>
              </w:rPr>
              <w:t xml:space="preserve">Label replaced with an inline spinner + verb-ing text (e.g. "Importing…"), button stays same width to prevent layout shift</w:t>
            </w:r>
          </w:p>
        </w:tc>
      </w:tr>
    </w:tbl>
    <w:p>
      <w:r>
        <w:br w:type="page"/>
      </w:r>
    </w:p>
    <w:p>
      <w:pPr>
        <w:pStyle w:val="Heading1"/>
        <w:pBdr>
          <w:bottom w:val="single" w:color="1B2A4A" w:sz="6" w:space="4"/>
        </w:pBdr>
        <w:spacing w:after="200" w:before="480"/>
      </w:pPr>
      <w:r>
        <w:rPr>
          <w:b/>
          <w:bCs/>
          <w:color w:val="1B2A4A"/>
          <w:sz w:val="32"/>
          <w:szCs w:val="32"/>
        </w:rPr>
        <w:t xml:space="preserve">7. Import Progress Experience</w:t>
      </w:r>
    </w:p>
    <w:p>
      <w:pPr>
        <w:pStyle w:val="Heading2"/>
        <w:spacing w:after="160" w:before="360"/>
      </w:pPr>
      <w:r>
        <w:rPr>
          <w:b/>
          <w:bCs/>
          <w:color w:val="1B2A4A"/>
          <w:sz w:val="26"/>
          <w:szCs w:val="26"/>
        </w:rPr>
        <w:t xml:space="preserve">7.1 The Decision: Checklist, Not Spinner Alone</w:t>
      </w:r>
    </w:p>
    <w:p>
      <w:pPr>
        <w:spacing w:after="180" w:line="276"/>
      </w:pPr>
      <w:r>
        <w:rPr>
          <w:color w:val="1A1A1A"/>
          <w:sz w:val="21"/>
          <w:szCs w:val="21"/>
        </w:rPr>
        <w:t xml:space="preserve">A bare spinner ("Importing…") is rejected outright. It tells the user nothing about what is happening, how long it might take, or — critically — which stage failed if something goes wrong. For a process with distinct, named backend stages (read → validate columns → validate rows → resolve vendor → resolve products → create PO), hiding that structure from the user throws away information the backend already has for free.</w:t>
      </w:r>
    </w:p>
    <w:p>
      <w:pPr>
        <w:spacing w:after="180" w:line="276"/>
      </w:pPr>
      <w:r>
        <w:rPr>
          <w:color w:val="1A1A1A"/>
          <w:sz w:val="21"/>
          <w:szCs w:val="21"/>
        </w:rPr>
        <w:t xml:space="preserve">A pure percentage progress bar is also rejected as the primary element. Percentages imply a granularity of measurement ("73% done") that this backend does not actually provide — it reports discrete stage completion, not continuous progress within a stage. Showing a bar that appears to move continuously when the underlying data is step-based would be dishonest.</w:t>
      </w:r>
    </w:p>
    <w:p>
      <w:pPr>
        <w:pStyle w:val="Heading2"/>
        <w:spacing w:after="160" w:before="360"/>
      </w:pPr>
      <w:r>
        <w:rPr>
          <w:b/>
          <w:bCs/>
          <w:color w:val="1B2A4A"/>
          <w:sz w:val="26"/>
          <w:szCs w:val="26"/>
        </w:rPr>
        <w:t xml:space="preserve">7.2 The Chosen Pattern: Named Checklist + Supplementary Bar</w:t>
      </w:r>
    </w:p>
    <w:p>
      <w:pPr>
        <w:spacing w:after="180" w:line="276"/>
      </w:pPr>
      <w:r>
        <w:rPr>
          <w:color w:val="1A1A1A"/>
          <w:sz w:val="21"/>
          <w:szCs w:val="21"/>
        </w:rPr>
        <w:t xml:space="preserve">The primary progress experience is a vertical checklist mirroring the six backend stages exactly as described in the architecture:</w:t>
      </w:r>
    </w:p>
    <w:p>
      <w:pPr>
        <w:pStyle w:val="ListParagraph"/>
        <w:numPr>
          <w:ilvl w:val="0"/>
          <w:numId w:val="3"/>
        </w:numPr>
        <w:spacing w:after="100" w:line="264"/>
      </w:pPr>
      <w:r>
        <w:rPr>
          <w:color w:val="1A1A1A"/>
          <w:sz w:val="21"/>
          <w:szCs w:val="21"/>
        </w:rPr>
        <w:t xml:space="preserve">Reading workbook</w:t>
      </w:r>
    </w:p>
    <w:p>
      <w:pPr>
        <w:pStyle w:val="ListParagraph"/>
        <w:numPr>
          <w:ilvl w:val="0"/>
          <w:numId w:val="3"/>
        </w:numPr>
        <w:spacing w:after="100" w:line="264"/>
      </w:pPr>
      <w:r>
        <w:rPr>
          <w:color w:val="1A1A1A"/>
          <w:sz w:val="21"/>
          <w:szCs w:val="21"/>
        </w:rPr>
        <w:t xml:space="preserve">Validating columns</w:t>
      </w:r>
    </w:p>
    <w:p>
      <w:pPr>
        <w:pStyle w:val="ListParagraph"/>
        <w:numPr>
          <w:ilvl w:val="0"/>
          <w:numId w:val="3"/>
        </w:numPr>
        <w:spacing w:after="100" w:line="264"/>
      </w:pPr>
      <w:r>
        <w:rPr>
          <w:color w:val="1A1A1A"/>
          <w:sz w:val="21"/>
          <w:szCs w:val="21"/>
        </w:rPr>
        <w:t xml:space="preserve">Validating rows</w:t>
      </w:r>
    </w:p>
    <w:p>
      <w:pPr>
        <w:pStyle w:val="ListParagraph"/>
        <w:numPr>
          <w:ilvl w:val="0"/>
          <w:numId w:val="3"/>
        </w:numPr>
        <w:spacing w:after="100" w:line="264"/>
      </w:pPr>
      <w:r>
        <w:rPr>
          <w:color w:val="1A1A1A"/>
          <w:sz w:val="21"/>
          <w:szCs w:val="21"/>
        </w:rPr>
        <w:t xml:space="preserve">Resolving vendor</w:t>
      </w:r>
    </w:p>
    <w:p>
      <w:pPr>
        <w:pStyle w:val="ListParagraph"/>
        <w:numPr>
          <w:ilvl w:val="0"/>
          <w:numId w:val="3"/>
        </w:numPr>
        <w:spacing w:after="100" w:line="264"/>
      </w:pPr>
      <w:r>
        <w:rPr>
          <w:color w:val="1A1A1A"/>
          <w:sz w:val="21"/>
          <w:szCs w:val="21"/>
        </w:rPr>
        <w:t xml:space="preserve">Resolving products</w:t>
      </w:r>
    </w:p>
    <w:p>
      <w:pPr>
        <w:pStyle w:val="ListParagraph"/>
        <w:numPr>
          <w:ilvl w:val="0"/>
          <w:numId w:val="3"/>
        </w:numPr>
        <w:spacing w:after="100" w:line="264"/>
      </w:pPr>
      <w:r>
        <w:rPr>
          <w:color w:val="1A1A1A"/>
          <w:sz w:val="21"/>
          <w:szCs w:val="21"/>
        </w:rPr>
        <w:t xml:space="preserve">Creating purchase order</w:t>
      </w:r>
    </w:p>
    <w:p>
      <w:pPr>
        <w:spacing w:after="180" w:line="276"/>
      </w:pPr>
      <w:r>
        <w:rPr>
          <w:color w:val="1A1A1A"/>
          <w:sz w:val="21"/>
          <w:szCs w:val="21"/>
        </w:rPr>
        <w:t xml:space="preserve">Each step transitions pending → active → complete as the Import Controller reports progress. A thin supplementary progress bar beneath the list gives an at-a-glance "how far along" signal for users who just want a quick glance from across the room, without displacing the checklist as the primary source of truth.</w:t>
      </w:r>
    </w:p>
    <w:p>
      <w:pPr>
        <w:pStyle w:val="Heading2"/>
        <w:spacing w:after="160" w:before="360"/>
      </w:pPr>
      <w:r>
        <w:rPr>
          <w:b/>
          <w:bCs/>
          <w:color w:val="1B2A4A"/>
          <w:sz w:val="26"/>
          <w:szCs w:val="26"/>
        </w:rPr>
        <w:t xml:space="preserve">7.3 Why This Builds Trust</w:t>
      </w:r>
    </w:p>
    <w:p>
      <w:pPr>
        <w:pStyle w:val="ListParagraph"/>
        <w:numPr>
          <w:ilvl w:val="0"/>
          <w:numId w:val="2"/>
        </w:numPr>
        <w:spacing w:after="100" w:line="264"/>
      </w:pPr>
      <w:r>
        <w:rPr>
          <w:b/>
          <w:bCs/>
          <w:color w:val="1A1A1A"/>
          <w:sz w:val="21"/>
          <w:szCs w:val="21"/>
        </w:rPr>
        <w:t xml:space="preserve">Specificity over abstraction: </w:t>
      </w:r>
      <w:r>
        <w:rPr>
          <w:color w:val="1A1A1A"/>
          <w:sz w:val="21"/>
          <w:szCs w:val="21"/>
        </w:rPr>
        <w:t xml:space="preserve">"Resolving vendor" is concrete and reassuring. A spinner is not. Naming the step tells the user the system is doing real, sensible work — not stuck.</w:t>
      </w:r>
    </w:p>
    <w:p>
      <w:pPr>
        <w:pStyle w:val="ListParagraph"/>
        <w:numPr>
          <w:ilvl w:val="0"/>
          <w:numId w:val="2"/>
        </w:numPr>
        <w:spacing w:after="100" w:line="264"/>
      </w:pPr>
      <w:r>
        <w:rPr>
          <w:b/>
          <w:bCs/>
          <w:color w:val="1A1A1A"/>
          <w:sz w:val="21"/>
          <w:szCs w:val="21"/>
        </w:rPr>
        <w:t xml:space="preserve">Failure locality: </w:t>
      </w:r>
      <w:r>
        <w:rPr>
          <w:color w:val="1A1A1A"/>
          <w:sz w:val="21"/>
          <w:szCs w:val="21"/>
        </w:rPr>
        <w:t xml:space="preserve">If the import fails, the checklist visually freezes with the failing step marked in red and every step after it left pending — the user immediately sees where in the process things went wrong, before even reading the error text.</w:t>
      </w:r>
    </w:p>
    <w:p>
      <w:pPr>
        <w:pStyle w:val="ListParagraph"/>
        <w:numPr>
          <w:ilvl w:val="0"/>
          <w:numId w:val="2"/>
        </w:numPr>
        <w:spacing w:after="100" w:line="264"/>
      </w:pPr>
      <w:r>
        <w:rPr>
          <w:b/>
          <w:bCs/>
          <w:color w:val="1A1A1A"/>
          <w:sz w:val="21"/>
          <w:szCs w:val="21"/>
        </w:rPr>
        <w:t xml:space="preserve">No false precision: </w:t>
      </w:r>
      <w:r>
        <w:rPr>
          <w:color w:val="1A1A1A"/>
          <w:sz w:val="21"/>
          <w:szCs w:val="21"/>
        </w:rPr>
        <w:t xml:space="preserve">Steps complete discretely; there's no attempt to interpolate progress within a step the backend hasn't reported sub-progress for. If the backend later exposes row-level progress within "Validating rows," the design accommodates a nested sub-count (e.g. "Validating rows (140 / 300)") without restructuring the component.</w:t>
      </w:r>
    </w:p>
    <w:p>
      <w:pPr>
        <w:pStyle w:val="Heading2"/>
        <w:spacing w:after="160" w:before="360"/>
      </w:pPr>
      <w:r>
        <w:rPr>
          <w:b/>
          <w:bCs/>
          <w:color w:val="1B2A4A"/>
          <w:sz w:val="26"/>
          <w:szCs w:val="26"/>
        </w:rPr>
        <w:t xml:space="preserve">7.4 Timing and Motion</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tblGrid>
      <w:tr>
        <w:trPr>
          <w:tblHeader/>
        </w:trPr>
        <w:tc>
          <w:tcPr>
            <w:tcW w:type="pct" w:w="50%"/>
            <w:shd w:fill="1B2A4A" w:val="clear"/>
            <w:tcMar>
              <w:top w:type="dxa" w:w="100"/>
              <w:left w:type="dxa" w:w="150"/>
              <w:bottom w:type="dxa" w:w="100"/>
              <w:right w:type="dxa" w:w="150"/>
            </w:tcMar>
          </w:tcPr>
          <w:p>
            <w:r>
              <w:rPr>
                <w:b/>
                <w:bCs/>
                <w:color w:val="FFFFFF"/>
                <w:sz w:val="19"/>
                <w:szCs w:val="19"/>
              </w:rPr>
              <w:t xml:space="preserve">Moment</w:t>
            </w:r>
          </w:p>
        </w:tc>
        <w:tc>
          <w:tcPr>
            <w:tcW w:type="pct" w:w="50%"/>
            <w:shd w:fill="1B2A4A" w:val="clear"/>
            <w:tcMar>
              <w:top w:type="dxa" w:w="100"/>
              <w:left w:type="dxa" w:w="150"/>
              <w:bottom w:type="dxa" w:w="100"/>
              <w:right w:type="dxa" w:w="150"/>
            </w:tcMar>
          </w:tcPr>
          <w:p>
            <w:r>
              <w:rPr>
                <w:b/>
                <w:bCs/>
                <w:color w:val="FFFFFF"/>
                <w:sz w:val="19"/>
                <w:szCs w:val="19"/>
              </w:rPr>
              <w:t xml:space="preserve">Motion Spec</w:t>
            </w:r>
          </w:p>
        </w:tc>
      </w:tr>
      <w:tr>
        <w:tc>
          <w:tcPr>
            <w:shd w:fill="FFFFFF" w:val="clear"/>
            <w:tcMar>
              <w:top w:type="dxa" w:w="100"/>
              <w:left w:type="dxa" w:w="150"/>
              <w:bottom w:type="dxa" w:w="100"/>
              <w:right w:type="dxa" w:w="150"/>
            </w:tcMar>
          </w:tcPr>
          <w:p>
            <w:pPr>
              <w:spacing w:line="250"/>
            </w:pPr>
            <w:r>
              <w:rPr>
                <w:color w:val="1A1A1A"/>
                <w:sz w:val="19"/>
                <w:szCs w:val="19"/>
              </w:rPr>
              <w:t xml:space="preserve">Step transition (pending → active)</w:t>
            </w:r>
          </w:p>
        </w:tc>
        <w:tc>
          <w:tcPr>
            <w:shd w:fill="FFFFFF" w:val="clear"/>
            <w:tcMar>
              <w:top w:type="dxa" w:w="100"/>
              <w:left w:type="dxa" w:w="150"/>
              <w:bottom w:type="dxa" w:w="100"/>
              <w:right w:type="dxa" w:w="150"/>
            </w:tcMar>
          </w:tcPr>
          <w:p>
            <w:pPr>
              <w:spacing w:line="250"/>
            </w:pPr>
            <w:r>
              <w:rPr>
                <w:color w:val="1A1A1A"/>
                <w:sz w:val="19"/>
                <w:szCs w:val="19"/>
              </w:rPr>
              <w:t xml:space="preserve">Instant icon swap to spinner; label weight shifts to bold over 150ms</w:t>
            </w:r>
          </w:p>
        </w:tc>
      </w:tr>
      <w:tr>
        <w:tc>
          <w:tcPr>
            <w:shd w:fill="F2F3F5" w:val="clear"/>
            <w:tcMar>
              <w:top w:type="dxa" w:w="100"/>
              <w:left w:type="dxa" w:w="150"/>
              <w:bottom w:type="dxa" w:w="100"/>
              <w:right w:type="dxa" w:w="150"/>
            </w:tcMar>
          </w:tcPr>
          <w:p>
            <w:pPr>
              <w:spacing w:line="250"/>
            </w:pPr>
            <w:r>
              <w:rPr>
                <w:color w:val="1A1A1A"/>
                <w:sz w:val="19"/>
                <w:szCs w:val="19"/>
              </w:rPr>
              <w:t xml:space="preserve">Step transition (active → complete)</w:t>
            </w:r>
          </w:p>
        </w:tc>
        <w:tc>
          <w:tcPr>
            <w:shd w:fill="F2F3F5" w:val="clear"/>
            <w:tcMar>
              <w:top w:type="dxa" w:w="100"/>
              <w:left w:type="dxa" w:w="150"/>
              <w:bottom w:type="dxa" w:w="100"/>
              <w:right w:type="dxa" w:w="150"/>
            </w:tcMar>
          </w:tcPr>
          <w:p>
            <w:pPr>
              <w:spacing w:line="250"/>
            </w:pPr>
            <w:r>
              <w:rPr>
                <w:color w:val="1A1A1A"/>
                <w:sz w:val="19"/>
                <w:szCs w:val="19"/>
              </w:rPr>
              <w:t xml:space="preserve">Spinner morphs to checkmark with a single 200ms scale+fade — the only "celebratory" micro-motion in the app, kept extremely subtle</w:t>
            </w:r>
          </w:p>
        </w:tc>
      </w:tr>
      <w:tr>
        <w:tc>
          <w:tcPr>
            <w:shd w:fill="FFFFFF" w:val="clear"/>
            <w:tcMar>
              <w:top w:type="dxa" w:w="100"/>
              <w:left w:type="dxa" w:w="150"/>
              <w:bottom w:type="dxa" w:w="100"/>
              <w:right w:type="dxa" w:w="150"/>
            </w:tcMar>
          </w:tcPr>
          <w:p>
            <w:pPr>
              <w:spacing w:line="250"/>
            </w:pPr>
            <w:r>
              <w:rPr>
                <w:color w:val="1A1A1A"/>
                <w:sz w:val="19"/>
                <w:szCs w:val="19"/>
              </w:rPr>
              <w:t xml:space="preserve">Progress bar fill</w:t>
            </w:r>
          </w:p>
        </w:tc>
        <w:tc>
          <w:tcPr>
            <w:shd w:fill="FFFFFF" w:val="clear"/>
            <w:tcMar>
              <w:top w:type="dxa" w:w="100"/>
              <w:left w:type="dxa" w:w="150"/>
              <w:bottom w:type="dxa" w:w="100"/>
              <w:right w:type="dxa" w:w="150"/>
            </w:tcMar>
          </w:tcPr>
          <w:p>
            <w:pPr>
              <w:spacing w:line="250"/>
            </w:pPr>
            <w:r>
              <w:rPr>
                <w:color w:val="1A1A1A"/>
                <w:sz w:val="19"/>
                <w:szCs w:val="19"/>
              </w:rPr>
              <w:t xml:space="preserve">Animates to new width over 300ms ease-out on each step completion, never a continuous/fake animation between known states</w:t>
            </w:r>
          </w:p>
        </w:tc>
      </w:tr>
      <w:tr>
        <w:tc>
          <w:tcPr>
            <w:shd w:fill="F2F3F5" w:val="clear"/>
            <w:tcMar>
              <w:top w:type="dxa" w:w="100"/>
              <w:left w:type="dxa" w:w="150"/>
              <w:bottom w:type="dxa" w:w="100"/>
              <w:right w:type="dxa" w:w="150"/>
            </w:tcMar>
          </w:tcPr>
          <w:p>
            <w:pPr>
              <w:spacing w:line="250"/>
            </w:pPr>
            <w:r>
              <w:rPr>
                <w:color w:val="1A1A1A"/>
                <w:sz w:val="19"/>
                <w:szCs w:val="19"/>
              </w:rPr>
              <w:t xml:space="preserve">Whole-panel transition (progress → result)</w:t>
            </w:r>
          </w:p>
        </w:tc>
        <w:tc>
          <w:tcPr>
            <w:shd w:fill="F2F3F5" w:val="clear"/>
            <w:tcMar>
              <w:top w:type="dxa" w:w="100"/>
              <w:left w:type="dxa" w:w="150"/>
              <w:bottom w:type="dxa" w:w="100"/>
              <w:right w:type="dxa" w:w="150"/>
            </w:tcMar>
          </w:tcPr>
          <w:p>
            <w:pPr>
              <w:spacing w:line="250"/>
            </w:pPr>
            <w:r>
              <w:rPr>
                <w:color w:val="1A1A1A"/>
                <w:sz w:val="19"/>
                <w:szCs w:val="19"/>
              </w:rPr>
              <w:t xml:space="preserve">250ms crossfade, no slide/bounce — keeps the tone professional rather than playful</w:t>
            </w:r>
          </w:p>
        </w:tc>
      </w:tr>
    </w:tbl>
    <w:p>
      <w:pPr>
        <w:pStyle w:val="Heading2"/>
        <w:spacing w:after="160" w:before="360"/>
      </w:pPr>
      <w:r>
        <w:rPr>
          <w:b/>
          <w:bCs/>
          <w:color w:val="1B2A4A"/>
          <w:sz w:val="26"/>
          <w:szCs w:val="26"/>
        </w:rPr>
        <w:t xml:space="preserve">7.5 What Happens If a Step Takes a Long Time</w:t>
      </w:r>
    </w:p>
    <w:p>
      <w:pPr>
        <w:spacing w:after="180" w:line="276"/>
      </w:pPr>
      <w:r>
        <w:rPr>
          <w:color w:val="1A1A1A"/>
          <w:sz w:val="21"/>
          <w:szCs w:val="21"/>
        </w:rPr>
        <w:t xml:space="preserve">If a single stage (e.g. resolving many products against Odoo) runs long, the active step's spinner continues indefinitely — no fake progress, no misleading estimate. After a configurable threshold (e.g. 15 seconds) a small secondary line appears beneath the active step: "This can take a little longer for large files" — reassurance without inventing numbers the backend can't back up.</w:t>
      </w:r>
    </w:p>
    <w:p>
      <w:r>
        <w:br w:type="page"/>
      </w:r>
    </w:p>
    <w:p>
      <w:pPr>
        <w:pStyle w:val="Heading1"/>
        <w:pBdr>
          <w:bottom w:val="single" w:color="1B2A4A" w:sz="6" w:space="4"/>
        </w:pBdr>
        <w:spacing w:after="200" w:before="480"/>
      </w:pPr>
      <w:r>
        <w:rPr>
          <w:b/>
          <w:bCs/>
          <w:color w:val="1B2A4A"/>
          <w:sz w:val="32"/>
          <w:szCs w:val="32"/>
        </w:rPr>
        <w:t xml:space="preserve">8. Success Experience</w:t>
      </w:r>
    </w:p>
    <w:p>
      <w:pPr>
        <w:pStyle w:val="Heading2"/>
        <w:spacing w:after="160" w:before="360"/>
      </w:pPr>
      <w:r>
        <w:rPr>
          <w:b/>
          <w:bCs/>
          <w:color w:val="1B2A4A"/>
          <w:sz w:val="26"/>
          <w:szCs w:val="26"/>
        </w:rPr>
        <w:t xml:space="preserve">8.1 Design Intent</w:t>
      </w:r>
    </w:p>
    <w:p>
      <w:pPr>
        <w:spacing w:after="180" w:line="276"/>
      </w:pPr>
      <w:r>
        <w:rPr>
          <w:color w:val="1A1A1A"/>
          <w:sz w:val="21"/>
          <w:szCs w:val="21"/>
        </w:rPr>
        <w:t xml:space="preserve">Success should feel like closure, not celebration. This is a back-office tool used dozens of times a week — confetti or elaborate animation would become irritating by the third use. The success screen's job is to answer one question immediately: "did it work, and what do I do with the result?"</w:t>
      </w:r>
    </w:p>
    <w:p>
      <w:pPr>
        <w:pStyle w:val="Heading2"/>
        <w:spacing w:after="160" w:before="360"/>
      </w:pPr>
      <w:r>
        <w:rPr>
          <w:b/>
          <w:bCs/>
          <w:color w:val="1B2A4A"/>
          <w:sz w:val="26"/>
          <w:szCs w:val="26"/>
        </w:rPr>
        <w:t xml:space="preserve">8.2 Information Shown, in Priority Order</w:t>
      </w:r>
    </w:p>
    <w:p>
      <w:pPr>
        <w:pStyle w:val="ListParagraph"/>
        <w:numPr>
          <w:ilvl w:val="0"/>
          <w:numId w:val="3"/>
        </w:numPr>
        <w:spacing w:after="100" w:line="264"/>
      </w:pPr>
      <w:r>
        <w:rPr>
          <w:color w:val="1A1A1A"/>
          <w:sz w:val="21"/>
          <w:szCs w:val="21"/>
        </w:rPr>
        <w:t xml:space="preserve">Status confirmation — green check icon + "Purchase Order Created" headline. Unambiguous, glanceable from a distance.</w:t>
      </w:r>
    </w:p>
    <w:p>
      <w:pPr>
        <w:pStyle w:val="ListParagraph"/>
        <w:numPr>
          <w:ilvl w:val="0"/>
          <w:numId w:val="3"/>
        </w:numPr>
        <w:spacing w:after="100" w:line="264"/>
      </w:pPr>
      <w:r>
        <w:rPr>
          <w:color w:val="1A1A1A"/>
          <w:sz w:val="21"/>
          <w:szCs w:val="21"/>
        </w:rPr>
        <w:t xml:space="preserve">The Purchase Order ID/reference — the single most important output of the entire application. Shown in a visually distinct card, large monospace-leaning numeral, with a one-click copy-to-clipboard icon beside it. This is what the user will paste into an email, a tracker, or read aloud on a phone call.</w:t>
      </w:r>
    </w:p>
    <w:p>
      <w:pPr>
        <w:pStyle w:val="ListParagraph"/>
        <w:numPr>
          <w:ilvl w:val="0"/>
          <w:numId w:val="3"/>
        </w:numPr>
        <w:spacing w:after="100" w:line="264"/>
      </w:pPr>
      <w:r>
        <w:rPr>
          <w:color w:val="1A1A1A"/>
          <w:sz w:val="21"/>
          <w:szCs w:val="21"/>
        </w:rPr>
        <w:t xml:space="preserve">Row summary — "12 of 12 rows imported successfully," smaller, muted text. Confirms completeness without demanding attention.</w:t>
      </w:r>
    </w:p>
    <w:p>
      <w:pPr>
        <w:pStyle w:val="ListParagraph"/>
        <w:numPr>
          <w:ilvl w:val="0"/>
          <w:numId w:val="3"/>
        </w:numPr>
        <w:spacing w:after="100" w:line="264"/>
      </w:pPr>
      <w:r>
        <w:rPr>
          <w:color w:val="1A1A1A"/>
          <w:sz w:val="21"/>
          <w:szCs w:val="21"/>
        </w:rPr>
        <w:t>File-move confirmation — a secondary line: "Workbook moved to Processed Orders." Quiet but explicit — the user knows the file is archived and will not reappear in the pending list.</w:t>
      </w:r>
    </w:p>
    <w:p>
      <w:pPr>
        <w:pStyle w:val="Heading2"/>
        <w:spacing w:after="160" w:before="360"/>
      </w:pPr>
      <w:r>
        <w:rPr>
          <w:b/>
          <w:bCs/>
          <w:color w:val="1B2A4A"/>
          <w:sz w:val="26"/>
          <w:szCs w:val="26"/>
        </w:rPr>
        <w:t>Next actions — two buttons: "Import Next Order" (primary — advances to the Folder Scan View, refreshed, with the next pending order pre-selected if one exists) and "Open in Odoo" (secondary, if a direct-link URL is available).</w:t>
      </w:r>
    </w:p>
    <w:p>
      <w:pPr>
        <w:spacing w:after="180" w:line="276"/>
      </w:pPr>
      <w:r>
        <w:rPr>
          <w:color w:val="1A1A1A"/>
          <w:sz w:val="21"/>
          <w:szCs w:val="21"/>
        </w:rPr>
        <w:t xml:space="preserve">If the backend reports rows processed with some rows failed but a PO was still created (e.g. 10 of 12 rows succeeded), this is treated as a distinct visual state — not full success, not full failure: an amber (not green, not red) variant headlined "Purchase Order Created — With Warnings," showing both the PO number and a secondary link "View 2 skipped rows." This prevents a user from missing that some of their data didn't make it in, which a plain green success screen would dangerously obscure.</w:t>
      </w:r>
    </w:p>
    <w:tbl>
      <w:tblPr>
        <w:tblW w:type="pct" w:w="100%"/>
        <w:tblBorders>
          <w:top w:val="single" w:color="2E6FDB" w:sz="4"/>
          <w:left w:val="single" w:color="2E6FDB" w:sz="24"/>
          <w:bottom w:val="single" w:color="2E6FDB" w:sz="4"/>
          <w:right w:val="single" w:color="2E6FDB" w:sz="4"/>
          <w:insideH w:val="single" w:color="auto" w:sz="4"/>
          <w:insideV w:val="single" w:color="auto" w:sz="4"/>
        </w:tblBorders>
      </w:tblPr>
      <w:tblGrid>
        <w:gridCol w:w="100"/>
      </w:tblGrid>
      <w:tr>
        <w:tc>
          <w:tcPr>
            <w:shd w:fill="F2F3F5" w:val="clear"/>
            <w:tcMar>
              <w:top w:type="dxa" w:w="160"/>
              <w:left w:type="dxa" w:w="220"/>
              <w:bottom w:type="dxa" w:w="160"/>
              <w:right w:type="dxa" w:w="220"/>
            </w:tcMar>
          </w:tcPr>
          <w:p>
            <w:pPr>
              <w:spacing w:after="60"/>
            </w:pPr>
            <w:r>
              <w:rPr>
                <w:b/>
                <w:bCs/>
                <w:color w:val="2E6FDB"/>
                <w:sz w:val="19"/>
                <w:szCs w:val="19"/>
              </w:rPr>
              <w:t xml:space="preserve">DESIGN RATIONALE</w:t>
            </w:r>
          </w:p>
          <w:p>
            <w:pPr>
              <w:spacing w:after="0" w:line="264"/>
            </w:pPr>
            <w:r>
              <w:rPr>
                <w:color w:val="1A1A1A"/>
                <w:sz w:val="20"/>
                <w:szCs w:val="20"/>
              </w:rPr>
              <w:t xml:space="preserve">Partial success is the most common way a well-intentioned green checkmark can mislead a business user into thinking everything imported when it didn't. Giving it its own amber-toned identity — distinct from both clean success and hard failure — is one of the highest-leverage decisions in this entire spec.</w:t>
            </w:r>
          </w:p>
        </w:tc>
      </w:tr>
    </w:tbl>
    <w:p>
      <w:pPr>
        <w:spacing w:after="200"/>
      </w:pPr>
    </w:p>
    <w:p>
      <w:pPr>
        <w:pStyle w:val="Heading2"/>
        <w:spacing w:after="160" w:before="360"/>
      </w:pPr>
      <w:r>
        <w:rPr>
          <w:b/>
          <w:bCs/>
          <w:color w:val="1B2A4A"/>
          <w:sz w:val="26"/>
          <w:szCs w:val="26"/>
        </w:rPr>
        <w:t xml:space="preserve">8.4 After Success</w:t>
      </w:r>
    </w:p>
    <w:p>
      <w:pPr>
        <w:spacing w:after="180" w:line="276"/>
      </w:pPr>
      <w:r>
        <w:rPr>
          <w:color w:val="1A1A1A"/>
          <w:sz w:val="21"/>
          <w:szCs w:val="21"/>
        </w:rPr>
        <w:t>The window does not auto-reset and does not auto-close. The result stays visible until the user acts — some users need to copy the PO number or read it aloud. When "Import Next Order" is clicked, the content area transitions to the Folder Scan View; the completed workbook no longer appears in the list, providing implicit confirmation of the move.</w:t>
      </w:r>
    </w:p>
    <w:p>
      <w:r>
        <w:br w:type="page"/>
      </w:r>
    </w:p>
    <w:p>
      <w:pPr>
        <w:pStyle w:val="Heading1"/>
        <w:pBdr>
          <w:bottom w:val="single" w:color="1B2A4A" w:sz="6" w:space="4"/>
        </w:pBdr>
        <w:spacing w:after="200" w:before="480"/>
      </w:pPr>
      <w:r>
        <w:rPr>
          <w:b/>
          <w:bCs/>
          <w:color w:val="1B2A4A"/>
          <w:sz w:val="32"/>
          <w:szCs w:val="32"/>
        </w:rPr>
        <w:t xml:space="preserve">9. Failure Experience</w:t>
      </w:r>
    </w:p>
    <w:p>
      <w:pPr>
        <w:pStyle w:val="Heading2"/>
        <w:spacing w:after="160" w:before="360"/>
      </w:pPr>
      <w:r>
        <w:rPr>
          <w:b/>
          <w:bCs/>
          <w:color w:val="1B2A4A"/>
          <w:sz w:val="26"/>
          <w:szCs w:val="26"/>
        </w:rPr>
        <w:t xml:space="preserve">9.1 Design Intent</w:t>
      </w:r>
    </w:p>
    <w:p>
      <w:pPr>
        <w:spacing w:after="180" w:line="276"/>
      </w:pPr>
      <w:r>
        <w:rPr>
          <w:color w:val="1A1A1A"/>
          <w:sz w:val="21"/>
          <w:szCs w:val="21"/>
        </w:rPr>
        <w:t xml:space="preserve">Failure is the moment this application is most likely to generate a support ticket, a frustrated phone call, or a stalled business process. The failure screen's entire purpose is to minimize panic and maximize self-resolution — while never lying about what went wrong or hiding information IT will need.</w:t>
      </w:r>
    </w:p>
    <w:p>
      <w:pPr>
        <w:pStyle w:val="Heading2"/>
        <w:spacing w:after="160" w:before="360"/>
      </w:pPr>
      <w:r>
        <w:rPr>
          <w:b/>
          <w:bCs/>
          <w:color w:val="1B2A4A"/>
          <w:sz w:val="26"/>
          <w:szCs w:val="26"/>
        </w:rPr>
        <w:t xml:space="preserve">9.2 The Two-Layer Model</w:t>
      </w:r>
    </w:p>
    <w:p>
      <w:pPr>
        <w:spacing w:after="180" w:line="276"/>
      </w:pPr>
      <w:r>
        <w:rPr>
          <w:color w:val="1A1A1A"/>
          <w:sz w:val="21"/>
          <w:szCs w:val="21"/>
        </w:rPr>
        <w:t xml:space="preserve">Every failure is presented in two layers, and the interface never merges them:</w:t>
      </w:r>
    </w:p>
    <w:p>
      <w:pPr>
        <w:pStyle w:val="ListParagraph"/>
        <w:numPr>
          <w:ilvl w:val="0"/>
          <w:numId w:val="2"/>
        </w:numPr>
        <w:spacing w:after="100" w:line="264"/>
      </w:pPr>
      <w:r>
        <w:rPr>
          <w:b/>
          <w:bCs/>
          <w:color w:val="1A1A1A"/>
          <w:sz w:val="21"/>
          <w:szCs w:val="21"/>
        </w:rPr>
        <w:t xml:space="preserve">Layer 1 — Plain language (always visible): </w:t>
      </w:r>
      <w:r>
        <w:rPr>
          <w:color w:val="1A1A1A"/>
          <w:sz w:val="21"/>
          <w:szCs w:val="21"/>
        </w:rPr>
        <w:t xml:space="preserve">A single sentence, written for someone with no technical background, describing what happened in terms of the business action they took. E.g. "Row 7: Vendor 'ACME Corp' could not be matched to a vendor in Odoo. No purchase order was created." This sentence must always answer: what failed, and what is the real-world consequence (was anything created or not).</w:t>
      </w:r>
    </w:p>
    <w:p>
      <w:pPr>
        <w:pStyle w:val="ListParagraph"/>
        <w:numPr>
          <w:ilvl w:val="0"/>
          <w:numId w:val="2"/>
        </w:numPr>
        <w:spacing w:after="100" w:line="264"/>
      </w:pPr>
      <w:r>
        <w:rPr>
          <w:b/>
          <w:bCs/>
          <w:color w:val="1A1A1A"/>
          <w:sz w:val="21"/>
          <w:szCs w:val="21"/>
        </w:rPr>
        <w:t xml:space="preserve">Layer 2 — Technical detail (collapsed by default): </w:t>
      </w:r>
      <w:r>
        <w:rPr>
          <w:color w:val="1A1A1A"/>
          <w:sz w:val="21"/>
          <w:szCs w:val="21"/>
        </w:rPr>
        <w:t xml:space="preserve">Raw error code, failing service/stage, and backend fault string verbatim — exactly as returned by the Import Controller, with zero GUI-side interpretation or rewriting. This is for IT, reached via one click, never forced on the primary user.</w:t>
      </w:r>
    </w:p>
    <w:p>
      <w:pPr>
        <w:pStyle w:val="Heading2"/>
        <w:spacing w:after="160" w:before="360"/>
      </w:pPr>
      <w:r>
        <w:rPr>
          <w:b/>
          <w:bCs/>
          <w:color w:val="1B2A4A"/>
          <w:sz w:val="26"/>
          <w:szCs w:val="26"/>
        </w:rPr>
        <w:t xml:space="preserve">9.3 Failure Severity Categories</w:t>
      </w:r>
    </w:p>
    <w:p>
      <w:pPr>
        <w:spacing w:after="180" w:line="276"/>
      </w:pPr>
      <w:r>
        <w:rPr>
          <w:color w:val="1A1A1A"/>
          <w:sz w:val="21"/>
          <w:szCs w:val="21"/>
        </w:rPr>
        <w:t xml:space="preserve">Not all failures are the same, and treating them identically would waste an opportunity to guide the user. Three visual/copy variants: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gridCol w:w="100"/>
      </w:tblGrid>
      <w:tr>
        <w:trPr>
          <w:tblHeader/>
        </w:trPr>
        <w:tc>
          <w:tcPr>
            <w:tcW w:type="pct" w:w="33.333333333333336%"/>
            <w:shd w:fill="1B2A4A" w:val="clear"/>
            <w:tcMar>
              <w:top w:type="dxa" w:w="100"/>
              <w:left w:type="dxa" w:w="150"/>
              <w:bottom w:type="dxa" w:w="100"/>
              <w:right w:type="dxa" w:w="150"/>
            </w:tcMar>
          </w:tcPr>
          <w:p>
            <w:r>
              <w:rPr>
                <w:b/>
                <w:bCs/>
                <w:color w:val="FFFFFF"/>
                <w:sz w:val="19"/>
                <w:szCs w:val="19"/>
              </w:rPr>
              <w:t xml:space="preserve">Category</w:t>
            </w:r>
          </w:p>
        </w:tc>
        <w:tc>
          <w:tcPr>
            <w:tcW w:type="pct" w:w="33.333333333333336%"/>
            <w:shd w:fill="1B2A4A" w:val="clear"/>
            <w:tcMar>
              <w:top w:type="dxa" w:w="100"/>
              <w:left w:type="dxa" w:w="150"/>
              <w:bottom w:type="dxa" w:w="100"/>
              <w:right w:type="dxa" w:w="150"/>
            </w:tcMar>
          </w:tcPr>
          <w:p>
            <w:r>
              <w:rPr>
                <w:b/>
                <w:bCs/>
                <w:color w:val="FFFFFF"/>
                <w:sz w:val="19"/>
                <w:szCs w:val="19"/>
              </w:rPr>
              <w:t xml:space="preserve">Visual</w:t>
            </w:r>
          </w:p>
        </w:tc>
        <w:tc>
          <w:tcPr>
            <w:tcW w:type="pct" w:w="33.333333333333336%"/>
            <w:shd w:fill="1B2A4A" w:val="clear"/>
            <w:tcMar>
              <w:top w:type="dxa" w:w="100"/>
              <w:left w:type="dxa" w:w="150"/>
              <w:bottom w:type="dxa" w:w="100"/>
              <w:right w:type="dxa" w:w="150"/>
            </w:tcMar>
          </w:tcPr>
          <w:p>
            <w:r>
              <w:rPr>
                <w:b/>
                <w:bCs/>
                <w:color w:val="FFFFFF"/>
                <w:sz w:val="19"/>
                <w:szCs w:val="19"/>
              </w:rPr>
              <w:t xml:space="preserve">Meaning &amp; Response</w:t>
            </w:r>
          </w:p>
        </w:tc>
      </w:tr>
      <w:tr>
        <w:tc>
          <w:tcPr>
            <w:shd w:fill="FFFFFF" w:val="clear"/>
            <w:tcMar>
              <w:top w:type="dxa" w:w="100"/>
              <w:left w:type="dxa" w:w="150"/>
              <w:bottom w:type="dxa" w:w="100"/>
              <w:right w:type="dxa" w:w="150"/>
            </w:tcMar>
          </w:tcPr>
          <w:p>
            <w:pPr>
              <w:spacing w:line="250"/>
            </w:pPr>
            <w:r>
              <w:rPr>
                <w:color w:val="1A1A1A"/>
                <w:sz w:val="19"/>
                <w:szCs w:val="19"/>
              </w:rPr>
              <w:t xml:space="preserve">Data / validation failure</w:t>
            </w:r>
          </w:p>
        </w:tc>
        <w:tc>
          <w:tcPr>
            <w:shd w:fill="FFFFFF" w:val="clear"/>
            <w:tcMar>
              <w:top w:type="dxa" w:w="100"/>
              <w:left w:type="dxa" w:w="150"/>
              <w:bottom w:type="dxa" w:w="100"/>
              <w:right w:type="dxa" w:w="150"/>
            </w:tcMar>
          </w:tcPr>
          <w:p>
            <w:pPr>
              <w:spacing w:line="250"/>
            </w:pPr>
            <w:r>
              <w:rPr>
                <w:color w:val="1A1A1A"/>
                <w:sz w:val="19"/>
                <w:szCs w:val="19"/>
              </w:rPr>
              <w:t xml:space="preserve">Amber icon</w:t>
            </w:r>
          </w:p>
        </w:tc>
        <w:tc>
          <w:tcPr>
            <w:shd w:fill="FFFFFF" w:val="clear"/>
            <w:tcMar>
              <w:top w:type="dxa" w:w="100"/>
              <w:left w:type="dxa" w:w="150"/>
              <w:bottom w:type="dxa" w:w="100"/>
              <w:right w:type="dxa" w:w="150"/>
            </w:tcMar>
          </w:tcPr>
          <w:p>
            <w:pPr>
              <w:spacing w:line="250"/>
            </w:pPr>
            <w:r>
              <w:rPr>
                <w:color w:val="1A1A1A"/>
                <w:sz w:val="19"/>
                <w:szCs w:val="19"/>
              </w:rPr>
              <w:t xml:space="preserve">Something in the file needs fixing (bad vendor name, missing column, malformed row). Copy points at the file. Primary action: "Try Again" after editing the file.</w:t>
            </w:r>
          </w:p>
        </w:tc>
      </w:tr>
      <w:tr>
        <w:tc>
          <w:tcPr>
            <w:shd w:fill="F2F3F5" w:val="clear"/>
            <w:tcMar>
              <w:top w:type="dxa" w:w="100"/>
              <w:left w:type="dxa" w:w="150"/>
              <w:bottom w:type="dxa" w:w="100"/>
              <w:right w:type="dxa" w:w="150"/>
            </w:tcMar>
          </w:tcPr>
          <w:p>
            <w:pPr>
              <w:spacing w:line="250"/>
            </w:pPr>
            <w:r>
              <w:rPr>
                <w:color w:val="1A1A1A"/>
                <w:sz w:val="19"/>
                <w:szCs w:val="19"/>
              </w:rPr>
              <w:t xml:space="preserve">Connection / system failure</w:t>
            </w:r>
          </w:p>
        </w:tc>
        <w:tc>
          <w:tcPr>
            <w:shd w:fill="F2F3F5" w:val="clear"/>
            <w:tcMar>
              <w:top w:type="dxa" w:w="100"/>
              <w:left w:type="dxa" w:w="150"/>
              <w:bottom w:type="dxa" w:w="100"/>
              <w:right w:type="dxa" w:w="150"/>
            </w:tcMar>
          </w:tcPr>
          <w:p>
            <w:pPr>
              <w:spacing w:line="250"/>
            </w:pPr>
            <w:r>
              <w:rPr>
                <w:color w:val="1A1A1A"/>
                <w:sz w:val="19"/>
                <w:szCs w:val="19"/>
              </w:rPr>
              <w:t xml:space="preserve">Red icon</w:t>
            </w:r>
          </w:p>
        </w:tc>
        <w:tc>
          <w:tcPr>
            <w:shd w:fill="F2F3F5" w:val="clear"/>
            <w:tcMar>
              <w:top w:type="dxa" w:w="100"/>
              <w:left w:type="dxa" w:w="150"/>
              <w:bottom w:type="dxa" w:w="100"/>
              <w:right w:type="dxa" w:w="150"/>
            </w:tcMar>
          </w:tcPr>
          <w:p>
            <w:pPr>
              <w:spacing w:line="250"/>
            </w:pPr>
            <w:r>
              <w:rPr>
                <w:color w:val="1A1A1A"/>
                <w:sz w:val="19"/>
                <w:szCs w:val="19"/>
              </w:rPr>
              <w:t xml:space="preserve">The app could not reach Odoo, or Odoo itself errored. Copy makes clear this is not the user's data's fault. Primary action becomes "Retry Connection" rather than "Try Again," and the header connection badge simultaneously flips to "Not connected."</w:t>
            </w:r>
          </w:p>
        </w:tc>
      </w:tr>
      <w:tr>
        <w:tc>
          <w:tcPr>
            <w:shd w:fill="FFFFFF" w:val="clear"/>
            <w:tcMar>
              <w:top w:type="dxa" w:w="100"/>
              <w:left w:type="dxa" w:w="150"/>
              <w:bottom w:type="dxa" w:w="100"/>
              <w:right w:type="dxa" w:w="150"/>
            </w:tcMar>
          </w:tcPr>
          <w:p>
            <w:pPr>
              <w:spacing w:line="250"/>
            </w:pPr>
            <w:r>
              <w:rPr>
                <w:color w:val="1A1A1A"/>
                <w:sz w:val="19"/>
                <w:szCs w:val="19"/>
              </w:rPr>
              <w:t xml:space="preserve">Partial completion</w:t>
            </w:r>
          </w:p>
        </w:tc>
        <w:tc>
          <w:tcPr>
            <w:shd w:fill="FFFFFF" w:val="clear"/>
            <w:tcMar>
              <w:top w:type="dxa" w:w="100"/>
              <w:left w:type="dxa" w:w="150"/>
              <w:bottom w:type="dxa" w:w="100"/>
              <w:right w:type="dxa" w:w="150"/>
            </w:tcMar>
          </w:tcPr>
          <w:p>
            <w:pPr>
              <w:spacing w:line="250"/>
            </w:pPr>
            <w:r>
              <w:rPr>
                <w:color w:val="1A1A1A"/>
                <w:sz w:val="19"/>
                <w:szCs w:val="19"/>
              </w:rPr>
              <w:t xml:space="preserve">Amber icon, distinct from failure</w:t>
            </w:r>
          </w:p>
        </w:tc>
        <w:tc>
          <w:tcPr>
            <w:shd w:fill="FFFFFF" w:val="clear"/>
            <w:tcMar>
              <w:top w:type="dxa" w:w="100"/>
              <w:left w:type="dxa" w:w="150"/>
              <w:bottom w:type="dxa" w:w="100"/>
              <w:right w:type="dxa" w:w="150"/>
            </w:tcMar>
          </w:tcPr>
          <w:p>
            <w:pPr>
              <w:spacing w:line="250"/>
            </w:pPr>
            <w:r>
              <w:rPr>
                <w:color w:val="1A1A1A"/>
                <w:sz w:val="19"/>
                <w:szCs w:val="19"/>
              </w:rPr>
              <w:t xml:space="preserve">Handled as its own state under Success, §8.3 — never shown on the red/failure track, since a PO was in fact created.</w:t>
            </w:r>
          </w:p>
        </w:tc>
      </w:tr>
    </w:tbl>
    <w:p>
      <w:pPr>
        <w:pStyle w:val="Heading2"/>
        <w:spacing w:after="160" w:before="360"/>
      </w:pPr>
      <w:r>
        <w:rPr>
          <w:b/>
          <w:bCs/>
          <w:color w:val="1B2A4A"/>
          <w:sz w:val="26"/>
          <w:szCs w:val="26"/>
        </w:rPr>
        <w:t xml:space="preserve">9.4 Multi-Row Failures</w:t>
      </w:r>
    </w:p>
    <w:p>
      <w:pPr>
        <w:spacing w:after="180" w:line="276"/>
      </w:pPr>
      <w:r>
        <w:rPr>
          <w:color w:val="1A1A1A"/>
          <w:sz w:val="21"/>
          <w:szCs w:val="21"/>
        </w:rPr>
        <w:t xml:space="preserve">If more than one row failed validation, the plain-language layer summarizes rather than lists everything inline ("3 rows could not be processed" rather than three separate paragraphs), with a secondary link "View all 3 issues" that expands an inline table: row number, column, and plain-language reason — sourced directly from the backend's per-row validation output, never inferred by the GUI.</w:t>
      </w:r>
    </w:p>
    <w:p>
      <w:pPr>
        <w:pStyle w:val="Heading2"/>
        <w:spacing w:after="160" w:before="360"/>
      </w:pPr>
      <w:r>
        <w:rPr>
          <w:b/>
          <w:bCs/>
          <w:color w:val="1B2A4A"/>
          <w:sz w:val="26"/>
          <w:szCs w:val="26"/>
        </w:rPr>
        <w:t xml:space="preserve">9.5 What the User Can Do From Here</w:t>
      </w:r>
    </w:p>
    <w:p>
      <w:pPr>
        <w:pStyle w:val="ListParagraph"/>
        <w:numPr>
          <w:ilvl w:val="0"/>
          <w:numId w:val="3"/>
        </w:numPr>
        <w:spacing w:after="100" w:line="264"/>
      </w:pPr>
      <w:r>
        <w:rPr>
          <w:color w:val="1A1A1A"/>
          <w:sz w:val="21"/>
          <w:szCs w:val="21"/>
        </w:rPr>
        <w:t>Read the plain-language explanation and, if it is a data issue, fix the Excel file in its Incoming Orders location and click "Try Again" — which re-runs the import on the same file without requiring any re-selection.</w:t>
      </w:r>
    </w:p>
    <w:p>
      <w:pPr>
        <w:pStyle w:val="ListParagraph"/>
        <w:numPr>
          <w:ilvl w:val="0"/>
          <w:numId w:val="3"/>
        </w:numPr>
        <w:spacing w:after="100" w:line="264"/>
      </w:pPr>
      <w:r>
        <w:rPr>
          <w:color w:val="1A1A1A"/>
          <w:sz w:val="21"/>
          <w:szCs w:val="21"/>
        </w:rPr>
        <w:t xml:space="preserve">Copy technical details to paste into an email/ticket to IT, without needing to locate a log file manually.</w:t>
      </w:r>
    </w:p>
    <w:p>
      <w:pPr>
        <w:pStyle w:val="ListParagraph"/>
        <w:numPr>
          <w:ilvl w:val="0"/>
          <w:numId w:val="3"/>
        </w:numPr>
        <w:spacing w:after="100" w:line="264"/>
      </w:pPr>
      <w:r>
        <w:rPr>
          <w:color w:val="1A1A1A"/>
          <w:sz w:val="21"/>
          <w:szCs w:val="21"/>
        </w:rPr>
        <w:t xml:space="preserve">Open the full log file directly from the failure screen for deeper IT investigation.</w:t>
      </w:r>
    </w:p>
    <w:p>
      <w:pPr>
        <w:pStyle w:val="ListParagraph"/>
        <w:numPr>
          <w:ilvl w:val="0"/>
          <w:numId w:val="3"/>
        </w:numPr>
        <w:spacing w:after="100" w:line="264"/>
      </w:pPr>
      <w:r>
        <w:rPr>
          <w:color w:val="1A1A1A"/>
          <w:sz w:val="21"/>
          <w:szCs w:val="21"/>
        </w:rPr>
        <w:t>Return to the order list with "Back to Order List" — the failed workbook remains in Incoming Orders and continues to appear in the pending list so it cannot be accidentally forgotten.</w:t>
      </w:r>
    </w:p>
    <w:p>
      <w:pPr>
        <w:pStyle w:val="Heading2"/>
        <w:spacing w:after="160" w:before="360"/>
      </w:pPr>
      <w:r>
        <w:rPr>
          <w:b/>
          <w:bCs/>
          <w:color w:val="1B2A4A"/>
          <w:sz w:val="26"/>
          <w:szCs w:val="26"/>
        </w:rPr>
        <w:t xml:space="preserve">9.6 Tone of Copy</w:t>
      </w:r>
    </w:p>
    <w:p>
      <w:pPr>
        <w:spacing w:after="180" w:line="276"/>
      </w:pPr>
      <w:r>
        <w:rPr>
          <w:color w:val="1A1A1A"/>
          <w:sz w:val="21"/>
          <w:szCs w:val="21"/>
        </w:rPr>
        <w:t xml:space="preserve">Failure copy never uses blame language ("You entered an invalid vendor") — it is always framed around the data and system state ("Vendor 'ACME Corp' could not be matched"). This is a deliberate choice for a tool used by people who may already feel anxious about breaking something in a business-critical ERP system.</w:t>
      </w:r>
    </w:p>
    <w:p>
      <w:r>
        <w:br w:type="page"/>
      </w:r>
    </w:p>
    <w:p>
      <w:pPr>
        <w:pStyle w:val="Heading1"/>
        <w:pBdr>
          <w:bottom w:val="single" w:color="1B2A4A" w:sz="6" w:space="4"/>
        </w:pBdr>
        <w:spacing w:after="200" w:before="480"/>
      </w:pPr>
      <w:r>
        <w:rPr>
          <w:b/>
          <w:bCs/>
          <w:color w:val="1B2A4A"/>
          <w:sz w:val="32"/>
          <w:szCs w:val="32"/>
        </w:rPr>
        <w:t xml:space="preserve">10. Visual Style System</w:t>
      </w:r>
    </w:p>
    <w:p>
      <w:pPr>
        <w:pStyle w:val="Heading2"/>
        <w:spacing w:after="160" w:before="360"/>
      </w:pPr>
      <w:r>
        <w:rPr>
          <w:b/>
          <w:bCs/>
          <w:color w:val="1B2A4A"/>
          <w:sz w:val="26"/>
          <w:szCs w:val="26"/>
        </w:rPr>
        <w:t xml:space="preserve">10.1 Color Palette</w:t>
      </w:r>
    </w:p>
    <w:p>
      <w:pPr>
        <w:spacing w:after="180" w:line="276"/>
      </w:pPr>
      <w:r>
        <w:rPr>
          <w:color w:val="1A1A1A"/>
          <w:sz w:val="21"/>
          <w:szCs w:val="21"/>
        </w:rPr>
        <w:t xml:space="preserve">Color is used exclusively to carry meaning (status, hierarchy) — never decoration. The palette is deliberately small.</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gridCol w:w="100"/>
      </w:tblGrid>
      <w:tr>
        <w:trPr>
          <w:tblHeader/>
        </w:trPr>
        <w:tc>
          <w:tcPr>
            <w:tcW w:type="pct" w:w="33.333333333333336%"/>
            <w:shd w:fill="1B2A4A" w:val="clear"/>
            <w:tcMar>
              <w:top w:type="dxa" w:w="100"/>
              <w:left w:type="dxa" w:w="150"/>
              <w:bottom w:type="dxa" w:w="100"/>
              <w:right w:type="dxa" w:w="150"/>
            </w:tcMar>
          </w:tcPr>
          <w:p>
            <w:r>
              <w:rPr>
                <w:b/>
                <w:bCs/>
                <w:color w:val="FFFFFF"/>
                <w:sz w:val="19"/>
                <w:szCs w:val="19"/>
              </w:rPr>
              <w:t xml:space="preserve">Token</w:t>
            </w:r>
          </w:p>
        </w:tc>
        <w:tc>
          <w:tcPr>
            <w:tcW w:type="pct" w:w="33.333333333333336%"/>
            <w:shd w:fill="1B2A4A" w:val="clear"/>
            <w:tcMar>
              <w:top w:type="dxa" w:w="100"/>
              <w:left w:type="dxa" w:w="150"/>
              <w:bottom w:type="dxa" w:w="100"/>
              <w:right w:type="dxa" w:w="150"/>
            </w:tcMar>
          </w:tcPr>
          <w:p>
            <w:r>
              <w:rPr>
                <w:b/>
                <w:bCs/>
                <w:color w:val="FFFFFF"/>
                <w:sz w:val="19"/>
                <w:szCs w:val="19"/>
              </w:rPr>
              <w:t xml:space="preserve">Hex</w:t>
            </w:r>
          </w:p>
        </w:tc>
        <w:tc>
          <w:tcPr>
            <w:tcW w:type="pct" w:w="33.333333333333336%"/>
            <w:shd w:fill="1B2A4A" w:val="clear"/>
            <w:tcMar>
              <w:top w:type="dxa" w:w="100"/>
              <w:left w:type="dxa" w:w="150"/>
              <w:bottom w:type="dxa" w:w="100"/>
              <w:right w:type="dxa" w:w="150"/>
            </w:tcMar>
          </w:tcPr>
          <w:p>
            <w:r>
              <w:rPr>
                <w:b/>
                <w:bCs/>
                <w:color w:val="FFFFFF"/>
                <w:sz w:val="19"/>
                <w:szCs w:val="19"/>
              </w:rPr>
              <w:t xml:space="preserve">Usage</w:t>
            </w:r>
          </w:p>
        </w:tc>
      </w:tr>
      <w:tr>
        <w:tc>
          <w:tcPr>
            <w:shd w:fill="FFFFFF" w:val="clear"/>
            <w:tcMar>
              <w:top w:type="dxa" w:w="100"/>
              <w:left w:type="dxa" w:w="150"/>
              <w:bottom w:type="dxa" w:w="100"/>
              <w:right w:type="dxa" w:w="150"/>
            </w:tcMar>
          </w:tcPr>
          <w:p>
            <w:pPr>
              <w:spacing w:line="250"/>
            </w:pPr>
            <w:r>
              <w:rPr>
                <w:color w:val="1A1A1A"/>
                <w:sz w:val="19"/>
                <w:szCs w:val="19"/>
              </w:rPr>
              <w:t xml:space="preserve">Navy 900</w:t>
            </w:r>
          </w:p>
        </w:tc>
        <w:tc>
          <w:tcPr>
            <w:shd w:fill="FFFFFF" w:val="clear"/>
            <w:tcMar>
              <w:top w:type="dxa" w:w="100"/>
              <w:left w:type="dxa" w:w="150"/>
              <w:bottom w:type="dxa" w:w="100"/>
              <w:right w:type="dxa" w:w="150"/>
            </w:tcMar>
          </w:tcPr>
          <w:p>
            <w:pPr>
              <w:spacing w:line="250"/>
            </w:pPr>
            <w:r>
              <w:rPr>
                <w:color w:val="1A1A1A"/>
                <w:sz w:val="19"/>
                <w:szCs w:val="19"/>
              </w:rPr>
              <w:t xml:space="preserve">#1B2A4A</w:t>
            </w:r>
          </w:p>
        </w:tc>
        <w:tc>
          <w:tcPr>
            <w:shd w:fill="FFFFFF" w:val="clear"/>
            <w:tcMar>
              <w:top w:type="dxa" w:w="100"/>
              <w:left w:type="dxa" w:w="150"/>
              <w:bottom w:type="dxa" w:w="100"/>
              <w:right w:type="dxa" w:w="150"/>
            </w:tcMar>
          </w:tcPr>
          <w:p>
            <w:pPr>
              <w:spacing w:line="250"/>
            </w:pPr>
            <w:r>
              <w:rPr>
                <w:color w:val="1A1A1A"/>
                <w:sz w:val="19"/>
                <w:szCs w:val="19"/>
              </w:rPr>
              <w:t xml:space="preserve">Primary text, headlines, header band</w:t>
            </w:r>
          </w:p>
        </w:tc>
      </w:tr>
      <w:tr>
        <w:tc>
          <w:tcPr>
            <w:shd w:fill="F2F3F5" w:val="clear"/>
            <w:tcMar>
              <w:top w:type="dxa" w:w="100"/>
              <w:left w:type="dxa" w:w="150"/>
              <w:bottom w:type="dxa" w:w="100"/>
              <w:right w:type="dxa" w:w="150"/>
            </w:tcMar>
          </w:tcPr>
          <w:p>
            <w:pPr>
              <w:spacing w:line="250"/>
            </w:pPr>
            <w:r>
              <w:rPr>
                <w:color w:val="1A1A1A"/>
                <w:sz w:val="19"/>
                <w:szCs w:val="19"/>
              </w:rPr>
              <w:t xml:space="preserve">Slate 600</w:t>
            </w:r>
          </w:p>
        </w:tc>
        <w:tc>
          <w:tcPr>
            <w:shd w:fill="F2F3F5" w:val="clear"/>
            <w:tcMar>
              <w:top w:type="dxa" w:w="100"/>
              <w:left w:type="dxa" w:w="150"/>
              <w:bottom w:type="dxa" w:w="100"/>
              <w:right w:type="dxa" w:w="150"/>
            </w:tcMar>
          </w:tcPr>
          <w:p>
            <w:pPr>
              <w:spacing w:line="250"/>
            </w:pPr>
            <w:r>
              <w:rPr>
                <w:color w:val="1A1A1A"/>
                <w:sz w:val="19"/>
                <w:szCs w:val="19"/>
              </w:rPr>
              <w:t xml:space="preserve">#44546A</w:t>
            </w:r>
          </w:p>
        </w:tc>
        <w:tc>
          <w:tcPr>
            <w:shd w:fill="F2F3F5" w:val="clear"/>
            <w:tcMar>
              <w:top w:type="dxa" w:w="100"/>
              <w:left w:type="dxa" w:w="150"/>
              <w:bottom w:type="dxa" w:w="100"/>
              <w:right w:type="dxa" w:w="150"/>
            </w:tcMar>
          </w:tcPr>
          <w:p>
            <w:pPr>
              <w:spacing w:line="250"/>
            </w:pPr>
            <w:r>
              <w:rPr>
                <w:color w:val="1A1A1A"/>
                <w:sz w:val="19"/>
                <w:szCs w:val="19"/>
              </w:rPr>
              <w:t xml:space="preserve">Secondary text, subheadings</w:t>
            </w:r>
          </w:p>
        </w:tc>
      </w:tr>
      <w:tr>
        <w:tc>
          <w:tcPr>
            <w:shd w:fill="FFFFFF" w:val="clear"/>
            <w:tcMar>
              <w:top w:type="dxa" w:w="100"/>
              <w:left w:type="dxa" w:w="150"/>
              <w:bottom w:type="dxa" w:w="100"/>
              <w:right w:type="dxa" w:w="150"/>
            </w:tcMar>
          </w:tcPr>
          <w:p>
            <w:pPr>
              <w:spacing w:line="250"/>
            </w:pPr>
            <w:r>
              <w:rPr>
                <w:color w:val="1A1A1A"/>
                <w:sz w:val="19"/>
                <w:szCs w:val="19"/>
              </w:rPr>
              <w:t xml:space="preserve">Muted Grey 500</w:t>
            </w:r>
          </w:p>
        </w:tc>
        <w:tc>
          <w:tcPr>
            <w:shd w:fill="FFFFFF" w:val="clear"/>
            <w:tcMar>
              <w:top w:type="dxa" w:w="100"/>
              <w:left w:type="dxa" w:w="150"/>
              <w:bottom w:type="dxa" w:w="100"/>
              <w:right w:type="dxa" w:w="150"/>
            </w:tcMar>
          </w:tcPr>
          <w:p>
            <w:pPr>
              <w:spacing w:line="250"/>
            </w:pPr>
            <w:r>
              <w:rPr>
                <w:color w:val="1A1A1A"/>
                <w:sz w:val="19"/>
                <w:szCs w:val="19"/>
              </w:rPr>
              <w:t xml:space="preserve">#6B7280</w:t>
            </w:r>
          </w:p>
        </w:tc>
        <w:tc>
          <w:tcPr>
            <w:shd w:fill="FFFFFF" w:val="clear"/>
            <w:tcMar>
              <w:top w:type="dxa" w:w="100"/>
              <w:left w:type="dxa" w:w="150"/>
              <w:bottom w:type="dxa" w:w="100"/>
              <w:right w:type="dxa" w:w="150"/>
            </w:tcMar>
          </w:tcPr>
          <w:p>
            <w:pPr>
              <w:spacing w:line="250"/>
            </w:pPr>
            <w:r>
              <w:rPr>
                <w:color w:val="1A1A1A"/>
                <w:sz w:val="19"/>
                <w:szCs w:val="19"/>
              </w:rPr>
              <w:t xml:space="preserve">Tertiary text, timestamps, pending states</w:t>
            </w:r>
          </w:p>
        </w:tc>
      </w:tr>
      <w:tr>
        <w:tc>
          <w:tcPr>
            <w:shd w:fill="F2F3F5" w:val="clear"/>
            <w:tcMar>
              <w:top w:type="dxa" w:w="100"/>
              <w:left w:type="dxa" w:w="150"/>
              <w:bottom w:type="dxa" w:w="100"/>
              <w:right w:type="dxa" w:w="150"/>
            </w:tcMar>
          </w:tcPr>
          <w:p>
            <w:pPr>
              <w:spacing w:line="250"/>
            </w:pPr>
            <w:r>
              <w:rPr>
                <w:color w:val="1A1A1A"/>
                <w:sz w:val="19"/>
                <w:szCs w:val="19"/>
              </w:rPr>
              <w:t xml:space="preserve">Border Grey</w:t>
            </w:r>
          </w:p>
        </w:tc>
        <w:tc>
          <w:tcPr>
            <w:shd w:fill="F2F3F5" w:val="clear"/>
            <w:tcMar>
              <w:top w:type="dxa" w:w="100"/>
              <w:left w:type="dxa" w:w="150"/>
              <w:bottom w:type="dxa" w:w="100"/>
              <w:right w:type="dxa" w:w="150"/>
            </w:tcMar>
          </w:tcPr>
          <w:p>
            <w:pPr>
              <w:spacing w:line="250"/>
            </w:pPr>
            <w:r>
              <w:rPr>
                <w:color w:val="1A1A1A"/>
                <w:sz w:val="19"/>
                <w:szCs w:val="19"/>
              </w:rPr>
              <w:t xml:space="preserve">#D0D5DD</w:t>
            </w:r>
          </w:p>
        </w:tc>
        <w:tc>
          <w:tcPr>
            <w:shd w:fill="F2F3F5" w:val="clear"/>
            <w:tcMar>
              <w:top w:type="dxa" w:w="100"/>
              <w:left w:type="dxa" w:w="150"/>
              <w:bottom w:type="dxa" w:w="100"/>
              <w:right w:type="dxa" w:w="150"/>
            </w:tcMar>
          </w:tcPr>
          <w:p>
            <w:pPr>
              <w:spacing w:line="250"/>
            </w:pPr>
            <w:r>
              <w:rPr>
                <w:color w:val="1A1A1A"/>
                <w:sz w:val="19"/>
                <w:szCs w:val="19"/>
              </w:rPr>
              <w:t xml:space="preserve">All hairline borders and dividers</w:t>
            </w:r>
          </w:p>
        </w:tc>
      </w:tr>
      <w:tr>
        <w:tc>
          <w:tcPr>
            <w:shd w:fill="FFFFFF" w:val="clear"/>
            <w:tcMar>
              <w:top w:type="dxa" w:w="100"/>
              <w:left w:type="dxa" w:w="150"/>
              <w:bottom w:type="dxa" w:w="100"/>
              <w:right w:type="dxa" w:w="150"/>
            </w:tcMar>
          </w:tcPr>
          <w:p>
            <w:pPr>
              <w:spacing w:line="250"/>
            </w:pPr>
            <w:r>
              <w:rPr>
                <w:color w:val="1A1A1A"/>
                <w:sz w:val="19"/>
                <w:szCs w:val="19"/>
              </w:rPr>
              <w:t xml:space="preserve">Surface Light</w:t>
            </w:r>
          </w:p>
        </w:tc>
        <w:tc>
          <w:tcPr>
            <w:shd w:fill="FFFFFF" w:val="clear"/>
            <w:tcMar>
              <w:top w:type="dxa" w:w="100"/>
              <w:left w:type="dxa" w:w="150"/>
              <w:bottom w:type="dxa" w:w="100"/>
              <w:right w:type="dxa" w:w="150"/>
            </w:tcMar>
          </w:tcPr>
          <w:p>
            <w:pPr>
              <w:spacing w:line="250"/>
            </w:pPr>
            <w:r>
              <w:rPr>
                <w:color w:val="1A1A1A"/>
                <w:sz w:val="19"/>
                <w:szCs w:val="19"/>
              </w:rPr>
              <w:t xml:space="preserve">#F2F3F5</w:t>
            </w:r>
          </w:p>
        </w:tc>
        <w:tc>
          <w:tcPr>
            <w:shd w:fill="FFFFFF" w:val="clear"/>
            <w:tcMar>
              <w:top w:type="dxa" w:w="100"/>
              <w:left w:type="dxa" w:w="150"/>
              <w:bottom w:type="dxa" w:w="100"/>
              <w:right w:type="dxa" w:w="150"/>
            </w:tcMar>
          </w:tcPr>
          <w:p>
            <w:pPr>
              <w:spacing w:line="250"/>
            </w:pPr>
            <w:r>
              <w:rPr>
                <w:color w:val="1A1A1A"/>
                <w:sz w:val="19"/>
                <w:szCs w:val="19"/>
              </w:rPr>
              <w:t xml:space="preserve">Card backgrounds, subtle section fills</w:t>
            </w:r>
          </w:p>
        </w:tc>
      </w:tr>
      <w:tr>
        <w:tc>
          <w:tcPr>
            <w:shd w:fill="F2F3F5" w:val="clear"/>
            <w:tcMar>
              <w:top w:type="dxa" w:w="100"/>
              <w:left w:type="dxa" w:w="150"/>
              <w:bottom w:type="dxa" w:w="100"/>
              <w:right w:type="dxa" w:w="150"/>
            </w:tcMar>
          </w:tcPr>
          <w:p>
            <w:pPr>
              <w:spacing w:line="250"/>
            </w:pPr>
            <w:r>
              <w:rPr>
                <w:color w:val="1A1A1A"/>
                <w:sz w:val="19"/>
                <w:szCs w:val="19"/>
              </w:rPr>
              <w:t xml:space="preserve">Accent Blue</w:t>
            </w:r>
          </w:p>
        </w:tc>
        <w:tc>
          <w:tcPr>
            <w:shd w:fill="F2F3F5" w:val="clear"/>
            <w:tcMar>
              <w:top w:type="dxa" w:w="100"/>
              <w:left w:type="dxa" w:w="150"/>
              <w:bottom w:type="dxa" w:w="100"/>
              <w:right w:type="dxa" w:w="150"/>
            </w:tcMar>
          </w:tcPr>
          <w:p>
            <w:pPr>
              <w:spacing w:line="250"/>
            </w:pPr>
            <w:r>
              <w:rPr>
                <w:color w:val="1A1A1A"/>
                <w:sz w:val="19"/>
                <w:szCs w:val="19"/>
              </w:rPr>
              <w:t xml:space="preserve">#2E6FDB</w:t>
            </w:r>
          </w:p>
        </w:tc>
        <w:tc>
          <w:tcPr>
            <w:shd w:fill="F2F3F5" w:val="clear"/>
            <w:tcMar>
              <w:top w:type="dxa" w:w="100"/>
              <w:left w:type="dxa" w:w="150"/>
              <w:bottom w:type="dxa" w:w="100"/>
              <w:right w:type="dxa" w:w="150"/>
            </w:tcMar>
          </w:tcPr>
          <w:p>
            <w:pPr>
              <w:spacing w:line="250"/>
            </w:pPr>
            <w:r>
              <w:rPr>
                <w:color w:val="1A1A1A"/>
                <w:sz w:val="19"/>
                <w:szCs w:val="19"/>
              </w:rPr>
              <w:t xml:space="preserve">Primary actions, active/in-progress states, links</w:t>
            </w:r>
          </w:p>
        </w:tc>
      </w:tr>
      <w:tr>
        <w:tc>
          <w:tcPr>
            <w:shd w:fill="FFFFFF" w:val="clear"/>
            <w:tcMar>
              <w:top w:type="dxa" w:w="100"/>
              <w:left w:type="dxa" w:w="150"/>
              <w:bottom w:type="dxa" w:w="100"/>
              <w:right w:type="dxa" w:w="150"/>
            </w:tcMar>
          </w:tcPr>
          <w:p>
            <w:pPr>
              <w:spacing w:line="250"/>
            </w:pPr>
            <w:r>
              <w:rPr>
                <w:color w:val="1A1A1A"/>
                <w:sz w:val="19"/>
                <w:szCs w:val="19"/>
              </w:rPr>
              <w:t xml:space="preserve">Success Green</w:t>
            </w:r>
          </w:p>
        </w:tc>
        <w:tc>
          <w:tcPr>
            <w:shd w:fill="FFFFFF" w:val="clear"/>
            <w:tcMar>
              <w:top w:type="dxa" w:w="100"/>
              <w:left w:type="dxa" w:w="150"/>
              <w:bottom w:type="dxa" w:w="100"/>
              <w:right w:type="dxa" w:w="150"/>
            </w:tcMar>
          </w:tcPr>
          <w:p>
            <w:pPr>
              <w:spacing w:line="250"/>
            </w:pPr>
            <w:r>
              <w:rPr>
                <w:color w:val="1A1A1A"/>
                <w:sz w:val="19"/>
                <w:szCs w:val="19"/>
              </w:rPr>
              <w:t xml:space="preserve">#1E7A46</w:t>
            </w:r>
          </w:p>
        </w:tc>
        <w:tc>
          <w:tcPr>
            <w:shd w:fill="FFFFFF" w:val="clear"/>
            <w:tcMar>
              <w:top w:type="dxa" w:w="100"/>
              <w:left w:type="dxa" w:w="150"/>
              <w:bottom w:type="dxa" w:w="100"/>
              <w:right w:type="dxa" w:w="150"/>
            </w:tcMar>
          </w:tcPr>
          <w:p>
            <w:pPr>
              <w:spacing w:line="250"/>
            </w:pPr>
            <w:r>
              <w:rPr>
                <w:color w:val="1A1A1A"/>
                <w:sz w:val="19"/>
                <w:szCs w:val="19"/>
              </w:rPr>
              <w:t xml:space="preserve">Success states only</w:t>
            </w:r>
          </w:p>
        </w:tc>
      </w:tr>
      <w:tr>
        <w:tc>
          <w:tcPr>
            <w:shd w:fill="F2F3F5" w:val="clear"/>
            <w:tcMar>
              <w:top w:type="dxa" w:w="100"/>
              <w:left w:type="dxa" w:w="150"/>
              <w:bottom w:type="dxa" w:w="100"/>
              <w:right w:type="dxa" w:w="150"/>
            </w:tcMar>
          </w:tcPr>
          <w:p>
            <w:pPr>
              <w:spacing w:line="250"/>
            </w:pPr>
            <w:r>
              <w:rPr>
                <w:color w:val="1A1A1A"/>
                <w:sz w:val="19"/>
                <w:szCs w:val="19"/>
              </w:rPr>
              <w:t xml:space="preserve">Warning Amber</w:t>
            </w:r>
          </w:p>
        </w:tc>
        <w:tc>
          <w:tcPr>
            <w:shd w:fill="F2F3F5" w:val="clear"/>
            <w:tcMar>
              <w:top w:type="dxa" w:w="100"/>
              <w:left w:type="dxa" w:w="150"/>
              <w:bottom w:type="dxa" w:w="100"/>
              <w:right w:type="dxa" w:w="150"/>
            </w:tcMar>
          </w:tcPr>
          <w:p>
            <w:pPr>
              <w:spacing w:line="250"/>
            </w:pPr>
            <w:r>
              <w:rPr>
                <w:color w:val="1A1A1A"/>
                <w:sz w:val="19"/>
                <w:szCs w:val="19"/>
              </w:rPr>
              <w:t xml:space="preserve">#B7791F</w:t>
            </w:r>
          </w:p>
        </w:tc>
        <w:tc>
          <w:tcPr>
            <w:shd w:fill="F2F3F5" w:val="clear"/>
            <w:tcMar>
              <w:top w:type="dxa" w:w="100"/>
              <w:left w:type="dxa" w:w="150"/>
              <w:bottom w:type="dxa" w:w="100"/>
              <w:right w:type="dxa" w:w="150"/>
            </w:tcMar>
          </w:tcPr>
          <w:p>
            <w:pPr>
              <w:spacing w:line="250"/>
            </w:pPr>
            <w:r>
              <w:rPr>
                <w:color w:val="1A1A1A"/>
                <w:sz w:val="19"/>
                <w:szCs w:val="19"/>
              </w:rPr>
              <w:t xml:space="preserve">Partial success, data-validation failures</w:t>
            </w:r>
          </w:p>
        </w:tc>
      </w:tr>
      <w:tr>
        <w:tc>
          <w:tcPr>
            <w:shd w:fill="FFFFFF" w:val="clear"/>
            <w:tcMar>
              <w:top w:type="dxa" w:w="100"/>
              <w:left w:type="dxa" w:w="150"/>
              <w:bottom w:type="dxa" w:w="100"/>
              <w:right w:type="dxa" w:w="150"/>
            </w:tcMar>
          </w:tcPr>
          <w:p>
            <w:pPr>
              <w:spacing w:line="250"/>
            </w:pPr>
            <w:r>
              <w:rPr>
                <w:color w:val="1A1A1A"/>
                <w:sz w:val="19"/>
                <w:szCs w:val="19"/>
              </w:rPr>
              <w:t xml:space="preserve">Error Red</w:t>
            </w:r>
          </w:p>
        </w:tc>
        <w:tc>
          <w:tcPr>
            <w:shd w:fill="FFFFFF" w:val="clear"/>
            <w:tcMar>
              <w:top w:type="dxa" w:w="100"/>
              <w:left w:type="dxa" w:w="150"/>
              <w:bottom w:type="dxa" w:w="100"/>
              <w:right w:type="dxa" w:w="150"/>
            </w:tcMar>
          </w:tcPr>
          <w:p>
            <w:pPr>
              <w:spacing w:line="250"/>
            </w:pPr>
            <w:r>
              <w:rPr>
                <w:color w:val="1A1A1A"/>
                <w:sz w:val="19"/>
                <w:szCs w:val="19"/>
              </w:rPr>
              <w:t xml:space="preserve">#B3261E</w:t>
            </w:r>
          </w:p>
        </w:tc>
        <w:tc>
          <w:tcPr>
            <w:shd w:fill="FFFFFF" w:val="clear"/>
            <w:tcMar>
              <w:top w:type="dxa" w:w="100"/>
              <w:left w:type="dxa" w:w="150"/>
              <w:bottom w:type="dxa" w:w="100"/>
              <w:right w:type="dxa" w:w="150"/>
            </w:tcMar>
          </w:tcPr>
          <w:p>
            <w:pPr>
              <w:spacing w:line="250"/>
            </w:pPr>
            <w:r>
              <w:rPr>
                <w:color w:val="1A1A1A"/>
                <w:sz w:val="19"/>
                <w:szCs w:val="19"/>
              </w:rPr>
              <w:t xml:space="preserve">Connection/system failures, destructive actions</w:t>
            </w:r>
          </w:p>
        </w:tc>
      </w:tr>
      <w:tr>
        <w:tc>
          <w:tcPr>
            <w:shd w:fill="F2F3F5" w:val="clear"/>
            <w:tcMar>
              <w:top w:type="dxa" w:w="100"/>
              <w:left w:type="dxa" w:w="150"/>
              <w:bottom w:type="dxa" w:w="100"/>
              <w:right w:type="dxa" w:w="150"/>
            </w:tcMar>
          </w:tcPr>
          <w:p>
            <w:pPr>
              <w:spacing w:line="250"/>
            </w:pPr>
            <w:r>
              <w:rPr>
                <w:color w:val="1A1A1A"/>
                <w:sz w:val="19"/>
                <w:szCs w:val="19"/>
              </w:rPr>
              <w:t xml:space="preserve">White</w:t>
            </w:r>
          </w:p>
        </w:tc>
        <w:tc>
          <w:tcPr>
            <w:shd w:fill="F2F3F5" w:val="clear"/>
            <w:tcMar>
              <w:top w:type="dxa" w:w="100"/>
              <w:left w:type="dxa" w:w="150"/>
              <w:bottom w:type="dxa" w:w="100"/>
              <w:right w:type="dxa" w:w="150"/>
            </w:tcMar>
          </w:tcPr>
          <w:p>
            <w:pPr>
              <w:spacing w:line="250"/>
            </w:pPr>
            <w:r>
              <w:rPr>
                <w:color w:val="1A1A1A"/>
                <w:sz w:val="19"/>
                <w:szCs w:val="19"/>
              </w:rPr>
              <w:t xml:space="preserve">#FFFFFF</w:t>
            </w:r>
          </w:p>
        </w:tc>
        <w:tc>
          <w:tcPr>
            <w:shd w:fill="F2F3F5" w:val="clear"/>
            <w:tcMar>
              <w:top w:type="dxa" w:w="100"/>
              <w:left w:type="dxa" w:w="150"/>
              <w:bottom w:type="dxa" w:w="100"/>
              <w:right w:type="dxa" w:w="150"/>
            </w:tcMar>
          </w:tcPr>
          <w:p>
            <w:pPr>
              <w:spacing w:line="250"/>
            </w:pPr>
            <w:r>
              <w:rPr>
                <w:color w:val="1A1A1A"/>
                <w:sz w:val="19"/>
                <w:szCs w:val="19"/>
              </w:rPr>
              <w:t xml:space="preserve">Base background</w:t>
            </w:r>
          </w:p>
        </w:tc>
      </w:tr>
    </w:tbl>
    <w:p>
      <w:pPr>
        <w:spacing w:after="180" w:line="276"/>
      </w:pPr>
      <w:r>
        <w:rPr>
          <w:color w:val="1A1A1A"/>
          <w:sz w:val="21"/>
          <w:szCs w:val="21"/>
        </w:rPr>
        <w:t xml:space="preserve">No gradient, no secondary accent hue, no decorative illustration color. This restraint is what separates a "business application" feel from a "marketing site" feel.</w:t>
      </w:r>
    </w:p>
    <w:p>
      <w:pPr>
        <w:pStyle w:val="Heading2"/>
        <w:spacing w:after="160" w:before="360"/>
      </w:pPr>
      <w:r>
        <w:rPr>
          <w:b/>
          <w:bCs/>
          <w:color w:val="1B2A4A"/>
          <w:sz w:val="26"/>
          <w:szCs w:val="26"/>
        </w:rPr>
        <w:t xml:space="preserve">10.2 Typography</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tblGrid>
      <w:tr>
        <w:trPr>
          <w:tblHeader/>
        </w:trPr>
        <w:tc>
          <w:tcPr>
            <w:tcW w:type="pct" w:w="50%"/>
            <w:shd w:fill="1B2A4A" w:val="clear"/>
            <w:tcMar>
              <w:top w:type="dxa" w:w="100"/>
              <w:left w:type="dxa" w:w="150"/>
              <w:bottom w:type="dxa" w:w="100"/>
              <w:right w:type="dxa" w:w="150"/>
            </w:tcMar>
          </w:tcPr>
          <w:p>
            <w:r>
              <w:rPr>
                <w:b/>
                <w:bCs/>
                <w:color w:val="FFFFFF"/>
                <w:sz w:val="19"/>
                <w:szCs w:val="19"/>
              </w:rPr>
              <w:t xml:space="preserve">Element</w:t>
            </w:r>
          </w:p>
        </w:tc>
        <w:tc>
          <w:tcPr>
            <w:tcW w:type="pct" w:w="50%"/>
            <w:shd w:fill="1B2A4A" w:val="clear"/>
            <w:tcMar>
              <w:top w:type="dxa" w:w="100"/>
              <w:left w:type="dxa" w:w="150"/>
              <w:bottom w:type="dxa" w:w="100"/>
              <w:right w:type="dxa" w:w="150"/>
            </w:tcMar>
          </w:tcPr>
          <w:p>
            <w:r>
              <w:rPr>
                <w:b/>
                <w:bCs/>
                <w:color w:val="FFFFFF"/>
                <w:sz w:val="19"/>
                <w:szCs w:val="19"/>
              </w:rPr>
              <w:t xml:space="preserve">Specification</w:t>
            </w:r>
          </w:p>
        </w:tc>
      </w:tr>
      <w:tr>
        <w:tc>
          <w:tcPr>
            <w:shd w:fill="FFFFFF" w:val="clear"/>
            <w:tcMar>
              <w:top w:type="dxa" w:w="100"/>
              <w:left w:type="dxa" w:w="150"/>
              <w:bottom w:type="dxa" w:w="100"/>
              <w:right w:type="dxa" w:w="150"/>
            </w:tcMar>
          </w:tcPr>
          <w:p>
            <w:pPr>
              <w:spacing w:line="250"/>
            </w:pPr>
            <w:r>
              <w:rPr>
                <w:color w:val="1A1A1A"/>
                <w:sz w:val="19"/>
                <w:szCs w:val="19"/>
              </w:rPr>
              <w:t xml:space="preserve">Typeface</w:t>
            </w:r>
          </w:p>
        </w:tc>
        <w:tc>
          <w:tcPr>
            <w:shd w:fill="FFFFFF" w:val="clear"/>
            <w:tcMar>
              <w:top w:type="dxa" w:w="100"/>
              <w:left w:type="dxa" w:w="150"/>
              <w:bottom w:type="dxa" w:w="100"/>
              <w:right w:type="dxa" w:w="150"/>
            </w:tcMar>
          </w:tcPr>
          <w:p>
            <w:pPr>
              <w:spacing w:line="250"/>
            </w:pPr>
            <w:r>
              <w:rPr>
                <w:color w:val="1A1A1A"/>
                <w:sz w:val="19"/>
                <w:szCs w:val="19"/>
              </w:rPr>
              <w:t xml:space="preserve">Segoe UI (Windows system default) — never a custom webfont. Using the OS-native font is free, always renders crisply at any DPI, and reinforces the native-desktop-conventions principle from §1.</w:t>
            </w:r>
          </w:p>
        </w:tc>
      </w:tr>
      <w:tr>
        <w:tc>
          <w:tcPr>
            <w:shd w:fill="F2F3F5" w:val="clear"/>
            <w:tcMar>
              <w:top w:type="dxa" w:w="100"/>
              <w:left w:type="dxa" w:w="150"/>
              <w:bottom w:type="dxa" w:w="100"/>
              <w:right w:type="dxa" w:w="150"/>
            </w:tcMar>
          </w:tcPr>
          <w:p>
            <w:pPr>
              <w:spacing w:line="250"/>
            </w:pPr>
            <w:r>
              <w:rPr>
                <w:color w:val="1A1A1A"/>
                <w:sz w:val="19"/>
                <w:szCs w:val="19"/>
              </w:rPr>
              <w:t xml:space="preserve">Headline (result screens)</w:t>
            </w:r>
          </w:p>
        </w:tc>
        <w:tc>
          <w:tcPr>
            <w:shd w:fill="F2F3F5" w:val="clear"/>
            <w:tcMar>
              <w:top w:type="dxa" w:w="100"/>
              <w:left w:type="dxa" w:w="150"/>
              <w:bottom w:type="dxa" w:w="100"/>
              <w:right w:type="dxa" w:w="150"/>
            </w:tcMar>
          </w:tcPr>
          <w:p>
            <w:pPr>
              <w:spacing w:line="250"/>
            </w:pPr>
            <w:r>
              <w:rPr>
                <w:color w:val="1A1A1A"/>
                <w:sz w:val="19"/>
                <w:szCs w:val="19"/>
              </w:rPr>
              <w:t xml:space="preserve">20px / Semibold / Navy</w:t>
            </w:r>
          </w:p>
        </w:tc>
      </w:tr>
      <w:tr>
        <w:tc>
          <w:tcPr>
            <w:shd w:fill="FFFFFF" w:val="clear"/>
            <w:tcMar>
              <w:top w:type="dxa" w:w="100"/>
              <w:left w:type="dxa" w:w="150"/>
              <w:bottom w:type="dxa" w:w="100"/>
              <w:right w:type="dxa" w:w="150"/>
            </w:tcMar>
          </w:tcPr>
          <w:p>
            <w:pPr>
              <w:spacing w:line="250"/>
            </w:pPr>
            <w:r>
              <w:rPr>
                <w:color w:val="1A1A1A"/>
                <w:sz w:val="19"/>
                <w:szCs w:val="19"/>
              </w:rPr>
              <w:t xml:space="preserve">Section heading</w:t>
            </w:r>
          </w:p>
        </w:tc>
        <w:tc>
          <w:tcPr>
            <w:shd w:fill="FFFFFF" w:val="clear"/>
            <w:tcMar>
              <w:top w:type="dxa" w:w="100"/>
              <w:left w:type="dxa" w:w="150"/>
              <w:bottom w:type="dxa" w:w="100"/>
              <w:right w:type="dxa" w:w="150"/>
            </w:tcMar>
          </w:tcPr>
          <w:p>
            <w:pPr>
              <w:spacing w:line="250"/>
            </w:pPr>
            <w:r>
              <w:rPr>
                <w:color w:val="1A1A1A"/>
                <w:sz w:val="19"/>
                <w:szCs w:val="19"/>
              </w:rPr>
              <w:t xml:space="preserve">16px / Semibold / Navy</w:t>
            </w:r>
          </w:p>
        </w:tc>
      </w:tr>
      <w:tr>
        <w:tc>
          <w:tcPr>
            <w:shd w:fill="F2F3F5" w:val="clear"/>
            <w:tcMar>
              <w:top w:type="dxa" w:w="100"/>
              <w:left w:type="dxa" w:w="150"/>
              <w:bottom w:type="dxa" w:w="100"/>
              <w:right w:type="dxa" w:w="150"/>
            </w:tcMar>
          </w:tcPr>
          <w:p>
            <w:pPr>
              <w:spacing w:line="250"/>
            </w:pPr>
            <w:r>
              <w:rPr>
                <w:color w:val="1A1A1A"/>
                <w:sz w:val="19"/>
                <w:szCs w:val="19"/>
              </w:rPr>
              <w:t xml:space="preserve">Body text</w:t>
            </w:r>
          </w:p>
        </w:tc>
        <w:tc>
          <w:tcPr>
            <w:shd w:fill="F2F3F5" w:val="clear"/>
            <w:tcMar>
              <w:top w:type="dxa" w:w="100"/>
              <w:left w:type="dxa" w:w="150"/>
              <w:bottom w:type="dxa" w:w="100"/>
              <w:right w:type="dxa" w:w="150"/>
            </w:tcMar>
          </w:tcPr>
          <w:p>
            <w:pPr>
              <w:spacing w:line="250"/>
            </w:pPr>
            <w:r>
              <w:rPr>
                <w:color w:val="1A1A1A"/>
                <w:sz w:val="19"/>
                <w:szCs w:val="19"/>
              </w:rPr>
              <w:t xml:space="preserve">14px / Regular / Near-black (#1A1A1A)</w:t>
            </w:r>
          </w:p>
        </w:tc>
      </w:tr>
      <w:tr>
        <w:tc>
          <w:tcPr>
            <w:shd w:fill="FFFFFF" w:val="clear"/>
            <w:tcMar>
              <w:top w:type="dxa" w:w="100"/>
              <w:left w:type="dxa" w:w="150"/>
              <w:bottom w:type="dxa" w:w="100"/>
              <w:right w:type="dxa" w:w="150"/>
            </w:tcMar>
          </w:tcPr>
          <w:p>
            <w:pPr>
              <w:spacing w:line="250"/>
            </w:pPr>
            <w:r>
              <w:rPr>
                <w:color w:val="1A1A1A"/>
                <w:sz w:val="19"/>
                <w:szCs w:val="19"/>
              </w:rPr>
              <w:t xml:space="preserve">Secondary / muted text</w:t>
            </w:r>
          </w:p>
        </w:tc>
        <w:tc>
          <w:tcPr>
            <w:shd w:fill="FFFFFF" w:val="clear"/>
            <w:tcMar>
              <w:top w:type="dxa" w:w="100"/>
              <w:left w:type="dxa" w:w="150"/>
              <w:bottom w:type="dxa" w:w="100"/>
              <w:right w:type="dxa" w:w="150"/>
            </w:tcMar>
          </w:tcPr>
          <w:p>
            <w:pPr>
              <w:spacing w:line="250"/>
            </w:pPr>
            <w:r>
              <w:rPr>
                <w:color w:val="1A1A1A"/>
                <w:sz w:val="19"/>
                <w:szCs w:val="19"/>
              </w:rPr>
              <w:t xml:space="preserve">13px / Regular / Muted Grey</w:t>
            </w:r>
          </w:p>
        </w:tc>
      </w:tr>
      <w:tr>
        <w:tc>
          <w:tcPr>
            <w:shd w:fill="F2F3F5" w:val="clear"/>
            <w:tcMar>
              <w:top w:type="dxa" w:w="100"/>
              <w:left w:type="dxa" w:w="150"/>
              <w:bottom w:type="dxa" w:w="100"/>
              <w:right w:type="dxa" w:w="150"/>
            </w:tcMar>
          </w:tcPr>
          <w:p>
            <w:pPr>
              <w:spacing w:line="250"/>
            </w:pPr>
            <w:r>
              <w:rPr>
                <w:color w:val="1A1A1A"/>
                <w:sz w:val="19"/>
                <w:szCs w:val="19"/>
              </w:rPr>
              <w:t xml:space="preserve">Micro text (timestamps, footer)</w:t>
            </w:r>
          </w:p>
        </w:tc>
        <w:tc>
          <w:tcPr>
            <w:shd w:fill="F2F3F5" w:val="clear"/>
            <w:tcMar>
              <w:top w:type="dxa" w:w="100"/>
              <w:left w:type="dxa" w:w="150"/>
              <w:bottom w:type="dxa" w:w="100"/>
              <w:right w:type="dxa" w:w="150"/>
            </w:tcMar>
          </w:tcPr>
          <w:p>
            <w:pPr>
              <w:spacing w:line="250"/>
            </w:pPr>
            <w:r>
              <w:rPr>
                <w:color w:val="1A1A1A"/>
                <w:sz w:val="19"/>
                <w:szCs w:val="19"/>
              </w:rPr>
              <w:t xml:space="preserve">12px / Regular / Muted Grey</w:t>
            </w:r>
          </w:p>
        </w:tc>
      </w:tr>
      <w:tr>
        <w:tc>
          <w:tcPr>
            <w:shd w:fill="FFFFFF" w:val="clear"/>
            <w:tcMar>
              <w:top w:type="dxa" w:w="100"/>
              <w:left w:type="dxa" w:w="150"/>
              <w:bottom w:type="dxa" w:w="100"/>
              <w:right w:type="dxa" w:w="150"/>
            </w:tcMar>
          </w:tcPr>
          <w:p>
            <w:pPr>
              <w:spacing w:line="250"/>
            </w:pPr>
            <w:r>
              <w:rPr>
                <w:color w:val="1A1A1A"/>
                <w:sz w:val="19"/>
                <w:szCs w:val="19"/>
              </w:rPr>
              <w:t xml:space="preserve">Monospace (technical details, PO numbers)</w:t>
            </w:r>
          </w:p>
        </w:tc>
        <w:tc>
          <w:tcPr>
            <w:shd w:fill="FFFFFF" w:val="clear"/>
            <w:tcMar>
              <w:top w:type="dxa" w:w="100"/>
              <w:left w:type="dxa" w:w="150"/>
              <w:bottom w:type="dxa" w:w="100"/>
              <w:right w:type="dxa" w:w="150"/>
            </w:tcMar>
          </w:tcPr>
          <w:p>
            <w:pPr>
              <w:spacing w:line="250"/>
            </w:pPr>
            <w:r>
              <w:rPr>
                <w:color w:val="1A1A1A"/>
                <w:sz w:val="19"/>
                <w:szCs w:val="19"/>
              </w:rPr>
              <w:t xml:space="preserve">Consolas / Cascadia Mono — used specifically because operations staff frequently need to copy exact strings (PO numbers, error codes); monospace makes character-for-character verification easier</w:t>
            </w:r>
          </w:p>
        </w:tc>
      </w:tr>
      <w:tr>
        <w:tc>
          <w:tcPr>
            <w:shd w:fill="F2F3F5" w:val="clear"/>
            <w:tcMar>
              <w:top w:type="dxa" w:w="100"/>
              <w:left w:type="dxa" w:w="150"/>
              <w:bottom w:type="dxa" w:w="100"/>
              <w:right w:type="dxa" w:w="150"/>
            </w:tcMar>
          </w:tcPr>
          <w:p>
            <w:pPr>
              <w:spacing w:line="250"/>
            </w:pPr>
            <w:r>
              <w:rPr>
                <w:color w:val="1A1A1A"/>
                <w:sz w:val="19"/>
                <w:szCs w:val="19"/>
              </w:rPr>
              <w:t xml:space="preserve">Line height</w:t>
            </w:r>
          </w:p>
        </w:tc>
        <w:tc>
          <w:tcPr>
            <w:shd w:fill="F2F3F5" w:val="clear"/>
            <w:tcMar>
              <w:top w:type="dxa" w:w="100"/>
              <w:left w:type="dxa" w:w="150"/>
              <w:bottom w:type="dxa" w:w="100"/>
              <w:right w:type="dxa" w:w="150"/>
            </w:tcMar>
          </w:tcPr>
          <w:p>
            <w:pPr>
              <w:spacing w:line="250"/>
            </w:pPr>
            <w:r>
              <w:rPr>
                <w:color w:val="1A1A1A"/>
                <w:sz w:val="19"/>
                <w:szCs w:val="19"/>
              </w:rPr>
              <w:t xml:space="preserve">1.5 for body copy, 1.3 for headings</w:t>
            </w:r>
          </w:p>
        </w:tc>
      </w:tr>
    </w:tbl>
    <w:p>
      <w:pPr>
        <w:pStyle w:val="Heading2"/>
        <w:spacing w:after="160" w:before="360"/>
      </w:pPr>
      <w:r>
        <w:rPr>
          <w:b/>
          <w:bCs/>
          <w:color w:val="1B2A4A"/>
          <w:sz w:val="26"/>
          <w:szCs w:val="26"/>
        </w:rPr>
        <w:t xml:space="preserve">10.3 Spacing System</w:t>
      </w:r>
    </w:p>
    <w:p>
      <w:pPr>
        <w:spacing w:after="180" w:line="276"/>
      </w:pPr>
      <w:r>
        <w:rPr>
          <w:color w:val="1A1A1A"/>
          <w:sz w:val="21"/>
          <w:szCs w:val="21"/>
        </w:rPr>
        <w:t xml:space="preserve">An 8px base unit throughout, ensuring every margin, padding, and gap is a multiple of 8 (8 / 16 / 24 / 32 / 48). This is the same discipline used by Linear and most modern design systems — it produces visual rhythm without anyone having to think about it case by case.</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tblGrid>
      <w:tr>
        <w:trPr>
          <w:tblHeader/>
        </w:trPr>
        <w:tc>
          <w:tcPr>
            <w:tcW w:type="pct" w:w="50%"/>
            <w:shd w:fill="1B2A4A" w:val="clear"/>
            <w:tcMar>
              <w:top w:type="dxa" w:w="100"/>
              <w:left w:type="dxa" w:w="150"/>
              <w:bottom w:type="dxa" w:w="100"/>
              <w:right w:type="dxa" w:w="150"/>
            </w:tcMar>
          </w:tcPr>
          <w:p>
            <w:r>
              <w:rPr>
                <w:b/>
                <w:bCs/>
                <w:color w:val="FFFFFF"/>
                <w:sz w:val="19"/>
                <w:szCs w:val="19"/>
              </w:rPr>
              <w:t xml:space="preserve">Context</w:t>
            </w:r>
          </w:p>
        </w:tc>
        <w:tc>
          <w:tcPr>
            <w:tcW w:type="pct" w:w="50%"/>
            <w:shd w:fill="1B2A4A" w:val="clear"/>
            <w:tcMar>
              <w:top w:type="dxa" w:w="100"/>
              <w:left w:type="dxa" w:w="150"/>
              <w:bottom w:type="dxa" w:w="100"/>
              <w:right w:type="dxa" w:w="150"/>
            </w:tcMar>
          </w:tcPr>
          <w:p>
            <w:r>
              <w:rPr>
                <w:b/>
                <w:bCs/>
                <w:color w:val="FFFFFF"/>
                <w:sz w:val="19"/>
                <w:szCs w:val="19"/>
              </w:rPr>
              <w:t xml:space="preserve">Value</w:t>
            </w:r>
          </w:p>
        </w:tc>
      </w:tr>
      <w:tr>
        <w:tc>
          <w:tcPr>
            <w:shd w:fill="FFFFFF" w:val="clear"/>
            <w:tcMar>
              <w:top w:type="dxa" w:w="100"/>
              <w:left w:type="dxa" w:w="150"/>
              <w:bottom w:type="dxa" w:w="100"/>
              <w:right w:type="dxa" w:w="150"/>
            </w:tcMar>
          </w:tcPr>
          <w:p>
            <w:pPr>
              <w:spacing w:line="250"/>
            </w:pPr>
            <w:r>
              <w:rPr>
                <w:color w:val="1A1A1A"/>
                <w:sz w:val="19"/>
                <w:szCs w:val="19"/>
              </w:rPr>
              <w:t xml:space="preserve">Content area outer margin</w:t>
            </w:r>
          </w:p>
        </w:tc>
        <w:tc>
          <w:tcPr>
            <w:shd w:fill="FFFFFF" w:val="clear"/>
            <w:tcMar>
              <w:top w:type="dxa" w:w="100"/>
              <w:left w:type="dxa" w:w="150"/>
              <w:bottom w:type="dxa" w:w="100"/>
              <w:right w:type="dxa" w:w="150"/>
            </w:tcMar>
          </w:tcPr>
          <w:p>
            <w:pPr>
              <w:spacing w:line="250"/>
            </w:pPr>
            <w:r>
              <w:rPr>
                <w:color w:val="1A1A1A"/>
                <w:sz w:val="19"/>
                <w:szCs w:val="19"/>
              </w:rPr>
              <w:t xml:space="preserve">32px</w:t>
            </w:r>
          </w:p>
        </w:tc>
      </w:tr>
      <w:tr>
        <w:tc>
          <w:tcPr>
            <w:shd w:fill="F2F3F5" w:val="clear"/>
            <w:tcMar>
              <w:top w:type="dxa" w:w="100"/>
              <w:left w:type="dxa" w:w="150"/>
              <w:bottom w:type="dxa" w:w="100"/>
              <w:right w:type="dxa" w:w="150"/>
            </w:tcMar>
          </w:tcPr>
          <w:p>
            <w:pPr>
              <w:spacing w:line="250"/>
            </w:pPr>
            <w:r>
              <w:rPr>
                <w:color w:val="1A1A1A"/>
                <w:sz w:val="19"/>
                <w:szCs w:val="19"/>
              </w:rPr>
              <w:t xml:space="preserve">Card internal padding</w:t>
            </w:r>
          </w:p>
        </w:tc>
        <w:tc>
          <w:tcPr>
            <w:shd w:fill="F2F3F5" w:val="clear"/>
            <w:tcMar>
              <w:top w:type="dxa" w:w="100"/>
              <w:left w:type="dxa" w:w="150"/>
              <w:bottom w:type="dxa" w:w="100"/>
              <w:right w:type="dxa" w:w="150"/>
            </w:tcMar>
          </w:tcPr>
          <w:p>
            <w:pPr>
              <w:spacing w:line="250"/>
            </w:pPr>
            <w:r>
              <w:rPr>
                <w:color w:val="1A1A1A"/>
                <w:sz w:val="19"/>
                <w:szCs w:val="19"/>
              </w:rPr>
              <w:t xml:space="preserve">16px</w:t>
            </w:r>
          </w:p>
        </w:tc>
      </w:tr>
      <w:tr>
        <w:tc>
          <w:tcPr>
            <w:shd w:fill="FFFFFF" w:val="clear"/>
            <w:tcMar>
              <w:top w:type="dxa" w:w="100"/>
              <w:left w:type="dxa" w:w="150"/>
              <w:bottom w:type="dxa" w:w="100"/>
              <w:right w:type="dxa" w:w="150"/>
            </w:tcMar>
          </w:tcPr>
          <w:p>
            <w:pPr>
              <w:spacing w:line="250"/>
            </w:pPr>
            <w:r>
              <w:rPr>
                <w:color w:val="1A1A1A"/>
                <w:sz w:val="19"/>
                <w:szCs w:val="19"/>
              </w:rPr>
              <w:t xml:space="preserve">Gap between stacked elements (related)</w:t>
            </w:r>
          </w:p>
        </w:tc>
        <w:tc>
          <w:tcPr>
            <w:shd w:fill="FFFFFF" w:val="clear"/>
            <w:tcMar>
              <w:top w:type="dxa" w:w="100"/>
              <w:left w:type="dxa" w:w="150"/>
              <w:bottom w:type="dxa" w:w="100"/>
              <w:right w:type="dxa" w:w="150"/>
            </w:tcMar>
          </w:tcPr>
          <w:p>
            <w:pPr>
              <w:spacing w:line="250"/>
            </w:pPr>
            <w:r>
              <w:rPr>
                <w:color w:val="1A1A1A"/>
                <w:sz w:val="19"/>
                <w:szCs w:val="19"/>
              </w:rPr>
              <w:t xml:space="preserve">8px</w:t>
            </w:r>
          </w:p>
        </w:tc>
      </w:tr>
      <w:tr>
        <w:tc>
          <w:tcPr>
            <w:shd w:fill="F2F3F5" w:val="clear"/>
            <w:tcMar>
              <w:top w:type="dxa" w:w="100"/>
              <w:left w:type="dxa" w:w="150"/>
              <w:bottom w:type="dxa" w:w="100"/>
              <w:right w:type="dxa" w:w="150"/>
            </w:tcMar>
          </w:tcPr>
          <w:p>
            <w:pPr>
              <w:spacing w:line="250"/>
            </w:pPr>
            <w:r>
              <w:rPr>
                <w:color w:val="1A1A1A"/>
                <w:sz w:val="19"/>
                <w:szCs w:val="19"/>
              </w:rPr>
              <w:t xml:space="preserve">Gap between sections (unrelated)</w:t>
            </w:r>
          </w:p>
        </w:tc>
        <w:tc>
          <w:tcPr>
            <w:shd w:fill="F2F3F5" w:val="clear"/>
            <w:tcMar>
              <w:top w:type="dxa" w:w="100"/>
              <w:left w:type="dxa" w:w="150"/>
              <w:bottom w:type="dxa" w:w="100"/>
              <w:right w:type="dxa" w:w="150"/>
            </w:tcMar>
          </w:tcPr>
          <w:p>
            <w:pPr>
              <w:spacing w:line="250"/>
            </w:pPr>
            <w:r>
              <w:rPr>
                <w:color w:val="1A1A1A"/>
                <w:sz w:val="19"/>
                <w:szCs w:val="19"/>
              </w:rPr>
              <w:t xml:space="preserve">32px</w:t>
            </w:r>
          </w:p>
        </w:tc>
      </w:tr>
      <w:tr>
        <w:tc>
          <w:tcPr>
            <w:shd w:fill="FFFFFF" w:val="clear"/>
            <w:tcMar>
              <w:top w:type="dxa" w:w="100"/>
              <w:left w:type="dxa" w:w="150"/>
              <w:bottom w:type="dxa" w:w="100"/>
              <w:right w:type="dxa" w:w="150"/>
            </w:tcMar>
          </w:tcPr>
          <w:p>
            <w:pPr>
              <w:spacing w:line="250"/>
            </w:pPr>
            <w:r>
              <w:rPr>
                <w:color w:val="1A1A1A"/>
                <w:sz w:val="19"/>
                <w:szCs w:val="19"/>
              </w:rPr>
              <w:t xml:space="preserve">Button internal padding</w:t>
            </w:r>
          </w:p>
        </w:tc>
        <w:tc>
          <w:tcPr>
            <w:shd w:fill="FFFFFF" w:val="clear"/>
            <w:tcMar>
              <w:top w:type="dxa" w:w="100"/>
              <w:left w:type="dxa" w:w="150"/>
              <w:bottom w:type="dxa" w:w="100"/>
              <w:right w:type="dxa" w:w="150"/>
            </w:tcMar>
          </w:tcPr>
          <w:p>
            <w:pPr>
              <w:spacing w:line="250"/>
            </w:pPr>
            <w:r>
              <w:rPr>
                <w:color w:val="1A1A1A"/>
                <w:sz w:val="19"/>
                <w:szCs w:val="19"/>
              </w:rPr>
              <w:t xml:space="preserve">8px vertical / 20px horizontal</w:t>
            </w:r>
          </w:p>
        </w:tc>
      </w:tr>
    </w:tbl>
    <w:p>
      <w:pPr>
        <w:pStyle w:val="Heading2"/>
        <w:spacing w:after="160" w:before="360"/>
      </w:pPr>
      <w:r>
        <w:rPr>
          <w:b/>
          <w:bCs/>
          <w:color w:val="1B2A4A"/>
          <w:sz w:val="26"/>
          <w:szCs w:val="26"/>
        </w:rPr>
        <w:t xml:space="preserve">10.4 Corner Radius</w:t>
      </w:r>
    </w:p>
    <w:p>
      <w:pPr>
        <w:spacing w:after="180" w:line="276"/>
      </w:pPr>
      <w:r>
        <w:rPr>
          <w:color w:val="1A1A1A"/>
          <w:sz w:val="21"/>
          <w:szCs w:val="21"/>
        </w:rPr>
        <w:t xml:space="preserve">6px on all interactive elements (buttons, inputs, badges). 8px on cards and containers. Never fully rounded/pill-shaped — that reads as consumer/mobile rather than business desktop software. Never sharp 0px corners either — that reads as dated Windows 95-era software. 6–8px is the current convention for "modern professional."</w:t>
      </w:r>
    </w:p>
    <w:p>
      <w:pPr>
        <w:pStyle w:val="Heading2"/>
        <w:spacing w:after="160" w:before="360"/>
      </w:pPr>
      <w:r>
        <w:rPr>
          <w:b/>
          <w:bCs/>
          <w:color w:val="1B2A4A"/>
          <w:sz w:val="26"/>
          <w:szCs w:val="26"/>
        </w:rPr>
        <w:t xml:space="preserve">10.5 Elevation &amp; Shadows</w:t>
      </w:r>
    </w:p>
    <w:p>
      <w:pPr>
        <w:spacing w:after="180" w:line="276"/>
      </w:pPr>
      <w:r>
        <w:rPr>
          <w:color w:val="1A1A1A"/>
          <w:sz w:val="21"/>
          <w:szCs w:val="21"/>
        </w:rPr>
        <w:t xml:space="preserve">Shadows are used with extreme restraint — one level only. Cards get a barely-perceptible 1px shadow (0px 1px 2px rgba(0,0,0,0.06)) to lift them fractionally off the page. Modals get a single stronger shadow (0px 8px 24px rgba(0,0,0,0.16)) to clearly separate them from the scrim behind. No multi-layer "material design" elevation system — it's unnecessary complexity for a single-window app with no overlapping panels.</w:t>
      </w:r>
    </w:p>
    <w:p>
      <w:pPr>
        <w:pStyle w:val="Heading2"/>
        <w:spacing w:after="160" w:before="360"/>
      </w:pPr>
      <w:r>
        <w:rPr>
          <w:b/>
          <w:bCs/>
          <w:color w:val="1B2A4A"/>
          <w:sz w:val="26"/>
          <w:szCs w:val="26"/>
        </w:rPr>
        <w:t xml:space="preserve">10.6 Iconography</w:t>
      </w:r>
    </w:p>
    <w:p>
      <w:pPr>
        <w:spacing w:after="180" w:line="276"/>
      </w:pPr>
      <w:r>
        <w:rPr>
          <w:color w:val="1A1A1A"/>
          <w:sz w:val="21"/>
          <w:szCs w:val="21"/>
        </w:rPr>
        <w:t xml:space="preserve">A single consistent icon set throughout (recommend: Phosphor Icons or Lucide — both open-source, consistent stroke width, available as SVG for crisp rendering at any DPI). Icons are used only where they add scannable meaning (status, file type, actions) — never as pure decoration. Stroke width consistent at 1.5–2px; filled variants reserved specifically for status states (success check, error triangle) to make them pop against otherwise all-outline iconography.</w:t>
      </w:r>
    </w:p>
    <w:p>
      <w:pPr>
        <w:pStyle w:val="Heading2"/>
        <w:spacing w:after="160" w:before="360"/>
      </w:pPr>
      <w:r>
        <w:rPr>
          <w:b/>
          <w:bCs/>
          <w:color w:val="1B2A4A"/>
          <w:sz w:val="26"/>
          <w:szCs w:val="26"/>
        </w:rPr>
        <w:t xml:space="preserve">10.7 Layout Grid</w:t>
      </w:r>
    </w:p>
    <w:p>
      <w:pPr>
        <w:spacing w:after="180" w:line="276"/>
      </w:pPr>
      <w:r>
        <w:rPr>
          <w:color w:val="1A1A1A"/>
          <w:sz w:val="21"/>
          <w:szCs w:val="21"/>
        </w:rPr>
        <w:t xml:space="preserve">Single-column content, centered within the window, max content width ~640px (even if the window is wider — see §3.3). All primary content — drop zone, file card, checklist, result panel — shares this same column width and left/right alignment, so nothing ever feels like it's floating independently.</w:t>
      </w:r>
    </w:p>
    <w:p>
      <w:r>
        <w:br w:type="page"/>
      </w:r>
    </w:p>
    <w:p>
      <w:pPr>
        <w:pStyle w:val="Heading1"/>
        <w:pBdr>
          <w:bottom w:val="single" w:color="1B2A4A" w:sz="6" w:space="4"/>
        </w:pBdr>
        <w:spacing w:after="200" w:before="480"/>
      </w:pPr>
      <w:r>
        <w:rPr>
          <w:b/>
          <w:bCs/>
          <w:color w:val="1B2A4A"/>
          <w:sz w:val="32"/>
          <w:szCs w:val="32"/>
        </w:rPr>
        <w:t xml:space="preserve">11. Accessibility</w:t>
      </w:r>
    </w:p>
    <w:p>
      <w:pPr>
        <w:spacing w:after="180" w:line="276"/>
      </w:pPr>
      <w:r>
        <w:rPr>
          <w:color w:val="1A1A1A"/>
          <w:sz w:val="21"/>
          <w:szCs w:val="21"/>
        </w:rPr>
        <w:t xml:space="preserve">This is internal business software with a mandatory-use population — accessibility here isn't a nice-to-have, it's what prevents the tool from excluding a staff member who needs it to do their job.</w:t>
      </w:r>
    </w:p>
    <w:p>
      <w:pPr>
        <w:pStyle w:val="Heading2"/>
        <w:spacing w:after="160" w:before="360"/>
      </w:pPr>
      <w:r>
        <w:rPr>
          <w:b/>
          <w:bCs/>
          <w:color w:val="1B2A4A"/>
          <w:sz w:val="26"/>
          <w:szCs w:val="26"/>
        </w:rPr>
        <w:t xml:space="preserve">11.1 Keyboard Navigation</w:t>
      </w:r>
    </w:p>
    <w:p>
      <w:pPr>
        <w:pStyle w:val="ListParagraph"/>
        <w:numPr>
          <w:ilvl w:val="0"/>
          <w:numId w:val="2"/>
        </w:numPr>
        <w:spacing w:after="100" w:line="264"/>
      </w:pPr>
      <w:r>
        <w:rPr>
          <w:color w:val="1A1A1A"/>
          <w:sz w:val="21"/>
          <w:szCs w:val="21"/>
        </w:rPr>
        <w:t xml:space="preserve">Full tab-order support through every interactive element in logical reading order (drop zone → browse button → file card actions → primary action button → footer links).</w:t>
      </w:r>
    </w:p>
    <w:p>
      <w:pPr>
        <w:pStyle w:val="ListParagraph"/>
        <w:numPr>
          <w:ilvl w:val="0"/>
          <w:numId w:val="2"/>
        </w:numPr>
        <w:spacing w:after="100" w:line="264"/>
      </w:pPr>
      <w:r>
        <w:rPr>
          <w:color w:val="1A1A1A"/>
          <w:sz w:val="21"/>
          <w:szCs w:val="21"/>
        </w:rPr>
        <w:t xml:space="preserve">Enter/Space activates the focused button or the drop zone's browse dialog.</w:t>
      </w:r>
    </w:p>
    <w:p>
      <w:pPr>
        <w:pStyle w:val="ListParagraph"/>
        <w:numPr>
          <w:ilvl w:val="0"/>
          <w:numId w:val="2"/>
        </w:numPr>
        <w:spacing w:after="100" w:line="264"/>
      </w:pPr>
      <w:r>
        <w:rPr>
          <w:color w:val="1A1A1A"/>
          <w:sz w:val="21"/>
          <w:szCs w:val="21"/>
        </w:rPr>
        <w:t xml:space="preserve">Escape closes the cancel-confirmation dialog and collapses the technical-details disclosure.</w:t>
      </w:r>
    </w:p>
    <w:p>
      <w:pPr>
        <w:pStyle w:val="ListParagraph"/>
        <w:numPr>
          <w:ilvl w:val="0"/>
          <w:numId w:val="2"/>
        </w:numPr>
        <w:spacing w:after="100" w:line="264"/>
      </w:pPr>
      <w:r>
        <w:rPr>
          <w:color w:val="1A1A1A"/>
          <w:sz w:val="21"/>
          <w:szCs w:val="21"/>
        </w:rPr>
        <w:t xml:space="preserve">The technical details expander is fully keyboard-operable (Enter toggles expand/collapse) — this matters specifically because IT staff troubleshooting are power users likely to be keyboard-first.</w:t>
      </w:r>
    </w:p>
    <w:p>
      <w:pPr>
        <w:pStyle w:val="ListParagraph"/>
        <w:numPr>
          <w:ilvl w:val="0"/>
          <w:numId w:val="2"/>
        </w:numPr>
        <w:spacing w:after="100" w:line="264"/>
      </w:pPr>
      <w:r>
        <w:rPr>
          <w:color w:val="1A1A1A"/>
          <w:sz w:val="21"/>
          <w:szCs w:val="21"/>
        </w:rPr>
        <w:t>A global keyboard shortcut (Ctrl+R) triggers a manual folder re-scan from the Folder Scan View, equivalent to clicking the Refresh button. Ctrl+O is no longer applicable as individual file browsing has been replaced by folder-based scanning.</w:t>
      </w:r>
    </w:p>
    <w:p>
      <w:pPr>
        <w:pStyle w:val="Heading2"/>
        <w:spacing w:after="160" w:before="360"/>
      </w:pPr>
      <w:r>
        <w:rPr>
          <w:b/>
          <w:bCs/>
          <w:color w:val="1B2A4A"/>
          <w:sz w:val="26"/>
          <w:szCs w:val="26"/>
        </w:rPr>
        <w:t xml:space="preserve">11.2 Focus Indicators</w:t>
      </w:r>
    </w:p>
    <w:p>
      <w:pPr>
        <w:spacing w:after="180" w:line="276"/>
      </w:pPr>
      <w:r>
        <w:rPr>
          <w:color w:val="1A1A1A"/>
          <w:sz w:val="21"/>
          <w:szCs w:val="21"/>
        </w:rPr>
        <w:t xml:space="preserve">Every focusable element shows a clearly visible focus ring — 2px solid accent blue, offset 2px from the element edge — that meets WCAG 2.1 non-text contrast requirements against both light and card backgrounds. Focus rings are never suppressed via CSS resets; this is a common accessibility failure in custom-styled Qt/web-hybrid apps and is explicitly called out here to prevent it.</w:t>
      </w:r>
    </w:p>
    <w:p>
      <w:pPr>
        <w:pStyle w:val="Heading2"/>
        <w:spacing w:after="160" w:before="360"/>
      </w:pPr>
      <w:r>
        <w:rPr>
          <w:b/>
          <w:bCs/>
          <w:color w:val="1B2A4A"/>
          <w:sz w:val="26"/>
          <w:szCs w:val="26"/>
        </w:rPr>
        <w:t xml:space="preserve">11.3 Color Contrast</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tblGrid>
      <w:tr>
        <w:trPr>
          <w:tblHeader/>
        </w:trPr>
        <w:tc>
          <w:tcPr>
            <w:tcW w:type="pct" w:w="50%"/>
            <w:shd w:fill="1B2A4A" w:val="clear"/>
            <w:tcMar>
              <w:top w:type="dxa" w:w="100"/>
              <w:left w:type="dxa" w:w="150"/>
              <w:bottom w:type="dxa" w:w="100"/>
              <w:right w:type="dxa" w:w="150"/>
            </w:tcMar>
          </w:tcPr>
          <w:p>
            <w:r>
              <w:rPr>
                <w:b/>
                <w:bCs/>
                <w:color w:val="FFFFFF"/>
                <w:sz w:val="19"/>
                <w:szCs w:val="19"/>
              </w:rPr>
              <w:t xml:space="preserve">Pairing</w:t>
            </w:r>
          </w:p>
        </w:tc>
        <w:tc>
          <w:tcPr>
            <w:tcW w:type="pct" w:w="50%"/>
            <w:shd w:fill="1B2A4A" w:val="clear"/>
            <w:tcMar>
              <w:top w:type="dxa" w:w="100"/>
              <w:left w:type="dxa" w:w="150"/>
              <w:bottom w:type="dxa" w:w="100"/>
              <w:right w:type="dxa" w:w="150"/>
            </w:tcMar>
          </w:tcPr>
          <w:p>
            <w:r>
              <w:rPr>
                <w:b/>
                <w:bCs/>
                <w:color w:val="FFFFFF"/>
                <w:sz w:val="19"/>
                <w:szCs w:val="19"/>
              </w:rPr>
              <w:t xml:space="preserve">Result</w:t>
            </w:r>
          </w:p>
        </w:tc>
      </w:tr>
      <w:tr>
        <w:tc>
          <w:tcPr>
            <w:shd w:fill="FFFFFF" w:val="clear"/>
            <w:tcMar>
              <w:top w:type="dxa" w:w="100"/>
              <w:left w:type="dxa" w:w="150"/>
              <w:bottom w:type="dxa" w:w="100"/>
              <w:right w:type="dxa" w:w="150"/>
            </w:tcMar>
          </w:tcPr>
          <w:p>
            <w:pPr>
              <w:spacing w:line="250"/>
            </w:pPr>
            <w:r>
              <w:rPr>
                <w:color w:val="1A1A1A"/>
                <w:sz w:val="19"/>
                <w:szCs w:val="19"/>
              </w:rPr>
              <w:t xml:space="preserve">Body text on white</w:t>
            </w:r>
          </w:p>
        </w:tc>
        <w:tc>
          <w:tcPr>
            <w:shd w:fill="FFFFFF" w:val="clear"/>
            <w:tcMar>
              <w:top w:type="dxa" w:w="100"/>
              <w:left w:type="dxa" w:w="150"/>
              <w:bottom w:type="dxa" w:w="100"/>
              <w:right w:type="dxa" w:w="150"/>
            </w:tcMar>
          </w:tcPr>
          <w:p>
            <w:pPr>
              <w:spacing w:line="250"/>
            </w:pPr>
            <w:r>
              <w:rPr>
                <w:color w:val="1A1A1A"/>
                <w:sz w:val="19"/>
                <w:szCs w:val="19"/>
              </w:rPr>
              <w:t xml:space="preserve">#1A1A1A on #FFFFFF — 16.1:1, exceeds WCAG AAA</w:t>
            </w:r>
          </w:p>
        </w:tc>
      </w:tr>
      <w:tr>
        <w:tc>
          <w:tcPr>
            <w:shd w:fill="F2F3F5" w:val="clear"/>
            <w:tcMar>
              <w:top w:type="dxa" w:w="100"/>
              <w:left w:type="dxa" w:w="150"/>
              <w:bottom w:type="dxa" w:w="100"/>
              <w:right w:type="dxa" w:w="150"/>
            </w:tcMar>
          </w:tcPr>
          <w:p>
            <w:pPr>
              <w:spacing w:line="250"/>
            </w:pPr>
            <w:r>
              <w:rPr>
                <w:color w:val="1A1A1A"/>
                <w:sz w:val="19"/>
                <w:szCs w:val="19"/>
              </w:rPr>
              <w:t xml:space="preserve">Muted text on white</w:t>
            </w:r>
          </w:p>
        </w:tc>
        <w:tc>
          <w:tcPr>
            <w:shd w:fill="F2F3F5" w:val="clear"/>
            <w:tcMar>
              <w:top w:type="dxa" w:w="100"/>
              <w:left w:type="dxa" w:w="150"/>
              <w:bottom w:type="dxa" w:w="100"/>
              <w:right w:type="dxa" w:w="150"/>
            </w:tcMar>
          </w:tcPr>
          <w:p>
            <w:pPr>
              <w:spacing w:line="250"/>
            </w:pPr>
            <w:r>
              <w:rPr>
                <w:color w:val="1A1A1A"/>
                <w:sz w:val="19"/>
                <w:szCs w:val="19"/>
              </w:rPr>
              <w:t xml:space="preserve">#6B7280 on #FFFFFF — 4.9:1, meets WCAG AA for normal text</w:t>
            </w:r>
          </w:p>
        </w:tc>
      </w:tr>
      <w:tr>
        <w:tc>
          <w:tcPr>
            <w:shd w:fill="FFFFFF" w:val="clear"/>
            <w:tcMar>
              <w:top w:type="dxa" w:w="100"/>
              <w:left w:type="dxa" w:w="150"/>
              <w:bottom w:type="dxa" w:w="100"/>
              <w:right w:type="dxa" w:w="150"/>
            </w:tcMar>
          </w:tcPr>
          <w:p>
            <w:pPr>
              <w:spacing w:line="250"/>
            </w:pPr>
            <w:r>
              <w:rPr>
                <w:color w:val="1A1A1A"/>
                <w:sz w:val="19"/>
                <w:szCs w:val="19"/>
              </w:rPr>
              <w:t xml:space="preserve">White text on Accent Blue button</w:t>
            </w:r>
          </w:p>
        </w:tc>
        <w:tc>
          <w:tcPr>
            <w:shd w:fill="FFFFFF" w:val="clear"/>
            <w:tcMar>
              <w:top w:type="dxa" w:w="100"/>
              <w:left w:type="dxa" w:w="150"/>
              <w:bottom w:type="dxa" w:w="100"/>
              <w:right w:type="dxa" w:w="150"/>
            </w:tcMar>
          </w:tcPr>
          <w:p>
            <w:pPr>
              <w:spacing w:line="250"/>
            </w:pPr>
            <w:r>
              <w:rPr>
                <w:color w:val="1A1A1A"/>
                <w:sz w:val="19"/>
                <w:szCs w:val="19"/>
              </w:rPr>
              <w:t xml:space="preserve">#FFFFFF on #2E6FDB — 4.6:1, meets WCAG AA</w:t>
            </w:r>
          </w:p>
        </w:tc>
      </w:tr>
      <w:tr>
        <w:tc>
          <w:tcPr>
            <w:shd w:fill="F2F3F5" w:val="clear"/>
            <w:tcMar>
              <w:top w:type="dxa" w:w="100"/>
              <w:left w:type="dxa" w:w="150"/>
              <w:bottom w:type="dxa" w:w="100"/>
              <w:right w:type="dxa" w:w="150"/>
            </w:tcMar>
          </w:tcPr>
          <w:p>
            <w:pPr>
              <w:spacing w:line="250"/>
            </w:pPr>
            <w:r>
              <w:rPr>
                <w:color w:val="1A1A1A"/>
                <w:sz w:val="19"/>
                <w:szCs w:val="19"/>
              </w:rPr>
              <w:t xml:space="preserve">Status colors (green/amber/red)</w:t>
            </w:r>
          </w:p>
        </w:tc>
        <w:tc>
          <w:tcPr>
            <w:shd w:fill="F2F3F5" w:val="clear"/>
            <w:tcMar>
              <w:top w:type="dxa" w:w="100"/>
              <w:left w:type="dxa" w:w="150"/>
              <w:bottom w:type="dxa" w:w="100"/>
              <w:right w:type="dxa" w:w="150"/>
            </w:tcMar>
          </w:tcPr>
          <w:p>
            <w:pPr>
              <w:spacing w:line="250"/>
            </w:pPr>
            <w:r>
              <w:rPr>
                <w:color w:val="1A1A1A"/>
                <w:sz w:val="19"/>
                <w:szCs w:val="19"/>
              </w:rPr>
              <w:t xml:space="preserve">All paired with an icon shape (check / triangle / circle-x), never color alone — this specifically serves colorblind users, who represent a non-trivial share of any staff population</w:t>
            </w:r>
          </w:p>
        </w:tc>
      </w:tr>
    </w:tbl>
    <w:p>
      <w:pPr>
        <w:pStyle w:val="Heading2"/>
        <w:spacing w:after="160" w:before="360"/>
      </w:pPr>
      <w:r>
        <w:rPr>
          <w:b/>
          <w:bCs/>
          <w:color w:val="1B2A4A"/>
          <w:sz w:val="26"/>
          <w:szCs w:val="26"/>
        </w:rPr>
        <w:t xml:space="preserve">11.4 Screen Reader Support</w:t>
      </w:r>
    </w:p>
    <w:p>
      <w:pPr>
        <w:pStyle w:val="ListParagraph"/>
        <w:numPr>
          <w:ilvl w:val="0"/>
          <w:numId w:val="2"/>
        </w:numPr>
        <w:spacing w:after="100" w:line="264"/>
      </w:pPr>
      <w:r>
        <w:rPr>
          <w:color w:val="1A1A1A"/>
          <w:sz w:val="21"/>
          <w:szCs w:val="21"/>
        </w:rPr>
        <w:t xml:space="preserve">All icons that carry meaning (status badges, checklist icons) have accessible labels (e.g. "Step complete: Resolving vendor") — decorative icons are marked presentational and skipped.</w:t>
      </w:r>
    </w:p>
    <w:p>
      <w:pPr>
        <w:pStyle w:val="ListParagraph"/>
        <w:numPr>
          <w:ilvl w:val="0"/>
          <w:numId w:val="2"/>
        </w:numPr>
        <w:spacing w:after="100" w:line="264"/>
      </w:pPr>
      <w:r>
        <w:rPr>
          <w:color w:val="1A1A1A"/>
          <w:sz w:val="21"/>
          <w:szCs w:val="21"/>
        </w:rPr>
        <w:t xml:space="preserve">The progress checklist uses ARIA live-region announcements as steps change state, so a screen reader user gets the same real-time reassurance a sighted user gets visually, without needing to poll the screen.</w:t>
      </w:r>
    </w:p>
    <w:p>
      <w:pPr>
        <w:pStyle w:val="ListParagraph"/>
        <w:numPr>
          <w:ilvl w:val="0"/>
          <w:numId w:val="2"/>
        </w:numPr>
        <w:spacing w:after="100" w:line="264"/>
      </w:pPr>
      <w:r>
        <w:rPr>
          <w:color w:val="1A1A1A"/>
          <w:sz w:val="21"/>
          <w:szCs w:val="21"/>
        </w:rPr>
        <w:t xml:space="preserve">The result panel's headline is announced immediately on appearance (assertive live region) since it's the single most important event in the whole session.</w:t>
      </w:r>
    </w:p>
    <w:p>
      <w:pPr>
        <w:pStyle w:val="Heading2"/>
        <w:spacing w:after="160" w:before="360"/>
      </w:pPr>
      <w:r>
        <w:rPr>
          <w:b/>
          <w:bCs/>
          <w:color w:val="1B2A4A"/>
          <w:sz w:val="26"/>
          <w:szCs w:val="26"/>
        </w:rPr>
        <w:t xml:space="preserve">11.5 High-DPI &amp; Screen Scaling</w:t>
      </w:r>
    </w:p>
    <w:p>
      <w:pPr>
        <w:pStyle w:val="ListParagraph"/>
        <w:numPr>
          <w:ilvl w:val="0"/>
          <w:numId w:val="2"/>
        </w:numPr>
        <w:spacing w:after="100" w:line="264"/>
      </w:pPr>
      <w:r>
        <w:rPr>
          <w:color w:val="1A1A1A"/>
          <w:sz w:val="21"/>
          <w:szCs w:val="21"/>
        </w:rPr>
        <w:t xml:space="preserve">All icons and graphics specified as SVG (vector) rather than raster PNG — guarantees crisp rendering at 100%, 125%, 150%, and 200% Windows display scaling, which is common on modern business laptops.</w:t>
      </w:r>
    </w:p>
    <w:p>
      <w:pPr>
        <w:pStyle w:val="ListParagraph"/>
        <w:numPr>
          <w:ilvl w:val="0"/>
          <w:numId w:val="2"/>
        </w:numPr>
        <w:spacing w:after="100" w:line="264"/>
      </w:pPr>
      <w:r>
        <w:rPr>
          <w:color w:val="1A1A1A"/>
          <w:sz w:val="21"/>
          <w:szCs w:val="21"/>
        </w:rPr>
        <w:t xml:space="preserve">All spacing and type sizes specified in DPI-independent logical units (matching Qt's device-independent pixel model), never hardcoded physical pixels.</w:t>
      </w:r>
    </w:p>
    <w:p>
      <w:pPr>
        <w:pStyle w:val="ListParagraph"/>
        <w:numPr>
          <w:ilvl w:val="0"/>
          <w:numId w:val="2"/>
        </w:numPr>
        <w:spacing w:after="100" w:line="264"/>
      </w:pPr>
      <w:r>
        <w:rPr>
          <w:color w:val="1A1A1A"/>
          <w:sz w:val="21"/>
          <w:szCs w:val="21"/>
        </w:rPr>
        <w:t xml:space="preserve">Layout tested to remain legible and non-overlapping down to the minimum window size (640×480) at 150% scaling — the most common real-world stress case for this kind of internal tool on a company laptop.</w:t>
      </w:r>
    </w:p>
    <w:p>
      <w:pPr>
        <w:pStyle w:val="Heading2"/>
        <w:spacing w:after="160" w:before="360"/>
      </w:pPr>
      <w:r>
        <w:rPr>
          <w:b/>
          <w:bCs/>
          <w:color w:val="1B2A4A"/>
          <w:sz w:val="26"/>
          <w:szCs w:val="26"/>
        </w:rPr>
        <w:t xml:space="preserve">11.6 Motion Sensitivity</w:t>
      </w:r>
    </w:p>
    <w:p>
      <w:pPr>
        <w:spacing w:after="180" w:line="276"/>
      </w:pPr>
      <w:r>
        <w:rPr>
          <w:color w:val="1A1A1A"/>
          <w:sz w:val="21"/>
          <w:szCs w:val="21"/>
        </w:rPr>
        <w:t xml:space="preserve">All transitions are respectful of the OS-level "reduce motion" setting where PySide6/Qt exposes it — when enabled, step transitions become instant state swaps with no crossfade or scale animation, while the checklist and status information remain fully intact (motion is decoration here, never the sole carrier of information, which is what makes this safe to disable).</w:t>
      </w:r>
    </w:p>
    <w:p>
      <w:r>
        <w:br w:type="page"/>
      </w:r>
    </w:p>
    <w:p>
      <w:pPr>
        <w:pStyle w:val="Heading1"/>
        <w:pBdr>
          <w:bottom w:val="single" w:color="1B2A4A" w:sz="6" w:space="4"/>
        </w:pBdr>
        <w:spacing w:after="200" w:before="480"/>
      </w:pPr>
      <w:r>
        <w:rPr>
          <w:b/>
          <w:bCs/>
          <w:color w:val="1B2A4A"/>
          <w:sz w:val="32"/>
          <w:szCs w:val="32"/>
        </w:rPr>
        <w:t xml:space="preserve">12. Future Scalability</w:t>
      </w:r>
    </w:p>
    <w:p>
      <w:pPr>
        <w:spacing w:after="180" w:line="276"/>
      </w:pPr>
      <w:r>
        <w:rPr>
          <w:color w:val="1A1A1A"/>
          <w:sz w:val="21"/>
          <w:szCs w:val="21"/>
        </w:rPr>
        <w:t xml:space="preserve">The v1 layout is deliberately minimal, but every structural decision below reserves space and precedent for likely future features — so growth doesn't force a redesign.</w:t>
      </w:r>
    </w:p>
    <w:p>
      <w:pPr>
        <w:pStyle w:val="Heading2"/>
        <w:spacing w:after="160" w:before="360"/>
      </w:pPr>
      <w:r>
        <w:rPr>
          <w:b/>
          <w:bCs/>
          <w:color w:val="1B2A4A"/>
          <w:sz w:val="26"/>
          <w:szCs w:val="26"/>
        </w:rPr>
        <w:t xml:space="preserve">12.1 Import History</w:t>
      </w:r>
    </w:p>
    <w:p>
      <w:pPr>
        <w:spacing w:after="180" w:line="276"/>
      </w:pPr>
      <w:r>
        <w:rPr>
          <w:color w:val="1A1A1A"/>
          <w:sz w:val="21"/>
          <w:szCs w:val="21"/>
        </w:rPr>
        <w:t xml:space="preserve">The footer already contains a low-priority link area ("View Log File"). A future "Import History" entry point slots in beside it, or as a new icon-button in the header band (e.g. a clock icon opening a slide-in panel from the right edge). Because the main content area is a self-contained state machine, an Import History panel can be implemented as a completely separate overlay/panel without touching any of the four core states.</w:t>
      </w:r>
    </w:p>
    <w:p>
      <w:pPr>
        <w:pStyle w:val="Heading2"/>
        <w:spacing w:after="160" w:before="360"/>
      </w:pPr>
      <w:r>
        <w:rPr>
          <w:b/>
          <w:bCs/>
          <w:color w:val="1B2A4A"/>
          <w:sz w:val="26"/>
          <w:szCs w:val="26"/>
        </w:rPr>
        <w:t xml:space="preserve">12.2 Settings</w:t>
      </w:r>
    </w:p>
    <w:p>
      <w:pPr>
        <w:spacing w:after="180" w:line="276"/>
      </w:pPr>
      <w:r>
        <w:rPr>
          <w:color w:val="1A1A1A"/>
          <w:sz w:val="21"/>
          <w:szCs w:val="21"/>
        </w:rPr>
        <w:t>A gear icon in the header band (right side, beside the connection badge) opens the Folder Configuration panel. In v2 this panel is in scope: the application requires Incoming Orders and Processed Orders folder paths before it can function. The panel persists the selected paths between sessions. Future settings (Odoo server URL, credentials, notification preferences) will be added to the same panel — the header icon cluster is designed to hold 2–4 icons without rebalancing the layout.</w:t>
      </w:r>
    </w:p>
    <w:p>
      <w:pPr>
        <w:pStyle w:val="Heading2"/>
        <w:spacing w:after="160" w:before="360"/>
      </w:pPr>
      <w:r>
        <w:rPr>
          <w:b/>
          <w:bCs/>
          <w:color w:val="1B2A4A"/>
          <w:sz w:val="26"/>
          <w:szCs w:val="26"/>
        </w:rPr>
        <w:t xml:space="preserve">12.3 Saved Connections / Multiple Odoo Servers</w:t>
      </w:r>
    </w:p>
    <w:p>
      <w:pPr>
        <w:spacing w:after="180" w:line="276"/>
      </w:pPr>
      <w:r>
        <w:rPr>
          <w:color w:val="1A1A1A"/>
          <w:sz w:val="21"/>
          <w:szCs w:val="21"/>
        </w:rPr>
        <w:t xml:space="preserve">The connection status badge in the header is already a distinct, tappable region. Evolving it from a static "Connected to Odoo" label into a dropdown ("Connected to: Production ▾") is a natural, low-disruption extension — the visual language (dot + label) doesn't need to change, only its interactivity.</w:t>
      </w:r>
    </w:p>
    <w:p>
      <w:pPr>
        <w:pStyle w:val="Heading2"/>
        <w:spacing w:after="160" w:before="360"/>
      </w:pPr>
      <w:r>
        <w:rPr>
          <w:b/>
          <w:bCs/>
          <w:color w:val="1B2A4A"/>
          <w:sz w:val="26"/>
          <w:szCs w:val="26"/>
        </w:rPr>
        <w:t xml:space="preserve">12.4 User Profiles</w:t>
      </w:r>
    </w:p>
    <w:p>
      <w:pPr>
        <w:spacing w:after="180" w:line="276"/>
      </w:pPr>
      <w:r>
        <w:rPr>
          <w:color w:val="1A1A1A"/>
          <w:sz w:val="21"/>
          <w:szCs w:val="21"/>
        </w:rPr>
        <w:t xml:space="preserve">If multi-user identity becomes relevant (e.g. showing who ran which import in history), a small avatar/initials badge can be added to the far right of the header band, following the same convention as the connection status and future settings icon — a horizontally-growing icon cluster rather than a redesign.</w:t>
      </w:r>
    </w:p>
    <w:p>
      <w:pPr>
        <w:pStyle w:val="Heading2"/>
        <w:spacing w:after="160" w:before="360"/>
      </w:pPr>
      <w:r>
        <w:rPr>
          <w:b/>
          <w:bCs/>
          <w:color w:val="1B2A4A"/>
          <w:sz w:val="26"/>
          <w:szCs w:val="26"/>
        </w:rPr>
        <w:t xml:space="preserve">12.5 Why the Architecture Supports This</w:t>
      </w:r>
    </w:p>
    <w:p>
      <w:pPr>
        <w:pStyle w:val="ListParagraph"/>
        <w:numPr>
          <w:ilvl w:val="0"/>
          <w:numId w:val="2"/>
        </w:numPr>
        <w:spacing w:after="100" w:line="264"/>
      </w:pPr>
      <w:r>
        <w:rPr>
          <w:b/>
          <w:bCs/>
          <w:color w:val="1A1A1A"/>
          <w:sz w:val="21"/>
          <w:szCs w:val="21"/>
        </w:rPr>
        <w:t xml:space="preserve">Single content region as a state machine: </w:t>
      </w:r>
      <w:r>
        <w:rPr>
          <w:color w:val="1A1A1A"/>
          <w:sz w:val="21"/>
          <w:szCs w:val="21"/>
        </w:rPr>
        <w:t xml:space="preserve">New states (e.g. "History List") can be added to the same pattern without inventing new navigation paradigms.</w:t>
      </w:r>
    </w:p>
    <w:p>
      <w:pPr>
        <w:pStyle w:val="ListParagraph"/>
        <w:numPr>
          <w:ilvl w:val="0"/>
          <w:numId w:val="2"/>
        </w:numPr>
        <w:spacing w:after="100" w:line="264"/>
      </w:pPr>
      <w:r>
        <w:rPr>
          <w:b/>
          <w:bCs/>
          <w:color w:val="1A1A1A"/>
          <w:sz w:val="21"/>
          <w:szCs w:val="21"/>
        </w:rPr>
        <w:t xml:space="preserve">Header band as an extensible icon rail: </w:t>
      </w:r>
      <w:r>
        <w:rPr>
          <w:color w:val="1A1A1A"/>
          <w:sz w:val="21"/>
          <w:szCs w:val="21"/>
        </w:rPr>
        <w:t xml:space="preserve">Already holds one piece of persistent status; built from the start to hold 2-4 more without crowding, given the 8px spacing system.</w:t>
      </w:r>
    </w:p>
    <w:p>
      <w:pPr>
        <w:pStyle w:val="ListParagraph"/>
        <w:numPr>
          <w:ilvl w:val="0"/>
          <w:numId w:val="2"/>
        </w:numPr>
        <w:spacing w:after="100" w:line="264"/>
      </w:pPr>
      <w:r>
        <w:rPr>
          <w:b/>
          <w:bCs/>
          <w:color w:val="1A1A1A"/>
          <w:sz w:val="21"/>
          <w:szCs w:val="21"/>
        </w:rPr>
        <w:t xml:space="preserve">Footer as the technical/secondary layer: </w:t>
      </w:r>
      <w:r>
        <w:rPr>
          <w:color w:val="1A1A1A"/>
          <w:sz w:val="21"/>
          <w:szCs w:val="21"/>
        </w:rPr>
        <w:t xml:space="preserve">Establishes precedent that low-priority, IT-oriented, or power-user features live here — future diagnostic or admin features have an obvious, consistent home.</w:t>
      </w:r>
    </w:p>
    <w:p>
      <w:pPr>
        <w:pStyle w:val="ListParagraph"/>
        <w:numPr>
          <w:ilvl w:val="0"/>
          <w:numId w:val="2"/>
        </w:numPr>
        <w:spacing w:after="100" w:line="264"/>
      </w:pPr>
      <w:r>
        <w:rPr>
          <w:b/>
          <w:bCs/>
          <w:color w:val="1A1A1A"/>
          <w:sz w:val="21"/>
          <w:szCs w:val="21"/>
        </w:rPr>
        <w:t xml:space="preserve">Component-based specification: </w:t>
      </w:r>
      <w:r>
        <w:rPr>
          <w:color w:val="1A1A1A"/>
          <w:sz w:val="21"/>
          <w:szCs w:val="21"/>
        </w:rPr>
        <w:t xml:space="preserve">Every component in §6 (cards, badges, buttons, disclosures) is generic enough to be reused for history rows, settings fields, or server-selection lists without new visual language being invented.</w:t>
      </w:r>
    </w:p>
    <w:p>
      <w:pPr>
        <w:spacing w:after="300"/>
      </w:pPr>
    </w:p>
    <w:p>
      <w:pPr>
        <w:pBdr>
          <w:top w:val="single" w:color="D0D5DD" w:sz="4" w:space="8"/>
        </w:pBdr>
        <w:spacing w:after="80" w:before="200"/>
      </w:pPr>
      <w:r>
        <w:rPr>
          <w:b/>
          <w:bCs/>
          <w:color w:val="1B2A4A"/>
          <w:sz w:val="20"/>
          <w:szCs w:val="20"/>
        </w:rPr>
        <w:t>End of Specification — Version 2</w:t>
      </w:r>
    </w:p>
    <w:p>
      <w:r>
        <w:rPr>
          <w:i/>
          <w:iCs/>
          <w:color w:val="6B7280"/>
          <w:sz w:val="19"/>
          <w:szCs w:val="19"/>
        </w:rPr>
        <w:t xml:space="preserve">This document defines UI/UX architecture only. No implementation code, business logic, or backend behavior is specified here — all of that remains owned by the existing, stable Import Controller.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Page </w:t>
    </w:r>
    <w:r>
      <w:rPr>
        <w:color w:val="6B7280"/>
        <w:sz w:val="15"/>
        <w:szCs w:val="15"/>
      </w:rPr>
      <w:fldChar w:fldCharType="begin"/>
      <w:instrText xml:space="preserve">PAGE</w:instrText>
      <w:fldChar w:fldCharType="separate"/>
      <w:fldChar w:fldCharType="end"/>
    </w:r>
    <w:r>
      <w:rPr>
        <w:color w:val="6B7280"/>
        <w:sz w:val="15"/>
        <w:szCs w:val="15"/>
      </w:rPr>
      <w:t xml:space="preserve"> of </w:t>
    </w:r>
    <w:r>
      <w:rPr>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jc w:val="right"/>
    </w:pPr>
    <w:r>
      <w:rPr>
        <w:color w:val="6B7280"/>
        <w:sz w:val="15"/>
        <w:szCs w:val="15"/>
      </w:rPr>
      <w:t xml:space="preserve">Purchase Order Importer — UX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2026-07-20T10:01:38.536Z</dcterms:created>
  <dcterms:modified xsi:type="dcterms:W3CDTF">2026-07-20T10:01:38.536Z</dcterms:modified>
</cp:coreProperties>
</file>

<file path=docProps/custom.xml><?xml version="1.0" encoding="utf-8"?>
<Properties xmlns="http://schemas.openxmlformats.org/officeDocument/2006/custom-properties" xmlns:vt="http://schemas.openxmlformats.org/officeDocument/2006/docPropsVTypes"/>
</file>