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pPr>
    </w:p>
    <w:p>
      <w:pPr>
        <w:spacing w:line="360" w:lineRule="auto"/>
      </w:pPr>
    </w:p>
    <w:p>
      <w:pPr>
        <w:spacing w:line="360" w:lineRule="auto"/>
      </w:pPr>
    </w:p>
    <w:p>
      <w:pPr>
        <w:pStyle w:val="Title"/>
        <w:spacing w:line="360" w:lineRule="auto"/>
        <w:jc w:val="center"/>
      </w:pPr>
      <w:r>
        <w:rPr>
          <w:rFonts w:ascii="Times New Roman" w:hAnsi="Times New Roman"/>
          <w:color w:val="000000"/>
        </w:rPr>
        <w:t>ESG-Buddy: Agentic AI-Powered</w:t>
        <w:br/>
        <w:t>ESG Compliance Copilot</w:t>
      </w:r>
    </w:p>
    <w:p>
      <w:pPr>
        <w:spacing w:line="360" w:lineRule="auto"/>
      </w:pPr>
    </w:p>
    <w:p>
      <w:pPr>
        <w:spacing w:after="120" w:line="360" w:lineRule="auto"/>
        <w:jc w:val="center"/>
      </w:pPr>
      <w:r>
        <w:rPr>
          <w:rFonts w:ascii="Times New Roman" w:hAnsi="Times New Roman"/>
          <w:b/>
          <w:i w:val="0"/>
          <w:sz w:val="24"/>
        </w:rPr>
        <w:t>Final Capstone Report</w:t>
      </w:r>
    </w:p>
    <w:p>
      <w:pPr>
        <w:spacing w:line="360" w:lineRule="auto"/>
      </w:pPr>
    </w:p>
    <w:p>
      <w:pPr>
        <w:spacing w:after="120" w:line="360" w:lineRule="auto"/>
        <w:jc w:val="center"/>
      </w:pPr>
      <w:r>
        <w:rPr>
          <w:rFonts w:ascii="Times New Roman" w:hAnsi="Times New Roman"/>
          <w:b w:val="0"/>
          <w:i w:val="0"/>
          <w:sz w:val="24"/>
        </w:rPr>
        <w:t>Submitted To</w:t>
      </w:r>
    </w:p>
    <w:p>
      <w:pPr>
        <w:spacing w:line="360" w:lineRule="auto"/>
      </w:pPr>
    </w:p>
    <w:p>
      <w:pPr>
        <w:spacing w:after="120" w:line="360" w:lineRule="auto"/>
        <w:jc w:val="center"/>
      </w:pPr>
      <w:r>
        <w:rPr>
          <w:rFonts w:ascii="Times New Roman" w:hAnsi="Times New Roman"/>
          <w:b/>
          <w:i w:val="0"/>
          <w:sz w:val="24"/>
        </w:rPr>
        <w:t>SVKM's NMIMS,</w:t>
      </w:r>
    </w:p>
    <w:p>
      <w:pPr>
        <w:spacing w:after="120" w:line="360" w:lineRule="auto"/>
        <w:jc w:val="center"/>
      </w:pPr>
      <w:r>
        <w:rPr>
          <w:rFonts w:ascii="Times New Roman" w:hAnsi="Times New Roman"/>
          <w:b w:val="0"/>
          <w:i w:val="0"/>
          <w:sz w:val="24"/>
        </w:rPr>
        <w:t>Mukesh Patel School of Technology Management &amp; Engineering,</w:t>
      </w:r>
    </w:p>
    <w:p>
      <w:pPr>
        <w:spacing w:after="120" w:line="360" w:lineRule="auto"/>
        <w:jc w:val="center"/>
      </w:pPr>
      <w:r>
        <w:rPr>
          <w:rFonts w:ascii="Times New Roman" w:hAnsi="Times New Roman"/>
          <w:b w:val="0"/>
          <w:i w:val="0"/>
          <w:sz w:val="24"/>
        </w:rPr>
        <w:t>Mumbai</w:t>
      </w:r>
    </w:p>
    <w:p>
      <w:pPr>
        <w:spacing w:line="360" w:lineRule="auto"/>
      </w:pPr>
    </w:p>
    <w:p>
      <w:pPr>
        <w:spacing w:after="120" w:line="360" w:lineRule="auto"/>
        <w:jc w:val="center"/>
      </w:pPr>
      <w:r>
        <w:rPr>
          <w:rFonts w:ascii="Times New Roman" w:hAnsi="Times New Roman"/>
          <w:b/>
          <w:i w:val="0"/>
          <w:sz w:val="24"/>
        </w:rPr>
        <w:t>Submitted by:</w:t>
      </w:r>
    </w:p>
    <w:p>
      <w:pPr>
        <w:spacing w:after="120" w:line="360" w:lineRule="auto"/>
        <w:jc w:val="center"/>
      </w:pPr>
      <w:r>
        <w:rPr>
          <w:rFonts w:ascii="Times New Roman" w:hAnsi="Times New Roman"/>
          <w:b w:val="0"/>
          <w:i w:val="0"/>
          <w:sz w:val="24"/>
        </w:rPr>
        <w:t>Harsh Rever – N130</w:t>
      </w:r>
    </w:p>
    <w:p>
      <w:pPr>
        <w:spacing w:after="120" w:line="360" w:lineRule="auto"/>
        <w:jc w:val="center"/>
      </w:pPr>
      <w:r>
        <w:rPr>
          <w:rFonts w:ascii="Times New Roman" w:hAnsi="Times New Roman"/>
          <w:b w:val="0"/>
          <w:i w:val="0"/>
          <w:sz w:val="24"/>
        </w:rPr>
        <w:t>Naman Adep – N135</w:t>
      </w:r>
    </w:p>
    <w:p>
      <w:pPr>
        <w:spacing w:after="120" w:line="360" w:lineRule="auto"/>
        <w:jc w:val="center"/>
      </w:pPr>
      <w:r>
        <w:rPr>
          <w:rFonts w:ascii="Times New Roman" w:hAnsi="Times New Roman"/>
          <w:b w:val="0"/>
          <w:i w:val="0"/>
          <w:sz w:val="24"/>
        </w:rPr>
        <w:t>Purav Patel – N134</w:t>
      </w:r>
    </w:p>
    <w:p>
      <w:pPr>
        <w:spacing w:after="120" w:line="360" w:lineRule="auto"/>
        <w:jc w:val="center"/>
      </w:pPr>
      <w:r>
        <w:rPr>
          <w:rFonts w:ascii="Times New Roman" w:hAnsi="Times New Roman"/>
          <w:b w:val="0"/>
          <w:i w:val="0"/>
          <w:sz w:val="24"/>
        </w:rPr>
        <w:t>Kabeer Chaudhary – N289</w:t>
      </w:r>
    </w:p>
    <w:p>
      <w:pPr>
        <w:spacing w:line="360" w:lineRule="auto"/>
      </w:pPr>
    </w:p>
    <w:p>
      <w:pPr>
        <w:spacing w:after="120" w:line="360" w:lineRule="auto"/>
        <w:jc w:val="center"/>
      </w:pPr>
      <w:r>
        <w:rPr>
          <w:rFonts w:ascii="Times New Roman" w:hAnsi="Times New Roman"/>
          <w:b/>
          <w:i w:val="0"/>
          <w:sz w:val="24"/>
        </w:rPr>
        <w:t>Under The Supervision of:</w:t>
      </w:r>
    </w:p>
    <w:p>
      <w:pPr>
        <w:spacing w:after="120" w:line="360" w:lineRule="auto"/>
        <w:jc w:val="center"/>
      </w:pPr>
      <w:r>
        <w:rPr>
          <w:rFonts w:ascii="Times New Roman" w:hAnsi="Times New Roman"/>
          <w:b/>
          <w:i w:val="0"/>
          <w:sz w:val="24"/>
        </w:rPr>
        <w:t>Prof. Radhika Patil</w:t>
      </w:r>
    </w:p>
    <w:p>
      <w:pPr>
        <w:spacing w:after="120" w:line="360" w:lineRule="auto"/>
        <w:jc w:val="center"/>
      </w:pPr>
      <w:r>
        <w:rPr>
          <w:rFonts w:ascii="Times New Roman" w:hAnsi="Times New Roman"/>
          <w:b/>
          <w:i w:val="0"/>
          <w:sz w:val="24"/>
        </w:rPr>
        <w:t>Assistant Professor</w:t>
      </w:r>
    </w:p>
    <w:p>
      <w:pPr>
        <w:spacing w:line="360" w:lineRule="auto"/>
      </w:pPr>
    </w:p>
    <w:p>
      <w:pPr>
        <w:spacing w:after="120" w:line="360" w:lineRule="auto"/>
        <w:jc w:val="center"/>
      </w:pPr>
      <w:r>
        <w:rPr>
          <w:rFonts w:ascii="Times New Roman" w:hAnsi="Times New Roman"/>
          <w:b/>
          <w:i w:val="0"/>
          <w:sz w:val="24"/>
        </w:rPr>
        <w:t>DEPARTMENT OF COMPUTER ENGINEERING</w:t>
      </w:r>
    </w:p>
    <w:p>
      <w:pPr>
        <w:spacing w:after="120" w:line="360" w:lineRule="auto"/>
        <w:jc w:val="center"/>
      </w:pPr>
      <w:r>
        <w:rPr>
          <w:rFonts w:ascii="Times New Roman" w:hAnsi="Times New Roman"/>
          <w:b w:val="0"/>
          <w:i w:val="0"/>
          <w:sz w:val="24"/>
        </w:rPr>
        <w:t>Mukesh Patel School of Technology Management &amp; Engineering</w:t>
      </w:r>
    </w:p>
    <w:p>
      <w:pPr>
        <w:spacing w:after="120" w:line="360" w:lineRule="auto"/>
        <w:jc w:val="center"/>
      </w:pPr>
      <w:r>
        <w:rPr>
          <w:rFonts w:ascii="Times New Roman" w:hAnsi="Times New Roman"/>
          <w:b/>
          <w:i w:val="0"/>
          <w:sz w:val="24"/>
        </w:rPr>
        <w:t>ACADEMIC SESSION: 2025-26</w:t>
      </w:r>
    </w:p>
    <w:p>
      <w:pPr>
        <w:spacing w:line="360" w:lineRule="auto"/>
      </w:pPr>
      <w:r>
        <w:rPr>
          <w:rFonts w:ascii="Times New Roman" w:hAnsi="Times New Roman"/>
          <w:sz w:val="24"/>
        </w:rPr>
        <w:br w:type="page"/>
      </w:r>
    </w:p>
    <w:p>
      <w:pPr>
        <w:pStyle w:val="Heading1"/>
        <w:spacing w:line="360" w:lineRule="auto"/>
        <w:jc w:val="center"/>
      </w:pPr>
      <w:r>
        <w:rPr>
          <w:rFonts w:ascii="Times New Roman" w:hAnsi="Times New Roman"/>
          <w:b/>
          <w:color w:val="000000"/>
          <w:sz w:val="36"/>
        </w:rPr>
        <w:t>CERTIFICATE</w:t>
      </w:r>
    </w:p>
    <w:p>
      <w:pPr>
        <w:spacing w:line="360" w:lineRule="auto"/>
      </w:pPr>
    </w:p>
    <w:p>
      <w:pPr>
        <w:spacing w:after="120" w:line="360" w:lineRule="auto"/>
        <w:jc w:val="both"/>
      </w:pPr>
      <w:r>
        <w:rPr>
          <w:rFonts w:ascii="Times New Roman" w:hAnsi="Times New Roman"/>
          <w:b w:val="0"/>
          <w:i w:val="0"/>
          <w:sz w:val="24"/>
        </w:rPr>
        <w:t>This is to certify that the project titled "ESG-Buddy: Agentic AI-Powered ESG Compliance Copilot" is a bonafide work carried out by Harsh Rever (N130), Naman Adep (N135), Purav Patel (N134), and Kabeer Chaudhary (N289) of B.Tech Computer Engineering, Semester VIII, in partial fulfillment of the requirements for the award of the degree of Bachelor of Technology in Computer Engineering from SVKM's NMIMS, Mukesh Patel School of Technology Management &amp; Engineering, Mumbai, during the academic year 2025-26.</w:t>
      </w:r>
    </w:p>
    <w:p>
      <w:pPr>
        <w:spacing w:line="360" w:lineRule="auto"/>
      </w:pPr>
    </w:p>
    <w:p>
      <w:pPr>
        <w:spacing w:line="360" w:lineRule="auto"/>
      </w:pPr>
    </w:p>
    <w:p>
      <w:pPr>
        <w:spacing w:line="360" w:lineRule="auto"/>
      </w:pPr>
    </w:p>
    <w:p>
      <w:pPr>
        <w:spacing w:line="360" w:lineRule="auto"/>
        <w:jc w:val="left"/>
      </w:pPr>
      <w:r>
        <w:rPr>
          <w:rFonts w:ascii="Times New Roman" w:hAnsi="Times New Roman"/>
          <w:b/>
          <w:sz w:val="24"/>
        </w:rPr>
        <w:t>Prof. Radhika Patil</w:t>
      </w:r>
    </w:p>
    <w:p>
      <w:pPr>
        <w:spacing w:after="120" w:line="360" w:lineRule="auto"/>
        <w:jc w:val="left"/>
      </w:pPr>
      <w:r>
        <w:rPr>
          <w:rFonts w:ascii="Times New Roman" w:hAnsi="Times New Roman"/>
          <w:b w:val="0"/>
          <w:i w:val="0"/>
          <w:sz w:val="24"/>
        </w:rPr>
        <w:t>Project Guide</w:t>
      </w:r>
    </w:p>
    <w:p>
      <w:pPr>
        <w:spacing w:after="120" w:line="360" w:lineRule="auto"/>
        <w:jc w:val="left"/>
      </w:pPr>
      <w:r>
        <w:rPr>
          <w:rFonts w:ascii="Times New Roman" w:hAnsi="Times New Roman"/>
          <w:b w:val="0"/>
          <w:i w:val="0"/>
          <w:sz w:val="24"/>
        </w:rPr>
        <w:t>Department of Computer Engineering</w:t>
      </w:r>
    </w:p>
    <w:p>
      <w:pPr>
        <w:spacing w:line="360" w:lineRule="auto"/>
      </w:pPr>
    </w:p>
    <w:p>
      <w:pPr>
        <w:spacing w:line="360" w:lineRule="auto"/>
      </w:pPr>
    </w:p>
    <w:p>
      <w:pPr>
        <w:spacing w:line="360" w:lineRule="auto"/>
        <w:jc w:val="left"/>
      </w:pPr>
      <w:r>
        <w:rPr>
          <w:rFonts w:ascii="Times New Roman" w:hAnsi="Times New Roman"/>
          <w:b/>
          <w:sz w:val="24"/>
        </w:rPr>
        <w:t>Head of Department</w:t>
      </w:r>
    </w:p>
    <w:p>
      <w:pPr>
        <w:spacing w:after="120" w:line="360" w:lineRule="auto"/>
        <w:jc w:val="left"/>
      </w:pPr>
      <w:r>
        <w:rPr>
          <w:rFonts w:ascii="Times New Roman" w:hAnsi="Times New Roman"/>
          <w:b w:val="0"/>
          <w:i w:val="0"/>
          <w:sz w:val="24"/>
        </w:rPr>
        <w:t>Department of Computer Engineering</w:t>
      </w:r>
    </w:p>
    <w:p>
      <w:pPr>
        <w:spacing w:line="360" w:lineRule="auto"/>
      </w:pPr>
      <w:r>
        <w:rPr>
          <w:rFonts w:ascii="Times New Roman" w:hAnsi="Times New Roman"/>
          <w:sz w:val="24"/>
        </w:rPr>
        <w:br w:type="page"/>
      </w:r>
    </w:p>
    <w:p>
      <w:pPr>
        <w:pStyle w:val="Heading1"/>
        <w:spacing w:line="360" w:lineRule="auto"/>
        <w:jc w:val="center"/>
      </w:pPr>
      <w:r>
        <w:rPr>
          <w:rFonts w:ascii="Times New Roman" w:hAnsi="Times New Roman"/>
          <w:b/>
          <w:color w:val="000000"/>
          <w:sz w:val="36"/>
        </w:rPr>
        <w:t>ACKNOWLEDGEMENT</w:t>
      </w:r>
    </w:p>
    <w:p>
      <w:pPr>
        <w:spacing w:line="360" w:lineRule="auto"/>
      </w:pPr>
    </w:p>
    <w:p>
      <w:pPr>
        <w:spacing w:after="120" w:line="360" w:lineRule="auto"/>
        <w:jc w:val="both"/>
      </w:pPr>
      <w:r>
        <w:rPr>
          <w:rFonts w:ascii="Times New Roman" w:hAnsi="Times New Roman"/>
          <w:b w:val="0"/>
          <w:i w:val="0"/>
          <w:sz w:val="24"/>
        </w:rPr>
        <w:t>We would like to express our sincere gratitude to our project guide, Prof. Radhika Patil, for her invaluable guidance, continuous encouragement, and constructive feedback throughout the development of this project. Her expertise in the domain of artificial intelligence and software engineering has been instrumental in shaping the direction of our work.</w:t>
      </w:r>
    </w:p>
    <w:p>
      <w:pPr>
        <w:spacing w:after="120" w:line="360" w:lineRule="auto"/>
        <w:jc w:val="both"/>
      </w:pPr>
      <w:r>
        <w:rPr>
          <w:rFonts w:ascii="Times New Roman" w:hAnsi="Times New Roman"/>
          <w:b w:val="0"/>
          <w:i w:val="0"/>
          <w:sz w:val="24"/>
        </w:rPr>
        <w:t>We are grateful to the Department of Computer Engineering at SVKM's NMIMS, Mukesh Patel School of Technology Management &amp; Engineering, Mumbai, for providing us with the necessary infrastructure and academic environment to carry out this project.</w:t>
      </w:r>
    </w:p>
    <w:p>
      <w:pPr>
        <w:spacing w:after="120" w:line="360" w:lineRule="auto"/>
        <w:jc w:val="both"/>
      </w:pPr>
      <w:r>
        <w:rPr>
          <w:rFonts w:ascii="Times New Roman" w:hAnsi="Times New Roman"/>
          <w:b w:val="0"/>
          <w:i w:val="0"/>
          <w:sz w:val="24"/>
        </w:rPr>
        <w:t>We also extend our thanks to OpenAI for providing API access to the GPT-4o-mini language model and text-embedding-3-small embedding model, which form core components of the ESGBuddy system.</w:t>
      </w:r>
    </w:p>
    <w:p>
      <w:pPr>
        <w:spacing w:after="120" w:line="360" w:lineRule="auto"/>
        <w:jc w:val="both"/>
      </w:pPr>
      <w:r>
        <w:rPr>
          <w:rFonts w:ascii="Times New Roman" w:hAnsi="Times New Roman"/>
          <w:b w:val="0"/>
          <w:i w:val="0"/>
          <w:sz w:val="24"/>
        </w:rPr>
        <w:t>Finally, we thank our families and peers for their unwavering support and encouragement throughout the duration of this project.</w:t>
      </w:r>
    </w:p>
    <w:p>
      <w:pPr>
        <w:spacing w:line="360" w:lineRule="auto"/>
      </w:pPr>
    </w:p>
    <w:p>
      <w:pPr>
        <w:spacing w:line="360" w:lineRule="auto"/>
      </w:pPr>
    </w:p>
    <w:p>
      <w:pPr>
        <w:spacing w:after="120" w:line="360" w:lineRule="auto"/>
        <w:jc w:val="left"/>
      </w:pPr>
      <w:r>
        <w:rPr>
          <w:rFonts w:ascii="Times New Roman" w:hAnsi="Times New Roman"/>
          <w:b/>
          <w:i w:val="0"/>
          <w:sz w:val="24"/>
        </w:rPr>
        <w:t>Harsh Rever, Naman Adep, Purav Patel, Kabeer Chaudhary</w:t>
      </w:r>
    </w:p>
    <w:p>
      <w:pPr>
        <w:spacing w:after="120" w:line="360" w:lineRule="auto"/>
        <w:jc w:val="left"/>
      </w:pPr>
      <w:r>
        <w:rPr>
          <w:rFonts w:ascii="Times New Roman" w:hAnsi="Times New Roman"/>
          <w:b w:val="0"/>
          <w:i w:val="0"/>
          <w:sz w:val="24"/>
        </w:rPr>
        <w:t>April 2026</w:t>
      </w:r>
    </w:p>
    <w:p>
      <w:pPr>
        <w:spacing w:line="360" w:lineRule="auto"/>
      </w:pPr>
      <w:r>
        <w:rPr>
          <w:rFonts w:ascii="Times New Roman" w:hAnsi="Times New Roman"/>
          <w:sz w:val="24"/>
        </w:rPr>
        <w:br w:type="page"/>
      </w:r>
    </w:p>
    <w:p>
      <w:pPr>
        <w:pStyle w:val="Heading1"/>
        <w:spacing w:line="360" w:lineRule="auto"/>
        <w:jc w:val="center"/>
      </w:pPr>
      <w:r>
        <w:rPr>
          <w:rFonts w:ascii="Times New Roman" w:hAnsi="Times New Roman"/>
          <w:b/>
          <w:color w:val="000000"/>
          <w:sz w:val="36"/>
        </w:rPr>
        <w:t>ABSTRACT</w:t>
      </w:r>
    </w:p>
    <w:p>
      <w:pPr>
        <w:spacing w:line="360" w:lineRule="auto"/>
      </w:pPr>
    </w:p>
    <w:p>
      <w:pPr>
        <w:spacing w:after="120" w:line="360" w:lineRule="auto"/>
        <w:jc w:val="both"/>
      </w:pPr>
      <w:r>
        <w:rPr>
          <w:rFonts w:ascii="Times New Roman" w:hAnsi="Times New Roman"/>
          <w:b w:val="0"/>
          <w:i w:val="0"/>
          <w:sz w:val="24"/>
        </w:rPr>
        <w:t>Manual verification of ESG (Environmental, Social, and Governance) compliance reports against regulatory frameworks is time-consuming, expensive, and inconsistent. This report presents ESG Buddy, an AI-powered compliance copilot that automates the evaluation of company ESG reports against multiple international standards using a Retrieval-Augmented Generation (RAG) approach combined with agentic AI reasoning. The system supports four major ESG frameworks: BRSR (265 clauses), GRI (configurable 40–150+ clauses), TCFD (~30 clauses), and SASB (industry-specific, ~77 clauses per sector), and provides a human-in-the-loop verification dashboard for ambiguous predictions.</w:t>
      </w:r>
    </w:p>
    <w:p>
      <w:pPr>
        <w:spacing w:after="120" w:line="360" w:lineRule="auto"/>
        <w:jc w:val="both"/>
      </w:pPr>
      <w:r>
        <w:rPr>
          <w:rFonts w:ascii="Times New Roman" w:hAnsi="Times New Roman"/>
          <w:b w:val="0"/>
          <w:i w:val="0"/>
          <w:sz w:val="24"/>
        </w:rPr>
        <w:t xml:space="preserve">Leveraging OpenAI’s GPT-4o-mini model with framework-specific prompts, chain-of-thought reasoning, and self-reflection mechanisms, ESG Buddy evaluates each clause against semantically retrieved evidence from company sustainability reports stored in ChromaDB. The system features real-time streaming evaluation via Server-Sent Events (SSE) with live progress tracking, a RAG-based document chat for natural language queries about source reports, an LLM-powered Gap Analysis engine that generates prioritized Executive Action Plans grouped by ESG pillar, downloadable PDF reports for both compliance assessments and action plans, an interactive agentic reasoning timeline that visualizes the AI’s chain-of-thought process, and a two-company comparison dashboard for side-by-side compliance benchmarking. A human-in-the-loop verification dashboard focuses expert attention on ambiguous predictions, reducing manual review effort by 70–80%. Ground truth accuracy is measured against manually annotated labels for 13 companies across all four frameworks.</w:t>
      </w:r>
    </w:p>
    <w:p>
      <w:pPr>
        <w:spacing w:after="120" w:line="360" w:lineRule="auto"/>
        <w:jc w:val="both"/>
      </w:pPr>
      <w:r>
        <w:rPr>
          <w:rFonts w:ascii="Times New Roman" w:hAnsi="Times New Roman"/>
          <w:b w:val="0"/>
          <w:i w:val="0"/>
          <w:sz w:val="24"/>
        </w:rPr>
        <w:t>Experimental results demonstrate LLM Precision of 78–88%, LLM Recall of 76–87%, LLM F1 Score of 77–86%, and Status Match Accuracy of 75–85% across all four frameworks. The agentic reasoning pipeline with chain-of-thought, self-reflection, and revision provides both improved classification quality and full transparency. The human verification dashboard reduces manual workload by 70–80% by focusing expert attention on ambiguous predictions. A comprehensive analytics dashboard enables multi-company, multi-framework compliance comparison and trend visualization.</w:t>
      </w:r>
    </w:p>
    <w:p>
      <w:pPr>
        <w:spacing w:line="360" w:lineRule="auto"/>
      </w:pPr>
      <w:r>
        <w:rPr>
          <w:rFonts w:ascii="Times New Roman" w:hAnsi="Times New Roman"/>
          <w:sz w:val="24"/>
        </w:rPr>
        <w:br w:type="page"/>
      </w:r>
    </w:p>
    <w:p>
      <w:pPr>
        <w:pStyle w:val="Heading1"/>
        <w:spacing w:line="360" w:lineRule="auto"/>
        <w:jc w:val="center"/>
      </w:pPr>
      <w:r>
        <w:rPr>
          <w:rFonts w:ascii="Times New Roman" w:hAnsi="Times New Roman"/>
          <w:b/>
          <w:color w:val="000000"/>
          <w:sz w:val="36"/>
        </w:rPr>
        <w:t>TABLE OF CONTENTS</w:t>
      </w:r>
    </w:p>
    <w:p>
      <w:pPr>
        <w:spacing w:line="360" w:lineRule="auto"/>
      </w:pPr>
    </w:p>
    <w:tbl>
      <w:tblPr>
        <w:tblStyle w:val="TableGrid"/>
        <w:tblW w:type="auto" w:w="0"/>
        <w:tblLook w:firstColumn="1" w:firstRow="1" w:lastColumn="0" w:lastRow="0" w:noHBand="0" w:noVBand="1" w:val="04A0"/>
      </w:tblPr>
      <w:tblGrid>
        <w:gridCol w:w="2882"/>
        <w:gridCol w:w="2882"/>
        <w:gridCol w:w="2882"/>
      </w:tblGrid>
      <w:tr>
        <w:tc>
          <w:tcPr>
            <w:tcW w:type="dxa" w:w="850"/>
            <w:tcBorders>
              <w:top w:val="none" w:sz="0" w:space="0" w:color="auto"/>
              <w:left w:val="none" w:sz="0" w:space="0" w:color="auto"/>
              <w:bottom w:val="none" w:sz="0" w:space="0" w:color="auto"/>
              <w:right w:val="none" w:sz="0" w:space="0" w:color="auto"/>
            </w:tcBorders>
          </w:tcPr>
          <w:p>
            <w:r>
              <w:rPr>
                <w:rFonts w:ascii="Times New Roman" w:hAnsi="Times New Roman"/>
                <w:b/>
                <w:sz w:val="20"/>
              </w:rPr>
            </w:r>
          </w:p>
        </w:tc>
        <w:tc>
          <w:tcPr>
            <w:tcW w:type="dxa" w:w="6803"/>
            <w:tcBorders>
              <w:top w:val="none" w:sz="0" w:space="0" w:color="auto"/>
              <w:left w:val="none" w:sz="0" w:space="0" w:color="auto"/>
              <w:bottom w:val="none" w:sz="0" w:space="0" w:color="auto"/>
              <w:right w:val="none" w:sz="0" w:space="0" w:color="auto"/>
            </w:tcBorders>
          </w:tcPr>
          <w:p>
            <w:r>
              <w:rPr>
                <w:rFonts w:ascii="Times New Roman" w:hAnsi="Times New Roman"/>
                <w:b/>
                <w:sz w:val="20"/>
              </w:rPr>
              <w:t>Abstract</w:t>
            </w:r>
          </w:p>
        </w:tc>
        <w:tc>
          <w:tcPr>
            <w:tcW w:type="dxa" w:w="850"/>
            <w:tcBorders>
              <w:top w:val="none" w:sz="0" w:space="0" w:color="auto"/>
              <w:left w:val="none" w:sz="0" w:space="0" w:color="auto"/>
              <w:bottom w:val="none" w:sz="0" w:space="0" w:color="auto"/>
              <w:right w:val="none" w:sz="0" w:space="0" w:color="auto"/>
            </w:tcBorders>
          </w:tcPr>
          <w:p>
            <w:pPr>
              <w:jc w:val="right"/>
            </w:pPr>
            <w:r>
              <w:rPr>
                <w:rFonts w:ascii="Times New Roman" w:hAnsi="Times New Roman"/>
                <w:b/>
                <w:sz w:val="20"/>
              </w:rPr>
              <w:t>iv</w:t>
            </w:r>
          </w:p>
        </w:tc>
      </w:tr>
      <w:tr>
        <w:tc>
          <w:tcPr>
            <w:tcW w:type="dxa" w:w="850"/>
            <w:tcBorders>
              <w:top w:val="none" w:sz="0" w:space="0" w:color="auto"/>
              <w:left w:val="none" w:sz="0" w:space="0" w:color="auto"/>
              <w:bottom w:val="none" w:sz="0" w:space="0" w:color="auto"/>
              <w:right w:val="none" w:sz="0" w:space="0" w:color="auto"/>
            </w:tcBorders>
          </w:tcPr>
          <w:p>
            <w:r>
              <w:rPr>
                <w:rFonts w:ascii="Times New Roman" w:hAnsi="Times New Roman"/>
                <w:b/>
                <w:sz w:val="20"/>
              </w:rPr>
            </w:r>
          </w:p>
        </w:tc>
        <w:tc>
          <w:tcPr>
            <w:tcW w:type="dxa" w:w="6803"/>
            <w:tcBorders>
              <w:top w:val="none" w:sz="0" w:space="0" w:color="auto"/>
              <w:left w:val="none" w:sz="0" w:space="0" w:color="auto"/>
              <w:bottom w:val="none" w:sz="0" w:space="0" w:color="auto"/>
              <w:right w:val="none" w:sz="0" w:space="0" w:color="auto"/>
            </w:tcBorders>
          </w:tcPr>
          <w:p>
            <w:r>
              <w:rPr>
                <w:rFonts w:ascii="Times New Roman" w:hAnsi="Times New Roman"/>
                <w:b/>
                <w:sz w:val="20"/>
              </w:rPr>
              <w:t>List of Tables</w:t>
            </w:r>
          </w:p>
        </w:tc>
        <w:tc>
          <w:tcPr>
            <w:tcW w:type="dxa" w:w="850"/>
            <w:tcBorders>
              <w:top w:val="none" w:sz="0" w:space="0" w:color="auto"/>
              <w:left w:val="none" w:sz="0" w:space="0" w:color="auto"/>
              <w:bottom w:val="none" w:sz="0" w:space="0" w:color="auto"/>
              <w:right w:val="none" w:sz="0" w:space="0" w:color="auto"/>
            </w:tcBorders>
          </w:tcPr>
          <w:p>
            <w:pPr>
              <w:jc w:val="right"/>
            </w:pPr>
            <w:r>
              <w:rPr>
                <w:rFonts w:ascii="Times New Roman" w:hAnsi="Times New Roman"/>
                <w:b/>
                <w:sz w:val="20"/>
              </w:rPr>
              <w:t>vi</w:t>
            </w:r>
          </w:p>
        </w:tc>
      </w:tr>
      <w:tr>
        <w:tc>
          <w:tcPr>
            <w:tcW w:type="dxa" w:w="850"/>
            <w:tcBorders>
              <w:top w:val="none" w:sz="0" w:space="0" w:color="auto"/>
              <w:left w:val="none" w:sz="0" w:space="0" w:color="auto"/>
              <w:bottom w:val="none" w:sz="0" w:space="0" w:color="auto"/>
              <w:right w:val="none" w:sz="0" w:space="0" w:color="auto"/>
            </w:tcBorders>
          </w:tcPr>
          <w:p>
            <w:r>
              <w:rPr>
                <w:rFonts w:ascii="Times New Roman" w:hAnsi="Times New Roman"/>
                <w:b/>
                <w:sz w:val="20"/>
              </w:rPr>
            </w:r>
          </w:p>
        </w:tc>
        <w:tc>
          <w:tcPr>
            <w:tcW w:type="dxa" w:w="6803"/>
            <w:tcBorders>
              <w:top w:val="none" w:sz="0" w:space="0" w:color="auto"/>
              <w:left w:val="none" w:sz="0" w:space="0" w:color="auto"/>
              <w:bottom w:val="none" w:sz="0" w:space="0" w:color="auto"/>
              <w:right w:val="none" w:sz="0" w:space="0" w:color="auto"/>
            </w:tcBorders>
          </w:tcPr>
          <w:p>
            <w:r>
              <w:rPr>
                <w:rFonts w:ascii="Times New Roman" w:hAnsi="Times New Roman"/>
                <w:b/>
                <w:sz w:val="20"/>
              </w:rPr>
              <w:t>List of Figures</w:t>
            </w:r>
          </w:p>
        </w:tc>
        <w:tc>
          <w:tcPr>
            <w:tcW w:type="dxa" w:w="850"/>
            <w:tcBorders>
              <w:top w:val="none" w:sz="0" w:space="0" w:color="auto"/>
              <w:left w:val="none" w:sz="0" w:space="0" w:color="auto"/>
              <w:bottom w:val="none" w:sz="0" w:space="0" w:color="auto"/>
              <w:right w:val="none" w:sz="0" w:space="0" w:color="auto"/>
            </w:tcBorders>
          </w:tcPr>
          <w:p>
            <w:pPr>
              <w:jc w:val="right"/>
            </w:pPr>
            <w:r>
              <w:rPr>
                <w:rFonts w:ascii="Times New Roman" w:hAnsi="Times New Roman"/>
                <w:b/>
                <w:sz w:val="20"/>
              </w:rPr>
              <w:t>vi</w:t>
            </w:r>
          </w:p>
        </w:tc>
      </w:tr>
      <w:tr>
        <w:tc>
          <w:tcPr>
            <w:tcW w:type="dxa" w:w="850"/>
            <w:tcBorders>
              <w:top w:val="none" w:sz="0" w:space="0" w:color="auto"/>
              <w:left w:val="none" w:sz="0" w:space="0" w:color="auto"/>
              <w:bottom w:val="none" w:sz="0" w:space="0" w:color="auto"/>
              <w:right w:val="none" w:sz="0" w:space="0" w:color="auto"/>
            </w:tcBorders>
          </w:tcPr>
          <w:p>
            <w:r>
              <w:rPr>
                <w:rFonts w:ascii="Times New Roman" w:hAnsi="Times New Roman"/>
                <w:b/>
                <w:sz w:val="20"/>
              </w:rPr>
              <w:t>1</w:t>
            </w:r>
          </w:p>
        </w:tc>
        <w:tc>
          <w:tcPr>
            <w:tcW w:type="dxa" w:w="6803"/>
            <w:tcBorders>
              <w:top w:val="none" w:sz="0" w:space="0" w:color="auto"/>
              <w:left w:val="none" w:sz="0" w:space="0" w:color="auto"/>
              <w:bottom w:val="none" w:sz="0" w:space="0" w:color="auto"/>
              <w:right w:val="none" w:sz="0" w:space="0" w:color="auto"/>
            </w:tcBorders>
          </w:tcPr>
          <w:p>
            <w:r>
              <w:rPr>
                <w:rFonts w:ascii="Times New Roman" w:hAnsi="Times New Roman"/>
                <w:b/>
                <w:sz w:val="20"/>
              </w:rPr>
              <w:t>INTRODUCTION</w:t>
            </w:r>
          </w:p>
        </w:tc>
        <w:tc>
          <w:tcPr>
            <w:tcW w:type="dxa" w:w="850"/>
            <w:tcBorders>
              <w:top w:val="none" w:sz="0" w:space="0" w:color="auto"/>
              <w:left w:val="none" w:sz="0" w:space="0" w:color="auto"/>
              <w:bottom w:val="none" w:sz="0" w:space="0" w:color="auto"/>
              <w:right w:val="none" w:sz="0" w:space="0" w:color="auto"/>
            </w:tcBorders>
          </w:tcPr>
          <w:p>
            <w:pPr>
              <w:jc w:val="right"/>
            </w:pPr>
            <w:r>
              <w:rPr>
                <w:rFonts w:ascii="Times New Roman" w:hAnsi="Times New Roman"/>
                <w:b/>
                <w:sz w:val="20"/>
              </w:rPr>
              <w:t>1</w:t>
            </w:r>
          </w:p>
        </w:tc>
      </w:tr>
      <w:tr>
        <w:tc>
          <w:tcPr>
            <w:tcW w:type="dxa" w:w="850"/>
            <w:tcBorders>
              <w:top w:val="none" w:sz="0" w:space="0" w:color="auto"/>
              <w:left w:val="none" w:sz="0" w:space="0" w:color="auto"/>
              <w:bottom w:val="none" w:sz="0" w:space="0" w:color="auto"/>
              <w:right w:val="none" w:sz="0" w:space="0" w:color="auto"/>
            </w:tcBorders>
          </w:tcPr>
          <w:p>
            <w:r>
              <w:rPr>
                <w:rFonts w:ascii="Times New Roman" w:hAnsi="Times New Roman"/>
                <w:sz w:val="20"/>
              </w:rPr>
              <w:t>1.1</w:t>
            </w:r>
          </w:p>
        </w:tc>
        <w:tc>
          <w:tcPr>
            <w:tcW w:type="dxa" w:w="6803"/>
            <w:tcBorders>
              <w:top w:val="none" w:sz="0" w:space="0" w:color="auto"/>
              <w:left w:val="none" w:sz="0" w:space="0" w:color="auto"/>
              <w:bottom w:val="none" w:sz="0" w:space="0" w:color="auto"/>
              <w:right w:val="none" w:sz="0" w:space="0" w:color="auto"/>
            </w:tcBorders>
          </w:tcPr>
          <w:p>
            <w:r>
              <w:rPr>
                <w:rFonts w:ascii="Times New Roman" w:hAnsi="Times New Roman"/>
                <w:sz w:val="20"/>
              </w:rPr>
              <w:t>Background</w:t>
            </w:r>
          </w:p>
        </w:tc>
        <w:tc>
          <w:tcPr>
            <w:tcW w:type="dxa" w:w="850"/>
            <w:tcBorders>
              <w:top w:val="none" w:sz="0" w:space="0" w:color="auto"/>
              <w:left w:val="none" w:sz="0" w:space="0" w:color="auto"/>
              <w:bottom w:val="none" w:sz="0" w:space="0" w:color="auto"/>
              <w:right w:val="none" w:sz="0" w:space="0" w:color="auto"/>
            </w:tcBorders>
          </w:tcPr>
          <w:p>
            <w:pPr>
              <w:jc w:val="right"/>
            </w:pPr>
            <w:r>
              <w:rPr>
                <w:rFonts w:ascii="Times New Roman" w:hAnsi="Times New Roman"/>
                <w:sz w:val="20"/>
              </w:rPr>
              <w:t>1</w:t>
            </w:r>
          </w:p>
        </w:tc>
      </w:tr>
      <w:tr>
        <w:tc>
          <w:tcPr>
            <w:tcW w:type="dxa" w:w="850"/>
            <w:tcBorders>
              <w:top w:val="none" w:sz="0" w:space="0" w:color="auto"/>
              <w:left w:val="none" w:sz="0" w:space="0" w:color="auto"/>
              <w:bottom w:val="none" w:sz="0" w:space="0" w:color="auto"/>
              <w:right w:val="none" w:sz="0" w:space="0" w:color="auto"/>
            </w:tcBorders>
          </w:tcPr>
          <w:p>
            <w:r>
              <w:rPr>
                <w:rFonts w:ascii="Times New Roman" w:hAnsi="Times New Roman"/>
                <w:sz w:val="20"/>
              </w:rPr>
              <w:t>1.2</w:t>
            </w:r>
          </w:p>
        </w:tc>
        <w:tc>
          <w:tcPr>
            <w:tcW w:type="dxa" w:w="6803"/>
            <w:tcBorders>
              <w:top w:val="none" w:sz="0" w:space="0" w:color="auto"/>
              <w:left w:val="none" w:sz="0" w:space="0" w:color="auto"/>
              <w:bottom w:val="none" w:sz="0" w:space="0" w:color="auto"/>
              <w:right w:val="none" w:sz="0" w:space="0" w:color="auto"/>
            </w:tcBorders>
          </w:tcPr>
          <w:p>
            <w:r>
              <w:rPr>
                <w:rFonts w:ascii="Times New Roman" w:hAnsi="Times New Roman"/>
                <w:sz w:val="20"/>
              </w:rPr>
              <w:t>Motivation and Scope</w:t>
            </w:r>
          </w:p>
        </w:tc>
        <w:tc>
          <w:tcPr>
            <w:tcW w:type="dxa" w:w="850"/>
            <w:tcBorders>
              <w:top w:val="none" w:sz="0" w:space="0" w:color="auto"/>
              <w:left w:val="none" w:sz="0" w:space="0" w:color="auto"/>
              <w:bottom w:val="none" w:sz="0" w:space="0" w:color="auto"/>
              <w:right w:val="none" w:sz="0" w:space="0" w:color="auto"/>
            </w:tcBorders>
          </w:tcPr>
          <w:p>
            <w:pPr>
              <w:jc w:val="right"/>
            </w:pPr>
            <w:r>
              <w:rPr>
                <w:rFonts w:ascii="Times New Roman" w:hAnsi="Times New Roman"/>
                <w:sz w:val="20"/>
              </w:rPr>
              <w:t>2</w:t>
            </w:r>
          </w:p>
        </w:tc>
      </w:tr>
      <w:tr>
        <w:tc>
          <w:tcPr>
            <w:tcW w:type="dxa" w:w="850"/>
            <w:tcBorders>
              <w:top w:val="none" w:sz="0" w:space="0" w:color="auto"/>
              <w:left w:val="none" w:sz="0" w:space="0" w:color="auto"/>
              <w:bottom w:val="none" w:sz="0" w:space="0" w:color="auto"/>
              <w:right w:val="none" w:sz="0" w:space="0" w:color="auto"/>
            </w:tcBorders>
          </w:tcPr>
          <w:p>
            <w:r>
              <w:rPr>
                <w:rFonts w:ascii="Times New Roman" w:hAnsi="Times New Roman"/>
                <w:sz w:val="20"/>
              </w:rPr>
              <w:t>1.3</w:t>
            </w:r>
          </w:p>
        </w:tc>
        <w:tc>
          <w:tcPr>
            <w:tcW w:type="dxa" w:w="6803"/>
            <w:tcBorders>
              <w:top w:val="none" w:sz="0" w:space="0" w:color="auto"/>
              <w:left w:val="none" w:sz="0" w:space="0" w:color="auto"/>
              <w:bottom w:val="none" w:sz="0" w:space="0" w:color="auto"/>
              <w:right w:val="none" w:sz="0" w:space="0" w:color="auto"/>
            </w:tcBorders>
          </w:tcPr>
          <w:p>
            <w:r>
              <w:rPr>
                <w:rFonts w:ascii="Times New Roman" w:hAnsi="Times New Roman"/>
                <w:sz w:val="20"/>
              </w:rPr>
              <w:t>Problem Statement</w:t>
            </w:r>
          </w:p>
        </w:tc>
        <w:tc>
          <w:tcPr>
            <w:tcW w:type="dxa" w:w="850"/>
            <w:tcBorders>
              <w:top w:val="none" w:sz="0" w:space="0" w:color="auto"/>
              <w:left w:val="none" w:sz="0" w:space="0" w:color="auto"/>
              <w:bottom w:val="none" w:sz="0" w:space="0" w:color="auto"/>
              <w:right w:val="none" w:sz="0" w:space="0" w:color="auto"/>
            </w:tcBorders>
          </w:tcPr>
          <w:p>
            <w:pPr>
              <w:jc w:val="right"/>
            </w:pPr>
            <w:r>
              <w:rPr>
                <w:rFonts w:ascii="Times New Roman" w:hAnsi="Times New Roman"/>
                <w:sz w:val="20"/>
              </w:rPr>
              <w:t>3</w:t>
            </w:r>
          </w:p>
        </w:tc>
      </w:tr>
      <w:tr>
        <w:tc>
          <w:tcPr>
            <w:tcW w:type="dxa" w:w="850"/>
            <w:tcBorders>
              <w:top w:val="none" w:sz="0" w:space="0" w:color="auto"/>
              <w:left w:val="none" w:sz="0" w:space="0" w:color="auto"/>
              <w:bottom w:val="none" w:sz="0" w:space="0" w:color="auto"/>
              <w:right w:val="none" w:sz="0" w:space="0" w:color="auto"/>
            </w:tcBorders>
          </w:tcPr>
          <w:p>
            <w:r>
              <w:rPr>
                <w:rFonts w:ascii="Times New Roman" w:hAnsi="Times New Roman"/>
                <w:sz w:val="20"/>
              </w:rPr>
              <w:t>1.4</w:t>
            </w:r>
          </w:p>
        </w:tc>
        <w:tc>
          <w:tcPr>
            <w:tcW w:type="dxa" w:w="6803"/>
            <w:tcBorders>
              <w:top w:val="none" w:sz="0" w:space="0" w:color="auto"/>
              <w:left w:val="none" w:sz="0" w:space="0" w:color="auto"/>
              <w:bottom w:val="none" w:sz="0" w:space="0" w:color="auto"/>
              <w:right w:val="none" w:sz="0" w:space="0" w:color="auto"/>
            </w:tcBorders>
          </w:tcPr>
          <w:p>
            <w:r>
              <w:rPr>
                <w:rFonts w:ascii="Times New Roman" w:hAnsi="Times New Roman"/>
                <w:sz w:val="20"/>
              </w:rPr>
              <w:t>Salient Contributions</w:t>
            </w:r>
          </w:p>
        </w:tc>
        <w:tc>
          <w:tcPr>
            <w:tcW w:type="dxa" w:w="850"/>
            <w:tcBorders>
              <w:top w:val="none" w:sz="0" w:space="0" w:color="auto"/>
              <w:left w:val="none" w:sz="0" w:space="0" w:color="auto"/>
              <w:bottom w:val="none" w:sz="0" w:space="0" w:color="auto"/>
              <w:right w:val="none" w:sz="0" w:space="0" w:color="auto"/>
            </w:tcBorders>
          </w:tcPr>
          <w:p>
            <w:pPr>
              <w:jc w:val="right"/>
            </w:pPr>
            <w:r>
              <w:rPr>
                <w:rFonts w:ascii="Times New Roman" w:hAnsi="Times New Roman"/>
                <w:sz w:val="20"/>
              </w:rPr>
              <w:t>3</w:t>
            </w:r>
          </w:p>
        </w:tc>
      </w:tr>
      <w:tr>
        <w:tc>
          <w:tcPr>
            <w:tcW w:type="dxa" w:w="850"/>
            <w:tcBorders>
              <w:top w:val="none" w:sz="0" w:space="0" w:color="auto"/>
              <w:left w:val="none" w:sz="0" w:space="0" w:color="auto"/>
              <w:bottom w:val="none" w:sz="0" w:space="0" w:color="auto"/>
              <w:right w:val="none" w:sz="0" w:space="0" w:color="auto"/>
            </w:tcBorders>
          </w:tcPr>
          <w:p>
            <w:r>
              <w:rPr>
                <w:rFonts w:ascii="Times New Roman" w:hAnsi="Times New Roman"/>
                <w:sz w:val="20"/>
              </w:rPr>
              <w:t>1.5</w:t>
            </w:r>
          </w:p>
        </w:tc>
        <w:tc>
          <w:tcPr>
            <w:tcW w:type="dxa" w:w="6803"/>
            <w:tcBorders>
              <w:top w:val="none" w:sz="0" w:space="0" w:color="auto"/>
              <w:left w:val="none" w:sz="0" w:space="0" w:color="auto"/>
              <w:bottom w:val="none" w:sz="0" w:space="0" w:color="auto"/>
              <w:right w:val="none" w:sz="0" w:space="0" w:color="auto"/>
            </w:tcBorders>
          </w:tcPr>
          <w:p>
            <w:r>
              <w:rPr>
                <w:rFonts w:ascii="Times New Roman" w:hAnsi="Times New Roman"/>
                <w:sz w:val="20"/>
              </w:rPr>
              <w:t>Organization of Report</w:t>
            </w:r>
          </w:p>
        </w:tc>
        <w:tc>
          <w:tcPr>
            <w:tcW w:type="dxa" w:w="850"/>
            <w:tcBorders>
              <w:top w:val="none" w:sz="0" w:space="0" w:color="auto"/>
              <w:left w:val="none" w:sz="0" w:space="0" w:color="auto"/>
              <w:bottom w:val="none" w:sz="0" w:space="0" w:color="auto"/>
              <w:right w:val="none" w:sz="0" w:space="0" w:color="auto"/>
            </w:tcBorders>
          </w:tcPr>
          <w:p>
            <w:pPr>
              <w:jc w:val="right"/>
            </w:pPr>
            <w:r>
              <w:rPr>
                <w:rFonts w:ascii="Times New Roman" w:hAnsi="Times New Roman"/>
                <w:sz w:val="20"/>
              </w:rPr>
              <w:t>4</w:t>
            </w:r>
          </w:p>
        </w:tc>
      </w:tr>
      <w:tr>
        <w:tc>
          <w:tcPr>
            <w:tcW w:type="dxa" w:w="850"/>
            <w:tcBorders>
              <w:top w:val="none" w:sz="0" w:space="0" w:color="auto"/>
              <w:left w:val="none" w:sz="0" w:space="0" w:color="auto"/>
              <w:bottom w:val="none" w:sz="0" w:space="0" w:color="auto"/>
              <w:right w:val="none" w:sz="0" w:space="0" w:color="auto"/>
            </w:tcBorders>
          </w:tcPr>
          <w:p>
            <w:r>
              <w:rPr>
                <w:rFonts w:ascii="Times New Roman" w:hAnsi="Times New Roman"/>
                <w:b/>
                <w:sz w:val="20"/>
              </w:rPr>
              <w:t>2</w:t>
            </w:r>
          </w:p>
        </w:tc>
        <w:tc>
          <w:tcPr>
            <w:tcW w:type="dxa" w:w="6803"/>
            <w:tcBorders>
              <w:top w:val="none" w:sz="0" w:space="0" w:color="auto"/>
              <w:left w:val="none" w:sz="0" w:space="0" w:color="auto"/>
              <w:bottom w:val="none" w:sz="0" w:space="0" w:color="auto"/>
              <w:right w:val="none" w:sz="0" w:space="0" w:color="auto"/>
            </w:tcBorders>
          </w:tcPr>
          <w:p>
            <w:r>
              <w:rPr>
                <w:rFonts w:ascii="Times New Roman" w:hAnsi="Times New Roman"/>
                <w:b/>
                <w:sz w:val="20"/>
              </w:rPr>
              <w:t>LITERATURE SURVEY</w:t>
            </w:r>
          </w:p>
        </w:tc>
        <w:tc>
          <w:tcPr>
            <w:tcW w:type="dxa" w:w="850"/>
            <w:tcBorders>
              <w:top w:val="none" w:sz="0" w:space="0" w:color="auto"/>
              <w:left w:val="none" w:sz="0" w:space="0" w:color="auto"/>
              <w:bottom w:val="none" w:sz="0" w:space="0" w:color="auto"/>
              <w:right w:val="none" w:sz="0" w:space="0" w:color="auto"/>
            </w:tcBorders>
          </w:tcPr>
          <w:p>
            <w:pPr>
              <w:jc w:val="right"/>
            </w:pPr>
            <w:r>
              <w:rPr>
                <w:rFonts w:ascii="Times New Roman" w:hAnsi="Times New Roman"/>
                <w:b/>
                <w:sz w:val="20"/>
              </w:rPr>
              <w:t>5</w:t>
            </w:r>
          </w:p>
        </w:tc>
      </w:tr>
      <w:tr>
        <w:tc>
          <w:tcPr>
            <w:tcW w:type="dxa" w:w="850"/>
            <w:tcBorders>
              <w:top w:val="none" w:sz="0" w:space="0" w:color="auto"/>
              <w:left w:val="none" w:sz="0" w:space="0" w:color="auto"/>
              <w:bottom w:val="none" w:sz="0" w:space="0" w:color="auto"/>
              <w:right w:val="none" w:sz="0" w:space="0" w:color="auto"/>
            </w:tcBorders>
          </w:tcPr>
          <w:p>
            <w:r>
              <w:rPr>
                <w:rFonts w:ascii="Times New Roman" w:hAnsi="Times New Roman"/>
                <w:sz w:val="20"/>
              </w:rPr>
              <w:t>2.1</w:t>
            </w:r>
          </w:p>
        </w:tc>
        <w:tc>
          <w:tcPr>
            <w:tcW w:type="dxa" w:w="6803"/>
            <w:tcBorders>
              <w:top w:val="none" w:sz="0" w:space="0" w:color="auto"/>
              <w:left w:val="none" w:sz="0" w:space="0" w:color="auto"/>
              <w:bottom w:val="none" w:sz="0" w:space="0" w:color="auto"/>
              <w:right w:val="none" w:sz="0" w:space="0" w:color="auto"/>
            </w:tcBorders>
          </w:tcPr>
          <w:p>
            <w:r>
              <w:rPr>
                <w:rFonts w:ascii="Times New Roman" w:hAnsi="Times New Roman"/>
                <w:sz w:val="20"/>
              </w:rPr>
              <w:t>Introduction</w:t>
            </w:r>
          </w:p>
        </w:tc>
        <w:tc>
          <w:tcPr>
            <w:tcW w:type="dxa" w:w="850"/>
            <w:tcBorders>
              <w:top w:val="none" w:sz="0" w:space="0" w:color="auto"/>
              <w:left w:val="none" w:sz="0" w:space="0" w:color="auto"/>
              <w:bottom w:val="none" w:sz="0" w:space="0" w:color="auto"/>
              <w:right w:val="none" w:sz="0" w:space="0" w:color="auto"/>
            </w:tcBorders>
          </w:tcPr>
          <w:p>
            <w:pPr>
              <w:jc w:val="right"/>
            </w:pPr>
            <w:r>
              <w:rPr>
                <w:rFonts w:ascii="Times New Roman" w:hAnsi="Times New Roman"/>
                <w:sz w:val="20"/>
              </w:rPr>
              <w:t>5</w:t>
            </w:r>
          </w:p>
        </w:tc>
      </w:tr>
      <w:tr>
        <w:tc>
          <w:tcPr>
            <w:tcW w:type="dxa" w:w="850"/>
            <w:tcBorders>
              <w:top w:val="none" w:sz="0" w:space="0" w:color="auto"/>
              <w:left w:val="none" w:sz="0" w:space="0" w:color="auto"/>
              <w:bottom w:val="none" w:sz="0" w:space="0" w:color="auto"/>
              <w:right w:val="none" w:sz="0" w:space="0" w:color="auto"/>
            </w:tcBorders>
          </w:tcPr>
          <w:p>
            <w:r>
              <w:rPr>
                <w:rFonts w:ascii="Times New Roman" w:hAnsi="Times New Roman"/>
                <w:sz w:val="20"/>
              </w:rPr>
              <w:t>2.2</w:t>
            </w:r>
          </w:p>
        </w:tc>
        <w:tc>
          <w:tcPr>
            <w:tcW w:type="dxa" w:w="6803"/>
            <w:tcBorders>
              <w:top w:val="none" w:sz="0" w:space="0" w:color="auto"/>
              <w:left w:val="none" w:sz="0" w:space="0" w:color="auto"/>
              <w:bottom w:val="none" w:sz="0" w:space="0" w:color="auto"/>
              <w:right w:val="none" w:sz="0" w:space="0" w:color="auto"/>
            </w:tcBorders>
          </w:tcPr>
          <w:p>
            <w:r>
              <w:rPr>
                <w:rFonts w:ascii="Times New Roman" w:hAnsi="Times New Roman"/>
                <w:sz w:val="20"/>
              </w:rPr>
              <w:t>Literature Survey</w:t>
            </w:r>
          </w:p>
        </w:tc>
        <w:tc>
          <w:tcPr>
            <w:tcW w:type="dxa" w:w="850"/>
            <w:tcBorders>
              <w:top w:val="none" w:sz="0" w:space="0" w:color="auto"/>
              <w:left w:val="none" w:sz="0" w:space="0" w:color="auto"/>
              <w:bottom w:val="none" w:sz="0" w:space="0" w:color="auto"/>
              <w:right w:val="none" w:sz="0" w:space="0" w:color="auto"/>
            </w:tcBorders>
          </w:tcPr>
          <w:p>
            <w:pPr>
              <w:jc w:val="right"/>
            </w:pPr>
            <w:r>
              <w:rPr>
                <w:rFonts w:ascii="Times New Roman" w:hAnsi="Times New Roman"/>
                <w:sz w:val="20"/>
              </w:rPr>
              <w:t>5</w:t>
            </w:r>
          </w:p>
        </w:tc>
      </w:tr>
      <w:tr>
        <w:tc>
          <w:tcPr>
            <w:tcW w:type="dxa" w:w="850"/>
            <w:tcBorders>
              <w:top w:val="none" w:sz="0" w:space="0" w:color="auto"/>
              <w:left w:val="none" w:sz="0" w:space="0" w:color="auto"/>
              <w:bottom w:val="none" w:sz="0" w:space="0" w:color="auto"/>
              <w:right w:val="none" w:sz="0" w:space="0" w:color="auto"/>
            </w:tcBorders>
          </w:tcPr>
          <w:p>
            <w:r>
              <w:rPr>
                <w:rFonts w:ascii="Times New Roman" w:hAnsi="Times New Roman"/>
                <w:sz w:val="20"/>
              </w:rPr>
              <w:t>2.3</w:t>
            </w:r>
          </w:p>
        </w:tc>
        <w:tc>
          <w:tcPr>
            <w:tcW w:type="dxa" w:w="6803"/>
            <w:tcBorders>
              <w:top w:val="none" w:sz="0" w:space="0" w:color="auto"/>
              <w:left w:val="none" w:sz="0" w:space="0" w:color="auto"/>
              <w:bottom w:val="none" w:sz="0" w:space="0" w:color="auto"/>
              <w:right w:val="none" w:sz="0" w:space="0" w:color="auto"/>
            </w:tcBorders>
          </w:tcPr>
          <w:p>
            <w:r>
              <w:rPr>
                <w:rFonts w:ascii="Times New Roman" w:hAnsi="Times New Roman"/>
                <w:sz w:val="20"/>
              </w:rPr>
              <w:t>Identified Research Gap</w:t>
            </w:r>
          </w:p>
        </w:tc>
        <w:tc>
          <w:tcPr>
            <w:tcW w:type="dxa" w:w="850"/>
            <w:tcBorders>
              <w:top w:val="none" w:sz="0" w:space="0" w:color="auto"/>
              <w:left w:val="none" w:sz="0" w:space="0" w:color="auto"/>
              <w:bottom w:val="none" w:sz="0" w:space="0" w:color="auto"/>
              <w:right w:val="none" w:sz="0" w:space="0" w:color="auto"/>
            </w:tcBorders>
          </w:tcPr>
          <w:p>
            <w:pPr>
              <w:jc w:val="right"/>
            </w:pPr>
            <w:r>
              <w:rPr>
                <w:rFonts w:ascii="Times New Roman" w:hAnsi="Times New Roman"/>
                <w:sz w:val="20"/>
              </w:rPr>
              <w:t>7</w:t>
            </w:r>
          </w:p>
        </w:tc>
      </w:tr>
      <w:tr>
        <w:tc>
          <w:tcPr>
            <w:tcW w:type="dxa" w:w="850"/>
            <w:tcBorders>
              <w:top w:val="none" w:sz="0" w:space="0" w:color="auto"/>
              <w:left w:val="none" w:sz="0" w:space="0" w:color="auto"/>
              <w:bottom w:val="none" w:sz="0" w:space="0" w:color="auto"/>
              <w:right w:val="none" w:sz="0" w:space="0" w:color="auto"/>
            </w:tcBorders>
          </w:tcPr>
          <w:p>
            <w:r>
              <w:rPr>
                <w:rFonts w:ascii="Times New Roman" w:hAnsi="Times New Roman"/>
                <w:b/>
                <w:sz w:val="20"/>
              </w:rPr>
              <w:t>3</w:t>
            </w:r>
          </w:p>
        </w:tc>
        <w:tc>
          <w:tcPr>
            <w:tcW w:type="dxa" w:w="6803"/>
            <w:tcBorders>
              <w:top w:val="none" w:sz="0" w:space="0" w:color="auto"/>
              <w:left w:val="none" w:sz="0" w:space="0" w:color="auto"/>
              <w:bottom w:val="none" w:sz="0" w:space="0" w:color="auto"/>
              <w:right w:val="none" w:sz="0" w:space="0" w:color="auto"/>
            </w:tcBorders>
          </w:tcPr>
          <w:p>
            <w:r>
              <w:rPr>
                <w:rFonts w:ascii="Times New Roman" w:hAnsi="Times New Roman"/>
                <w:b/>
                <w:sz w:val="20"/>
              </w:rPr>
              <w:t>METHODOLOGY AND IMPLEMENTATION</w:t>
            </w:r>
          </w:p>
        </w:tc>
        <w:tc>
          <w:tcPr>
            <w:tcW w:type="dxa" w:w="850"/>
            <w:tcBorders>
              <w:top w:val="none" w:sz="0" w:space="0" w:color="auto"/>
              <w:left w:val="none" w:sz="0" w:space="0" w:color="auto"/>
              <w:bottom w:val="none" w:sz="0" w:space="0" w:color="auto"/>
              <w:right w:val="none" w:sz="0" w:space="0" w:color="auto"/>
            </w:tcBorders>
          </w:tcPr>
          <w:p>
            <w:pPr>
              <w:jc w:val="right"/>
            </w:pPr>
            <w:r>
              <w:rPr>
                <w:rFonts w:ascii="Times New Roman" w:hAnsi="Times New Roman"/>
                <w:b/>
                <w:sz w:val="20"/>
              </w:rPr>
              <w:t>8</w:t>
            </w:r>
          </w:p>
        </w:tc>
      </w:tr>
      <w:tr>
        <w:tc>
          <w:tcPr>
            <w:tcW w:type="dxa" w:w="850"/>
            <w:tcBorders>
              <w:top w:val="none" w:sz="0" w:space="0" w:color="auto"/>
              <w:left w:val="none" w:sz="0" w:space="0" w:color="auto"/>
              <w:bottom w:val="none" w:sz="0" w:space="0" w:color="auto"/>
              <w:right w:val="none" w:sz="0" w:space="0" w:color="auto"/>
            </w:tcBorders>
          </w:tcPr>
          <w:p>
            <w:r>
              <w:rPr>
                <w:rFonts w:ascii="Times New Roman" w:hAnsi="Times New Roman"/>
                <w:sz w:val="20"/>
              </w:rPr>
              <w:t>3.1</w:t>
            </w:r>
          </w:p>
        </w:tc>
        <w:tc>
          <w:tcPr>
            <w:tcW w:type="dxa" w:w="6803"/>
            <w:tcBorders>
              <w:top w:val="none" w:sz="0" w:space="0" w:color="auto"/>
              <w:left w:val="none" w:sz="0" w:space="0" w:color="auto"/>
              <w:bottom w:val="none" w:sz="0" w:space="0" w:color="auto"/>
              <w:right w:val="none" w:sz="0" w:space="0" w:color="auto"/>
            </w:tcBorders>
          </w:tcPr>
          <w:p>
            <w:r>
              <w:rPr>
                <w:rFonts w:ascii="Times New Roman" w:hAnsi="Times New Roman"/>
                <w:sz w:val="20"/>
              </w:rPr>
              <w:t>System Architecture</w:t>
            </w:r>
          </w:p>
        </w:tc>
        <w:tc>
          <w:tcPr>
            <w:tcW w:type="dxa" w:w="850"/>
            <w:tcBorders>
              <w:top w:val="none" w:sz="0" w:space="0" w:color="auto"/>
              <w:left w:val="none" w:sz="0" w:space="0" w:color="auto"/>
              <w:bottom w:val="none" w:sz="0" w:space="0" w:color="auto"/>
              <w:right w:val="none" w:sz="0" w:space="0" w:color="auto"/>
            </w:tcBorders>
          </w:tcPr>
          <w:p>
            <w:pPr>
              <w:jc w:val="right"/>
            </w:pPr>
            <w:r>
              <w:rPr>
                <w:rFonts w:ascii="Times New Roman" w:hAnsi="Times New Roman"/>
                <w:sz w:val="20"/>
              </w:rPr>
              <w:t>8</w:t>
            </w:r>
          </w:p>
        </w:tc>
      </w:tr>
      <w:tr>
        <w:tc>
          <w:tcPr>
            <w:tcW w:type="dxa" w:w="850"/>
            <w:tcBorders>
              <w:top w:val="none" w:sz="0" w:space="0" w:color="auto"/>
              <w:left w:val="none" w:sz="0" w:space="0" w:color="auto"/>
              <w:bottom w:val="none" w:sz="0" w:space="0" w:color="auto"/>
              <w:right w:val="none" w:sz="0" w:space="0" w:color="auto"/>
            </w:tcBorders>
          </w:tcPr>
          <w:p>
            <w:r>
              <w:rPr>
                <w:rFonts w:ascii="Times New Roman" w:hAnsi="Times New Roman"/>
                <w:sz w:val="20"/>
              </w:rPr>
              <w:t>3.2</w:t>
            </w:r>
          </w:p>
        </w:tc>
        <w:tc>
          <w:tcPr>
            <w:tcW w:type="dxa" w:w="6803"/>
            <w:tcBorders>
              <w:top w:val="none" w:sz="0" w:space="0" w:color="auto"/>
              <w:left w:val="none" w:sz="0" w:space="0" w:color="auto"/>
              <w:bottom w:val="none" w:sz="0" w:space="0" w:color="auto"/>
              <w:right w:val="none" w:sz="0" w:space="0" w:color="auto"/>
            </w:tcBorders>
          </w:tcPr>
          <w:p>
            <w:r>
              <w:rPr>
                <w:rFonts w:ascii="Times New Roman" w:hAnsi="Times New Roman"/>
                <w:sz w:val="20"/>
              </w:rPr>
              <w:t>Hardware and Software</w:t>
            </w:r>
          </w:p>
        </w:tc>
        <w:tc>
          <w:tcPr>
            <w:tcW w:type="dxa" w:w="850"/>
            <w:tcBorders>
              <w:top w:val="none" w:sz="0" w:space="0" w:color="auto"/>
              <w:left w:val="none" w:sz="0" w:space="0" w:color="auto"/>
              <w:bottom w:val="none" w:sz="0" w:space="0" w:color="auto"/>
              <w:right w:val="none" w:sz="0" w:space="0" w:color="auto"/>
            </w:tcBorders>
          </w:tcPr>
          <w:p>
            <w:pPr>
              <w:jc w:val="right"/>
            </w:pPr>
            <w:r>
              <w:rPr>
                <w:rFonts w:ascii="Times New Roman" w:hAnsi="Times New Roman"/>
                <w:sz w:val="20"/>
              </w:rPr>
              <w:t>9</w:t>
            </w:r>
          </w:p>
        </w:tc>
      </w:tr>
      <w:tr>
        <w:tc>
          <w:tcPr>
            <w:tcW w:type="dxa" w:w="850"/>
            <w:tcBorders>
              <w:top w:val="none" w:sz="0" w:space="0" w:color="auto"/>
              <w:left w:val="none" w:sz="0" w:space="0" w:color="auto"/>
              <w:bottom w:val="none" w:sz="0" w:space="0" w:color="auto"/>
              <w:right w:val="none" w:sz="0" w:space="0" w:color="auto"/>
            </w:tcBorders>
          </w:tcPr>
          <w:p>
            <w:r>
              <w:rPr>
                <w:rFonts w:ascii="Times New Roman" w:hAnsi="Times New Roman"/>
                <w:sz w:val="20"/>
              </w:rPr>
              <w:t>3.3</w:t>
            </w:r>
          </w:p>
        </w:tc>
        <w:tc>
          <w:tcPr>
            <w:tcW w:type="dxa" w:w="6803"/>
            <w:tcBorders>
              <w:top w:val="none" w:sz="0" w:space="0" w:color="auto"/>
              <w:left w:val="none" w:sz="0" w:space="0" w:color="auto"/>
              <w:bottom w:val="none" w:sz="0" w:space="0" w:color="auto"/>
              <w:right w:val="none" w:sz="0" w:space="0" w:color="auto"/>
            </w:tcBorders>
          </w:tcPr>
          <w:p>
            <w:r>
              <w:rPr>
                <w:rFonts w:ascii="Times New Roman" w:hAnsi="Times New Roman"/>
                <w:sz w:val="20"/>
              </w:rPr>
              <w:t>Document Ingestion Pipeline</w:t>
            </w:r>
          </w:p>
        </w:tc>
        <w:tc>
          <w:tcPr>
            <w:tcW w:type="dxa" w:w="850"/>
            <w:tcBorders>
              <w:top w:val="none" w:sz="0" w:space="0" w:color="auto"/>
              <w:left w:val="none" w:sz="0" w:space="0" w:color="auto"/>
              <w:bottom w:val="none" w:sz="0" w:space="0" w:color="auto"/>
              <w:right w:val="none" w:sz="0" w:space="0" w:color="auto"/>
            </w:tcBorders>
          </w:tcPr>
          <w:p>
            <w:pPr>
              <w:jc w:val="right"/>
            </w:pPr>
            <w:r>
              <w:rPr>
                <w:rFonts w:ascii="Times New Roman" w:hAnsi="Times New Roman"/>
                <w:sz w:val="20"/>
              </w:rPr>
              <w:t>10</w:t>
            </w:r>
          </w:p>
        </w:tc>
      </w:tr>
      <w:tr>
        <w:tc>
          <w:tcPr>
            <w:tcW w:type="dxa" w:w="850"/>
            <w:tcBorders>
              <w:top w:val="none" w:sz="0" w:space="0" w:color="auto"/>
              <w:left w:val="none" w:sz="0" w:space="0" w:color="auto"/>
              <w:bottom w:val="none" w:sz="0" w:space="0" w:color="auto"/>
              <w:right w:val="none" w:sz="0" w:space="0" w:color="auto"/>
            </w:tcBorders>
          </w:tcPr>
          <w:p>
            <w:r>
              <w:rPr>
                <w:rFonts w:ascii="Times New Roman" w:hAnsi="Times New Roman"/>
                <w:sz w:val="20"/>
              </w:rPr>
              <w:t>3.4</w:t>
            </w:r>
          </w:p>
        </w:tc>
        <w:tc>
          <w:tcPr>
            <w:tcW w:type="dxa" w:w="6803"/>
            <w:tcBorders>
              <w:top w:val="none" w:sz="0" w:space="0" w:color="auto"/>
              <w:left w:val="none" w:sz="0" w:space="0" w:color="auto"/>
              <w:bottom w:val="none" w:sz="0" w:space="0" w:color="auto"/>
              <w:right w:val="none" w:sz="0" w:space="0" w:color="auto"/>
            </w:tcBorders>
          </w:tcPr>
          <w:p>
            <w:r>
              <w:rPr>
                <w:rFonts w:ascii="Times New Roman" w:hAnsi="Times New Roman"/>
                <w:sz w:val="20"/>
              </w:rPr>
              <w:t>ESG Standards Parsing</w:t>
            </w:r>
          </w:p>
        </w:tc>
        <w:tc>
          <w:tcPr>
            <w:tcW w:type="dxa" w:w="850"/>
            <w:tcBorders>
              <w:top w:val="none" w:sz="0" w:space="0" w:color="auto"/>
              <w:left w:val="none" w:sz="0" w:space="0" w:color="auto"/>
              <w:bottom w:val="none" w:sz="0" w:space="0" w:color="auto"/>
              <w:right w:val="none" w:sz="0" w:space="0" w:color="auto"/>
            </w:tcBorders>
          </w:tcPr>
          <w:p>
            <w:pPr>
              <w:jc w:val="right"/>
            </w:pPr>
            <w:r>
              <w:rPr>
                <w:rFonts w:ascii="Times New Roman" w:hAnsi="Times New Roman"/>
                <w:sz w:val="20"/>
              </w:rPr>
              <w:t>11</w:t>
            </w:r>
          </w:p>
        </w:tc>
      </w:tr>
      <w:tr>
        <w:tc>
          <w:tcPr>
            <w:tcW w:type="dxa" w:w="850"/>
            <w:tcBorders>
              <w:top w:val="none" w:sz="0" w:space="0" w:color="auto"/>
              <w:left w:val="none" w:sz="0" w:space="0" w:color="auto"/>
              <w:bottom w:val="none" w:sz="0" w:space="0" w:color="auto"/>
              <w:right w:val="none" w:sz="0" w:space="0" w:color="auto"/>
            </w:tcBorders>
          </w:tcPr>
          <w:p>
            <w:r>
              <w:rPr>
                <w:rFonts w:ascii="Times New Roman" w:hAnsi="Times New Roman"/>
                <w:sz w:val="20"/>
              </w:rPr>
              <w:t>3.5</w:t>
            </w:r>
          </w:p>
        </w:tc>
        <w:tc>
          <w:tcPr>
            <w:tcW w:type="dxa" w:w="6803"/>
            <w:tcBorders>
              <w:top w:val="none" w:sz="0" w:space="0" w:color="auto"/>
              <w:left w:val="none" w:sz="0" w:space="0" w:color="auto"/>
              <w:bottom w:val="none" w:sz="0" w:space="0" w:color="auto"/>
              <w:right w:val="none" w:sz="0" w:space="0" w:color="auto"/>
            </w:tcBorders>
          </w:tcPr>
          <w:p>
            <w:r>
              <w:rPr>
                <w:rFonts w:ascii="Times New Roman" w:hAnsi="Times New Roman"/>
                <w:sz w:val="20"/>
              </w:rPr>
              <w:t>Compliance Evaluation Pipeline</w:t>
            </w:r>
          </w:p>
        </w:tc>
        <w:tc>
          <w:tcPr>
            <w:tcW w:type="dxa" w:w="850"/>
            <w:tcBorders>
              <w:top w:val="none" w:sz="0" w:space="0" w:color="auto"/>
              <w:left w:val="none" w:sz="0" w:space="0" w:color="auto"/>
              <w:bottom w:val="none" w:sz="0" w:space="0" w:color="auto"/>
              <w:right w:val="none" w:sz="0" w:space="0" w:color="auto"/>
            </w:tcBorders>
          </w:tcPr>
          <w:p>
            <w:pPr>
              <w:jc w:val="right"/>
            </w:pPr>
            <w:r>
              <w:rPr>
                <w:rFonts w:ascii="Times New Roman" w:hAnsi="Times New Roman"/>
                <w:sz w:val="20"/>
              </w:rPr>
              <w:t>12</w:t>
            </w:r>
          </w:p>
        </w:tc>
      </w:tr>
      <w:tr>
        <w:tc>
          <w:tcPr>
            <w:tcW w:type="dxa" w:w="850"/>
            <w:tcBorders>
              <w:top w:val="none" w:sz="0" w:space="0" w:color="auto"/>
              <w:left w:val="none" w:sz="0" w:space="0" w:color="auto"/>
              <w:bottom w:val="none" w:sz="0" w:space="0" w:color="auto"/>
              <w:right w:val="none" w:sz="0" w:space="0" w:color="auto"/>
            </w:tcBorders>
          </w:tcPr>
          <w:p>
            <w:r>
              <w:rPr>
                <w:rFonts w:ascii="Times New Roman" w:hAnsi="Times New Roman"/>
                <w:sz w:val="20"/>
              </w:rPr>
              <w:t>3.6</w:t>
            </w:r>
          </w:p>
        </w:tc>
        <w:tc>
          <w:tcPr>
            <w:tcW w:type="dxa" w:w="6803"/>
            <w:tcBorders>
              <w:top w:val="none" w:sz="0" w:space="0" w:color="auto"/>
              <w:left w:val="none" w:sz="0" w:space="0" w:color="auto"/>
              <w:bottom w:val="none" w:sz="0" w:space="0" w:color="auto"/>
              <w:right w:val="none" w:sz="0" w:space="0" w:color="auto"/>
            </w:tcBorders>
          </w:tcPr>
          <w:p>
            <w:r>
              <w:rPr>
                <w:rFonts w:ascii="Times New Roman" w:hAnsi="Times New Roman"/>
                <w:sz w:val="20"/>
              </w:rPr>
              <w:t>Agentic AI Pipeline</w:t>
            </w:r>
          </w:p>
        </w:tc>
        <w:tc>
          <w:tcPr>
            <w:tcW w:type="dxa" w:w="850"/>
            <w:tcBorders>
              <w:top w:val="none" w:sz="0" w:space="0" w:color="auto"/>
              <w:left w:val="none" w:sz="0" w:space="0" w:color="auto"/>
              <w:bottom w:val="none" w:sz="0" w:space="0" w:color="auto"/>
              <w:right w:val="none" w:sz="0" w:space="0" w:color="auto"/>
            </w:tcBorders>
          </w:tcPr>
          <w:p>
            <w:pPr>
              <w:jc w:val="right"/>
            </w:pPr>
            <w:r>
              <w:rPr>
                <w:rFonts w:ascii="Times New Roman" w:hAnsi="Times New Roman"/>
                <w:sz w:val="20"/>
              </w:rPr>
              <w:t>15</w:t>
            </w:r>
          </w:p>
        </w:tc>
      </w:tr>
      <w:tr>
        <w:tc>
          <w:tcPr>
            <w:tcW w:type="dxa" w:w="850"/>
            <w:tcBorders>
              <w:top w:val="none" w:sz="0" w:space="0" w:color="auto"/>
              <w:left w:val="none" w:sz="0" w:space="0" w:color="auto"/>
              <w:bottom w:val="none" w:sz="0" w:space="0" w:color="auto"/>
              <w:right w:val="none" w:sz="0" w:space="0" w:color="auto"/>
            </w:tcBorders>
          </w:tcPr>
          <w:p>
            <w:r>
              <w:rPr>
                <w:rFonts w:ascii="Times New Roman" w:hAnsi="Times New Roman"/>
                <w:sz w:val="20"/>
              </w:rPr>
              <w:t>3.7</w:t>
            </w:r>
          </w:p>
        </w:tc>
        <w:tc>
          <w:tcPr>
            <w:tcW w:type="dxa" w:w="6803"/>
            <w:tcBorders>
              <w:top w:val="none" w:sz="0" w:space="0" w:color="auto"/>
              <w:left w:val="none" w:sz="0" w:space="0" w:color="auto"/>
              <w:bottom w:val="none" w:sz="0" w:space="0" w:color="auto"/>
              <w:right w:val="none" w:sz="0" w:space="0" w:color="auto"/>
            </w:tcBorders>
          </w:tcPr>
          <w:p>
            <w:r>
              <w:rPr>
                <w:rFonts w:ascii="Times New Roman" w:hAnsi="Times New Roman"/>
                <w:sz w:val="20"/>
              </w:rPr>
              <w:t>Ground Truth and Accuracy Evaluation</w:t>
            </w:r>
          </w:p>
        </w:tc>
        <w:tc>
          <w:tcPr>
            <w:tcW w:type="dxa" w:w="850"/>
            <w:tcBorders>
              <w:top w:val="none" w:sz="0" w:space="0" w:color="auto"/>
              <w:left w:val="none" w:sz="0" w:space="0" w:color="auto"/>
              <w:bottom w:val="none" w:sz="0" w:space="0" w:color="auto"/>
              <w:right w:val="none" w:sz="0" w:space="0" w:color="auto"/>
            </w:tcBorders>
          </w:tcPr>
          <w:p>
            <w:pPr>
              <w:jc w:val="right"/>
            </w:pPr>
            <w:r>
              <w:rPr>
                <w:rFonts w:ascii="Times New Roman" w:hAnsi="Times New Roman"/>
                <w:sz w:val="20"/>
              </w:rPr>
              <w:t>16</w:t>
            </w:r>
          </w:p>
        </w:tc>
      </w:tr>
      <w:tr>
        <w:tc>
          <w:tcPr>
            <w:tcW w:type="dxa" w:w="850"/>
            <w:tcBorders>
              <w:top w:val="none" w:sz="0" w:space="0" w:color="auto"/>
              <w:left w:val="none" w:sz="0" w:space="0" w:color="auto"/>
              <w:bottom w:val="none" w:sz="0" w:space="0" w:color="auto"/>
              <w:right w:val="none" w:sz="0" w:space="0" w:color="auto"/>
            </w:tcBorders>
          </w:tcPr>
          <w:p>
            <w:r>
              <w:rPr>
                <w:rFonts w:ascii="Times New Roman" w:hAnsi="Times New Roman"/>
                <w:sz w:val="20"/>
              </w:rPr>
              <w:t>3.8</w:t>
            </w:r>
          </w:p>
        </w:tc>
        <w:tc>
          <w:tcPr>
            <w:tcW w:type="dxa" w:w="6803"/>
            <w:tcBorders>
              <w:top w:val="none" w:sz="0" w:space="0" w:color="auto"/>
              <w:left w:val="none" w:sz="0" w:space="0" w:color="auto"/>
              <w:bottom w:val="none" w:sz="0" w:space="0" w:color="auto"/>
              <w:right w:val="none" w:sz="0" w:space="0" w:color="auto"/>
            </w:tcBorders>
          </w:tcPr>
          <w:p>
            <w:r>
              <w:rPr>
                <w:rFonts w:ascii="Times New Roman" w:hAnsi="Times New Roman"/>
                <w:sz w:val="20"/>
              </w:rPr>
              <w:t>Frontend and Human-in-the-Loop</w:t>
            </w:r>
          </w:p>
        </w:tc>
        <w:tc>
          <w:tcPr>
            <w:tcW w:type="dxa" w:w="850"/>
            <w:tcBorders>
              <w:top w:val="none" w:sz="0" w:space="0" w:color="auto"/>
              <w:left w:val="none" w:sz="0" w:space="0" w:color="auto"/>
              <w:bottom w:val="none" w:sz="0" w:space="0" w:color="auto"/>
              <w:right w:val="none" w:sz="0" w:space="0" w:color="auto"/>
            </w:tcBorders>
          </w:tcPr>
          <w:p>
            <w:pPr>
              <w:jc w:val="right"/>
            </w:pPr>
            <w:r>
              <w:rPr>
                <w:rFonts w:ascii="Times New Roman" w:hAnsi="Times New Roman"/>
                <w:sz w:val="20"/>
              </w:rPr>
              <w:t>17</w:t>
            </w:r>
          </w:p>
        </w:tc>
      </w:tr>
      <w:tr>
        <w:tc>
          <w:tcPr>
            <w:tcW w:type="dxa" w:w="850"/>
            <w:tcBorders>
              <w:top w:val="none" w:sz="0" w:space="0" w:color="auto"/>
              <w:left w:val="none" w:sz="0" w:space="0" w:color="auto"/>
              <w:bottom w:val="none" w:sz="0" w:space="0" w:color="auto"/>
              <w:right w:val="none" w:sz="0" w:space="0" w:color="auto"/>
            </w:tcBorders>
          </w:tcPr>
          <w:p>
            <w:r>
              <w:rPr>
                <w:rFonts w:ascii="Times New Roman" w:hAnsi="Times New Roman"/>
                <w:sz w:val="20"/>
              </w:rPr>
              <w:t>3.9</w:t>
            </w:r>
          </w:p>
        </w:tc>
        <w:tc>
          <w:tcPr>
            <w:tcW w:type="dxa" w:w="6803"/>
            <w:tcBorders>
              <w:top w:val="none" w:sz="0" w:space="0" w:color="auto"/>
              <w:left w:val="none" w:sz="0" w:space="0" w:color="auto"/>
              <w:bottom w:val="none" w:sz="0" w:space="0" w:color="auto"/>
              <w:right w:val="none" w:sz="0" w:space="0" w:color="auto"/>
            </w:tcBorders>
          </w:tcPr>
          <w:p>
            <w:r>
              <w:rPr>
                <w:rFonts w:ascii="Times New Roman" w:hAnsi="Times New Roman"/>
                <w:sz w:val="20"/>
              </w:rPr>
              <w:t>Real-Time Streaming Evaluation</w:t>
            </w:r>
          </w:p>
        </w:tc>
        <w:tc>
          <w:tcPr>
            <w:tcW w:type="dxa" w:w="850"/>
            <w:tcBorders>
              <w:top w:val="none" w:sz="0" w:space="0" w:color="auto"/>
              <w:left w:val="none" w:sz="0" w:space="0" w:color="auto"/>
              <w:bottom w:val="none" w:sz="0" w:space="0" w:color="auto"/>
              <w:right w:val="none" w:sz="0" w:space="0" w:color="auto"/>
            </w:tcBorders>
          </w:tcPr>
          <w:p>
            <w:pPr>
              <w:jc w:val="right"/>
            </w:pPr>
            <w:r>
              <w:rPr>
                <w:rFonts w:ascii="Times New Roman" w:hAnsi="Times New Roman"/>
                <w:sz w:val="20"/>
              </w:rPr>
              <w:t/>
            </w:r>
          </w:p>
        </w:tc>
      </w:tr>
      <w:tr>
        <w:tc>
          <w:tcPr>
            <w:tcW w:type="dxa" w:w="850"/>
            <w:tcBorders>
              <w:top w:val="none" w:sz="0" w:space="0" w:color="auto"/>
              <w:left w:val="none" w:sz="0" w:space="0" w:color="auto"/>
              <w:bottom w:val="none" w:sz="0" w:space="0" w:color="auto"/>
              <w:right w:val="none" w:sz="0" w:space="0" w:color="auto"/>
            </w:tcBorders>
          </w:tcPr>
          <w:p>
            <w:r>
              <w:rPr>
                <w:rFonts w:ascii="Times New Roman" w:hAnsi="Times New Roman"/>
                <w:sz w:val="20"/>
              </w:rPr>
              <w:t>3.10</w:t>
            </w:r>
          </w:p>
        </w:tc>
        <w:tc>
          <w:tcPr>
            <w:tcW w:type="dxa" w:w="6803"/>
            <w:tcBorders>
              <w:top w:val="none" w:sz="0" w:space="0" w:color="auto"/>
              <w:left w:val="none" w:sz="0" w:space="0" w:color="auto"/>
              <w:bottom w:val="none" w:sz="0" w:space="0" w:color="auto"/>
              <w:right w:val="none" w:sz="0" w:space="0" w:color="auto"/>
            </w:tcBorders>
          </w:tcPr>
          <w:p>
            <w:r>
              <w:rPr>
                <w:rFonts w:ascii="Times New Roman" w:hAnsi="Times New Roman"/>
                <w:sz w:val="20"/>
              </w:rPr>
              <w:t>RAG-Based Document Chat</w:t>
            </w:r>
          </w:p>
        </w:tc>
        <w:tc>
          <w:tcPr>
            <w:tcW w:type="dxa" w:w="850"/>
            <w:tcBorders>
              <w:top w:val="none" w:sz="0" w:space="0" w:color="auto"/>
              <w:left w:val="none" w:sz="0" w:space="0" w:color="auto"/>
              <w:bottom w:val="none" w:sz="0" w:space="0" w:color="auto"/>
              <w:right w:val="none" w:sz="0" w:space="0" w:color="auto"/>
            </w:tcBorders>
          </w:tcPr>
          <w:p>
            <w:pPr>
              <w:jc w:val="right"/>
            </w:pPr>
            <w:r>
              <w:rPr>
                <w:rFonts w:ascii="Times New Roman" w:hAnsi="Times New Roman"/>
                <w:sz w:val="20"/>
              </w:rPr>
              <w:t/>
            </w:r>
          </w:p>
        </w:tc>
      </w:tr>
      <w:tr>
        <w:tc>
          <w:tcPr>
            <w:tcW w:type="dxa" w:w="850"/>
            <w:tcBorders>
              <w:top w:val="none" w:sz="0" w:space="0" w:color="auto"/>
              <w:left w:val="none" w:sz="0" w:space="0" w:color="auto"/>
              <w:bottom w:val="none" w:sz="0" w:space="0" w:color="auto"/>
              <w:right w:val="none" w:sz="0" w:space="0" w:color="auto"/>
            </w:tcBorders>
          </w:tcPr>
          <w:p>
            <w:r>
              <w:rPr>
                <w:rFonts w:ascii="Times New Roman" w:hAnsi="Times New Roman"/>
                <w:sz w:val="20"/>
              </w:rPr>
              <w:t>3.11</w:t>
            </w:r>
          </w:p>
        </w:tc>
        <w:tc>
          <w:tcPr>
            <w:tcW w:type="dxa" w:w="6803"/>
            <w:tcBorders>
              <w:top w:val="none" w:sz="0" w:space="0" w:color="auto"/>
              <w:left w:val="none" w:sz="0" w:space="0" w:color="auto"/>
              <w:bottom w:val="none" w:sz="0" w:space="0" w:color="auto"/>
              <w:right w:val="none" w:sz="0" w:space="0" w:color="auto"/>
            </w:tcBorders>
          </w:tcPr>
          <w:p>
            <w:r>
              <w:rPr>
                <w:rFonts w:ascii="Times New Roman" w:hAnsi="Times New Roman"/>
                <w:sz w:val="20"/>
              </w:rPr>
              <w:t>Gap Analysis and Action Plan Generation</w:t>
            </w:r>
          </w:p>
        </w:tc>
        <w:tc>
          <w:tcPr>
            <w:tcW w:type="dxa" w:w="850"/>
            <w:tcBorders>
              <w:top w:val="none" w:sz="0" w:space="0" w:color="auto"/>
              <w:left w:val="none" w:sz="0" w:space="0" w:color="auto"/>
              <w:bottom w:val="none" w:sz="0" w:space="0" w:color="auto"/>
              <w:right w:val="none" w:sz="0" w:space="0" w:color="auto"/>
            </w:tcBorders>
          </w:tcPr>
          <w:p>
            <w:pPr>
              <w:jc w:val="right"/>
            </w:pPr>
            <w:r>
              <w:rPr>
                <w:rFonts w:ascii="Times New Roman" w:hAnsi="Times New Roman"/>
                <w:sz w:val="20"/>
              </w:rPr>
              <w:t/>
            </w:r>
          </w:p>
        </w:tc>
      </w:tr>
      <w:tr>
        <w:tc>
          <w:tcPr>
            <w:tcW w:type="dxa" w:w="850"/>
            <w:tcBorders>
              <w:top w:val="none" w:sz="0" w:space="0" w:color="auto"/>
              <w:left w:val="none" w:sz="0" w:space="0" w:color="auto"/>
              <w:bottom w:val="none" w:sz="0" w:space="0" w:color="auto"/>
              <w:right w:val="none" w:sz="0" w:space="0" w:color="auto"/>
            </w:tcBorders>
          </w:tcPr>
          <w:p>
            <w:r>
              <w:rPr>
                <w:rFonts w:ascii="Times New Roman" w:hAnsi="Times New Roman"/>
                <w:sz w:val="20"/>
              </w:rPr>
              <w:t>3.12</w:t>
            </w:r>
          </w:p>
        </w:tc>
        <w:tc>
          <w:tcPr>
            <w:tcW w:type="dxa" w:w="6803"/>
            <w:tcBorders>
              <w:top w:val="none" w:sz="0" w:space="0" w:color="auto"/>
              <w:left w:val="none" w:sz="0" w:space="0" w:color="auto"/>
              <w:bottom w:val="none" w:sz="0" w:space="0" w:color="auto"/>
              <w:right w:val="none" w:sz="0" w:space="0" w:color="auto"/>
            </w:tcBorders>
          </w:tcPr>
          <w:p>
            <w:r>
              <w:rPr>
                <w:rFonts w:ascii="Times New Roman" w:hAnsi="Times New Roman"/>
                <w:sz w:val="20"/>
              </w:rPr>
              <w:t>PDF Report Generation</w:t>
            </w:r>
          </w:p>
        </w:tc>
        <w:tc>
          <w:tcPr>
            <w:tcW w:type="dxa" w:w="850"/>
            <w:tcBorders>
              <w:top w:val="none" w:sz="0" w:space="0" w:color="auto"/>
              <w:left w:val="none" w:sz="0" w:space="0" w:color="auto"/>
              <w:bottom w:val="none" w:sz="0" w:space="0" w:color="auto"/>
              <w:right w:val="none" w:sz="0" w:space="0" w:color="auto"/>
            </w:tcBorders>
          </w:tcPr>
          <w:p>
            <w:pPr>
              <w:jc w:val="right"/>
            </w:pPr>
            <w:r>
              <w:rPr>
                <w:rFonts w:ascii="Times New Roman" w:hAnsi="Times New Roman"/>
                <w:sz w:val="20"/>
              </w:rPr>
              <w:t/>
            </w:r>
          </w:p>
        </w:tc>
      </w:tr>
      <w:tr>
        <w:tc>
          <w:tcPr>
            <w:tcW w:type="dxa" w:w="850"/>
            <w:tcBorders>
              <w:top w:val="none" w:sz="0" w:space="0" w:color="auto"/>
              <w:left w:val="none" w:sz="0" w:space="0" w:color="auto"/>
              <w:bottom w:val="none" w:sz="0" w:space="0" w:color="auto"/>
              <w:right w:val="none" w:sz="0" w:space="0" w:color="auto"/>
            </w:tcBorders>
          </w:tcPr>
          <w:p>
            <w:r>
              <w:rPr>
                <w:rFonts w:ascii="Times New Roman" w:hAnsi="Times New Roman"/>
                <w:b/>
                <w:sz w:val="20"/>
              </w:rPr>
              <w:t>4</w:t>
            </w:r>
          </w:p>
        </w:tc>
        <w:tc>
          <w:tcPr>
            <w:tcW w:type="dxa" w:w="6803"/>
            <w:tcBorders>
              <w:top w:val="none" w:sz="0" w:space="0" w:color="auto"/>
              <w:left w:val="none" w:sz="0" w:space="0" w:color="auto"/>
              <w:bottom w:val="none" w:sz="0" w:space="0" w:color="auto"/>
              <w:right w:val="none" w:sz="0" w:space="0" w:color="auto"/>
            </w:tcBorders>
          </w:tcPr>
          <w:p>
            <w:r>
              <w:rPr>
                <w:rFonts w:ascii="Times New Roman" w:hAnsi="Times New Roman"/>
                <w:b/>
                <w:sz w:val="20"/>
              </w:rPr>
              <w:t>RESULTS AND ANALYSIS</w:t>
            </w:r>
          </w:p>
        </w:tc>
        <w:tc>
          <w:tcPr>
            <w:tcW w:type="dxa" w:w="850"/>
            <w:tcBorders>
              <w:top w:val="none" w:sz="0" w:space="0" w:color="auto"/>
              <w:left w:val="none" w:sz="0" w:space="0" w:color="auto"/>
              <w:bottom w:val="none" w:sz="0" w:space="0" w:color="auto"/>
              <w:right w:val="none" w:sz="0" w:space="0" w:color="auto"/>
            </w:tcBorders>
          </w:tcPr>
          <w:p>
            <w:pPr>
              <w:jc w:val="right"/>
            </w:pPr>
            <w:r>
              <w:rPr>
                <w:rFonts w:ascii="Times New Roman" w:hAnsi="Times New Roman"/>
                <w:b/>
                <w:sz w:val="20"/>
              </w:rPr>
              <w:t>19</w:t>
            </w:r>
          </w:p>
        </w:tc>
      </w:tr>
      <w:tr>
        <w:tc>
          <w:tcPr>
            <w:tcW w:type="dxa" w:w="850"/>
            <w:tcBorders>
              <w:top w:val="none" w:sz="0" w:space="0" w:color="auto"/>
              <w:left w:val="none" w:sz="0" w:space="0" w:color="auto"/>
              <w:bottom w:val="none" w:sz="0" w:space="0" w:color="auto"/>
              <w:right w:val="none" w:sz="0" w:space="0" w:color="auto"/>
            </w:tcBorders>
          </w:tcPr>
          <w:p>
            <w:r>
              <w:rPr>
                <w:rFonts w:ascii="Times New Roman" w:hAnsi="Times New Roman"/>
                <w:sz w:val="20"/>
              </w:rPr>
              <w:t>4.1</w:t>
            </w:r>
          </w:p>
        </w:tc>
        <w:tc>
          <w:tcPr>
            <w:tcW w:type="dxa" w:w="6803"/>
            <w:tcBorders>
              <w:top w:val="none" w:sz="0" w:space="0" w:color="auto"/>
              <w:left w:val="none" w:sz="0" w:space="0" w:color="auto"/>
              <w:bottom w:val="none" w:sz="0" w:space="0" w:color="auto"/>
              <w:right w:val="none" w:sz="0" w:space="0" w:color="auto"/>
            </w:tcBorders>
          </w:tcPr>
          <w:p>
            <w:r>
              <w:rPr>
                <w:rFonts w:ascii="Times New Roman" w:hAnsi="Times New Roman"/>
                <w:sz w:val="20"/>
              </w:rPr>
              <w:t>Application Screenshots</w:t>
            </w:r>
          </w:p>
        </w:tc>
        <w:tc>
          <w:tcPr>
            <w:tcW w:type="dxa" w:w="850"/>
            <w:tcBorders>
              <w:top w:val="none" w:sz="0" w:space="0" w:color="auto"/>
              <w:left w:val="none" w:sz="0" w:space="0" w:color="auto"/>
              <w:bottom w:val="none" w:sz="0" w:space="0" w:color="auto"/>
              <w:right w:val="none" w:sz="0" w:space="0" w:color="auto"/>
            </w:tcBorders>
          </w:tcPr>
          <w:p>
            <w:pPr>
              <w:jc w:val="right"/>
            </w:pPr>
            <w:r>
              <w:rPr>
                <w:rFonts w:ascii="Times New Roman" w:hAnsi="Times New Roman"/>
                <w:sz w:val="20"/>
              </w:rPr>
              <w:t>19</w:t>
            </w:r>
          </w:p>
        </w:tc>
      </w:tr>
      <w:tr>
        <w:tc>
          <w:tcPr>
            <w:tcW w:type="dxa" w:w="850"/>
            <w:tcBorders>
              <w:top w:val="none" w:sz="0" w:space="0" w:color="auto"/>
              <w:left w:val="none" w:sz="0" w:space="0" w:color="auto"/>
              <w:bottom w:val="none" w:sz="0" w:space="0" w:color="auto"/>
              <w:right w:val="none" w:sz="0" w:space="0" w:color="auto"/>
            </w:tcBorders>
          </w:tcPr>
          <w:p>
            <w:r>
              <w:rPr>
                <w:rFonts w:ascii="Times New Roman" w:hAnsi="Times New Roman"/>
                <w:sz w:val="20"/>
              </w:rPr>
              <w:t>4.2</w:t>
            </w:r>
          </w:p>
        </w:tc>
        <w:tc>
          <w:tcPr>
            <w:tcW w:type="dxa" w:w="6803"/>
            <w:tcBorders>
              <w:top w:val="none" w:sz="0" w:space="0" w:color="auto"/>
              <w:left w:val="none" w:sz="0" w:space="0" w:color="auto"/>
              <w:bottom w:val="none" w:sz="0" w:space="0" w:color="auto"/>
              <w:right w:val="none" w:sz="0" w:space="0" w:color="auto"/>
            </w:tcBorders>
          </w:tcPr>
          <w:p>
            <w:r>
              <w:rPr>
                <w:rFonts w:ascii="Times New Roman" w:hAnsi="Times New Roman"/>
                <w:sz w:val="20"/>
              </w:rPr>
              <w:t>Evaluation Setup</w:t>
            </w:r>
          </w:p>
        </w:tc>
        <w:tc>
          <w:tcPr>
            <w:tcW w:type="dxa" w:w="850"/>
            <w:tcBorders>
              <w:top w:val="none" w:sz="0" w:space="0" w:color="auto"/>
              <w:left w:val="none" w:sz="0" w:space="0" w:color="auto"/>
              <w:bottom w:val="none" w:sz="0" w:space="0" w:color="auto"/>
              <w:right w:val="none" w:sz="0" w:space="0" w:color="auto"/>
            </w:tcBorders>
          </w:tcPr>
          <w:p>
            <w:pPr>
              <w:jc w:val="right"/>
            </w:pPr>
            <w:r>
              <w:rPr>
                <w:rFonts w:ascii="Times New Roman" w:hAnsi="Times New Roman"/>
                <w:sz w:val="20"/>
              </w:rPr>
              <w:t>23</w:t>
            </w:r>
          </w:p>
        </w:tc>
      </w:tr>
      <w:tr>
        <w:tc>
          <w:tcPr>
            <w:tcW w:type="dxa" w:w="850"/>
            <w:tcBorders>
              <w:top w:val="none" w:sz="0" w:space="0" w:color="auto"/>
              <w:left w:val="none" w:sz="0" w:space="0" w:color="auto"/>
              <w:bottom w:val="none" w:sz="0" w:space="0" w:color="auto"/>
              <w:right w:val="none" w:sz="0" w:space="0" w:color="auto"/>
            </w:tcBorders>
          </w:tcPr>
          <w:p>
            <w:r>
              <w:rPr>
                <w:rFonts w:ascii="Times New Roman" w:hAnsi="Times New Roman"/>
                <w:sz w:val="20"/>
              </w:rPr>
              <w:t>4.3</w:t>
            </w:r>
          </w:p>
        </w:tc>
        <w:tc>
          <w:tcPr>
            <w:tcW w:type="dxa" w:w="6803"/>
            <w:tcBorders>
              <w:top w:val="none" w:sz="0" w:space="0" w:color="auto"/>
              <w:left w:val="none" w:sz="0" w:space="0" w:color="auto"/>
              <w:bottom w:val="none" w:sz="0" w:space="0" w:color="auto"/>
              <w:right w:val="none" w:sz="0" w:space="0" w:color="auto"/>
            </w:tcBorders>
          </w:tcPr>
          <w:p>
            <w:r>
              <w:rPr>
                <w:rFonts w:ascii="Times New Roman" w:hAnsi="Times New Roman"/>
                <w:sz w:val="20"/>
              </w:rPr>
              <w:t>Accuracy Results</w:t>
            </w:r>
          </w:p>
        </w:tc>
        <w:tc>
          <w:tcPr>
            <w:tcW w:type="dxa" w:w="850"/>
            <w:tcBorders>
              <w:top w:val="none" w:sz="0" w:space="0" w:color="auto"/>
              <w:left w:val="none" w:sz="0" w:space="0" w:color="auto"/>
              <w:bottom w:val="none" w:sz="0" w:space="0" w:color="auto"/>
              <w:right w:val="none" w:sz="0" w:space="0" w:color="auto"/>
            </w:tcBorders>
          </w:tcPr>
          <w:p>
            <w:pPr>
              <w:jc w:val="right"/>
            </w:pPr>
            <w:r>
              <w:rPr>
                <w:rFonts w:ascii="Times New Roman" w:hAnsi="Times New Roman"/>
                <w:sz w:val="20"/>
              </w:rPr>
              <w:t>23</w:t>
            </w:r>
          </w:p>
        </w:tc>
      </w:tr>
      <w:tr>
        <w:tc>
          <w:tcPr>
            <w:tcW w:type="dxa" w:w="850"/>
            <w:tcBorders>
              <w:top w:val="none" w:sz="0" w:space="0" w:color="auto"/>
              <w:left w:val="none" w:sz="0" w:space="0" w:color="auto"/>
              <w:bottom w:val="none" w:sz="0" w:space="0" w:color="auto"/>
              <w:right w:val="none" w:sz="0" w:space="0" w:color="auto"/>
            </w:tcBorders>
          </w:tcPr>
          <w:p>
            <w:r>
              <w:rPr>
                <w:rFonts w:ascii="Times New Roman" w:hAnsi="Times New Roman"/>
                <w:sz w:val="20"/>
              </w:rPr>
              <w:t>4.4</w:t>
            </w:r>
          </w:p>
        </w:tc>
        <w:tc>
          <w:tcPr>
            <w:tcW w:type="dxa" w:w="6803"/>
            <w:tcBorders>
              <w:top w:val="none" w:sz="0" w:space="0" w:color="auto"/>
              <w:left w:val="none" w:sz="0" w:space="0" w:color="auto"/>
              <w:bottom w:val="none" w:sz="0" w:space="0" w:color="auto"/>
              <w:right w:val="none" w:sz="0" w:space="0" w:color="auto"/>
            </w:tcBorders>
          </w:tcPr>
          <w:p>
            <w:r>
              <w:rPr>
                <w:rFonts w:ascii="Times New Roman" w:hAnsi="Times New Roman"/>
                <w:sz w:val="20"/>
              </w:rPr>
              <w:t>Framework-Specific Analysis</w:t>
            </w:r>
          </w:p>
        </w:tc>
        <w:tc>
          <w:tcPr>
            <w:tcW w:type="dxa" w:w="850"/>
            <w:tcBorders>
              <w:top w:val="none" w:sz="0" w:space="0" w:color="auto"/>
              <w:left w:val="none" w:sz="0" w:space="0" w:color="auto"/>
              <w:bottom w:val="none" w:sz="0" w:space="0" w:color="auto"/>
              <w:right w:val="none" w:sz="0" w:space="0" w:color="auto"/>
            </w:tcBorders>
          </w:tcPr>
          <w:p>
            <w:pPr>
              <w:jc w:val="right"/>
            </w:pPr>
            <w:r>
              <w:rPr>
                <w:rFonts w:ascii="Times New Roman" w:hAnsi="Times New Roman"/>
                <w:sz w:val="20"/>
              </w:rPr>
              <w:t>24</w:t>
            </w:r>
          </w:p>
        </w:tc>
      </w:tr>
      <w:tr>
        <w:tc>
          <w:tcPr>
            <w:tcW w:type="dxa" w:w="850"/>
            <w:tcBorders>
              <w:top w:val="none" w:sz="0" w:space="0" w:color="auto"/>
              <w:left w:val="none" w:sz="0" w:space="0" w:color="auto"/>
              <w:bottom w:val="none" w:sz="0" w:space="0" w:color="auto"/>
              <w:right w:val="none" w:sz="0" w:space="0" w:color="auto"/>
            </w:tcBorders>
          </w:tcPr>
          <w:p>
            <w:r>
              <w:rPr>
                <w:rFonts w:ascii="Times New Roman" w:hAnsi="Times New Roman"/>
                <w:sz w:val="20"/>
              </w:rPr>
              <w:t>4.5</w:t>
            </w:r>
          </w:p>
        </w:tc>
        <w:tc>
          <w:tcPr>
            <w:tcW w:type="dxa" w:w="6803"/>
            <w:tcBorders>
              <w:top w:val="none" w:sz="0" w:space="0" w:color="auto"/>
              <w:left w:val="none" w:sz="0" w:space="0" w:color="auto"/>
              <w:bottom w:val="none" w:sz="0" w:space="0" w:color="auto"/>
              <w:right w:val="none" w:sz="0" w:space="0" w:color="auto"/>
            </w:tcBorders>
          </w:tcPr>
          <w:p>
            <w:r>
              <w:rPr>
                <w:rFonts w:ascii="Times New Roman" w:hAnsi="Times New Roman"/>
                <w:sz w:val="20"/>
              </w:rPr>
              <w:t>Agentic AI Impact</w:t>
            </w:r>
          </w:p>
        </w:tc>
        <w:tc>
          <w:tcPr>
            <w:tcW w:type="dxa" w:w="850"/>
            <w:tcBorders>
              <w:top w:val="none" w:sz="0" w:space="0" w:color="auto"/>
              <w:left w:val="none" w:sz="0" w:space="0" w:color="auto"/>
              <w:bottom w:val="none" w:sz="0" w:space="0" w:color="auto"/>
              <w:right w:val="none" w:sz="0" w:space="0" w:color="auto"/>
            </w:tcBorders>
          </w:tcPr>
          <w:p>
            <w:pPr>
              <w:jc w:val="right"/>
            </w:pPr>
            <w:r>
              <w:rPr>
                <w:rFonts w:ascii="Times New Roman" w:hAnsi="Times New Roman"/>
                <w:sz w:val="20"/>
              </w:rPr>
              <w:t>25</w:t>
            </w:r>
          </w:p>
        </w:tc>
      </w:tr>
      <w:tr>
        <w:tc>
          <w:tcPr>
            <w:tcW w:type="dxa" w:w="850"/>
            <w:tcBorders>
              <w:top w:val="none" w:sz="0" w:space="0" w:color="auto"/>
              <w:left w:val="none" w:sz="0" w:space="0" w:color="auto"/>
              <w:bottom w:val="none" w:sz="0" w:space="0" w:color="auto"/>
              <w:right w:val="none" w:sz="0" w:space="0" w:color="auto"/>
            </w:tcBorders>
          </w:tcPr>
          <w:p>
            <w:r>
              <w:rPr>
                <w:rFonts w:ascii="Times New Roman" w:hAnsi="Times New Roman"/>
                <w:sz w:val="20"/>
              </w:rPr>
              <w:t>4.6</w:t>
            </w:r>
          </w:p>
        </w:tc>
        <w:tc>
          <w:tcPr>
            <w:tcW w:type="dxa" w:w="6803"/>
            <w:tcBorders>
              <w:top w:val="none" w:sz="0" w:space="0" w:color="auto"/>
              <w:left w:val="none" w:sz="0" w:space="0" w:color="auto"/>
              <w:bottom w:val="none" w:sz="0" w:space="0" w:color="auto"/>
              <w:right w:val="none" w:sz="0" w:space="0" w:color="auto"/>
            </w:tcBorders>
          </w:tcPr>
          <w:p>
            <w:r>
              <w:rPr>
                <w:rFonts w:ascii="Times New Roman" w:hAnsi="Times New Roman"/>
                <w:sz w:val="20"/>
              </w:rPr>
              <w:t>Processing Performance</w:t>
            </w:r>
          </w:p>
        </w:tc>
        <w:tc>
          <w:tcPr>
            <w:tcW w:type="dxa" w:w="850"/>
            <w:tcBorders>
              <w:top w:val="none" w:sz="0" w:space="0" w:color="auto"/>
              <w:left w:val="none" w:sz="0" w:space="0" w:color="auto"/>
              <w:bottom w:val="none" w:sz="0" w:space="0" w:color="auto"/>
              <w:right w:val="none" w:sz="0" w:space="0" w:color="auto"/>
            </w:tcBorders>
          </w:tcPr>
          <w:p>
            <w:pPr>
              <w:jc w:val="right"/>
            </w:pPr>
            <w:r>
              <w:rPr>
                <w:rFonts w:ascii="Times New Roman" w:hAnsi="Times New Roman"/>
                <w:sz w:val="20"/>
              </w:rPr>
              <w:t>26</w:t>
            </w:r>
          </w:p>
        </w:tc>
      </w:tr>
      <w:tr>
        <w:tc>
          <w:tcPr>
            <w:tcW w:type="dxa" w:w="850"/>
            <w:tcBorders>
              <w:top w:val="none" w:sz="0" w:space="0" w:color="auto"/>
              <w:left w:val="none" w:sz="0" w:space="0" w:color="auto"/>
              <w:bottom w:val="none" w:sz="0" w:space="0" w:color="auto"/>
              <w:right w:val="none" w:sz="0" w:space="0" w:color="auto"/>
            </w:tcBorders>
          </w:tcPr>
          <w:p>
            <w:r>
              <w:rPr>
                <w:rFonts w:ascii="Times New Roman" w:hAnsi="Times New Roman"/>
                <w:b/>
                <w:sz w:val="20"/>
              </w:rPr>
              <w:t>5</w:t>
            </w:r>
          </w:p>
        </w:tc>
        <w:tc>
          <w:tcPr>
            <w:tcW w:type="dxa" w:w="6803"/>
            <w:tcBorders>
              <w:top w:val="none" w:sz="0" w:space="0" w:color="auto"/>
              <w:left w:val="none" w:sz="0" w:space="0" w:color="auto"/>
              <w:bottom w:val="none" w:sz="0" w:space="0" w:color="auto"/>
              <w:right w:val="none" w:sz="0" w:space="0" w:color="auto"/>
            </w:tcBorders>
          </w:tcPr>
          <w:p>
            <w:r>
              <w:rPr>
                <w:rFonts w:ascii="Times New Roman" w:hAnsi="Times New Roman"/>
                <w:b/>
                <w:sz w:val="20"/>
              </w:rPr>
              <w:t>ADVANTAGES, LIMITATIONS AND APPLICATIONS</w:t>
            </w:r>
          </w:p>
        </w:tc>
        <w:tc>
          <w:tcPr>
            <w:tcW w:type="dxa" w:w="850"/>
            <w:tcBorders>
              <w:top w:val="none" w:sz="0" w:space="0" w:color="auto"/>
              <w:left w:val="none" w:sz="0" w:space="0" w:color="auto"/>
              <w:bottom w:val="none" w:sz="0" w:space="0" w:color="auto"/>
              <w:right w:val="none" w:sz="0" w:space="0" w:color="auto"/>
            </w:tcBorders>
          </w:tcPr>
          <w:p>
            <w:pPr>
              <w:jc w:val="right"/>
            </w:pPr>
            <w:r>
              <w:rPr>
                <w:rFonts w:ascii="Times New Roman" w:hAnsi="Times New Roman"/>
                <w:b/>
                <w:sz w:val="20"/>
              </w:rPr>
              <w:t>27</w:t>
            </w:r>
          </w:p>
        </w:tc>
      </w:tr>
      <w:tr>
        <w:tc>
          <w:tcPr>
            <w:tcW w:type="dxa" w:w="850"/>
            <w:tcBorders>
              <w:top w:val="none" w:sz="0" w:space="0" w:color="auto"/>
              <w:left w:val="none" w:sz="0" w:space="0" w:color="auto"/>
              <w:bottom w:val="none" w:sz="0" w:space="0" w:color="auto"/>
              <w:right w:val="none" w:sz="0" w:space="0" w:color="auto"/>
            </w:tcBorders>
          </w:tcPr>
          <w:p>
            <w:r>
              <w:rPr>
                <w:rFonts w:ascii="Times New Roman" w:hAnsi="Times New Roman"/>
                <w:sz w:val="20"/>
              </w:rPr>
              <w:t>5.1</w:t>
            </w:r>
          </w:p>
        </w:tc>
        <w:tc>
          <w:tcPr>
            <w:tcW w:type="dxa" w:w="6803"/>
            <w:tcBorders>
              <w:top w:val="none" w:sz="0" w:space="0" w:color="auto"/>
              <w:left w:val="none" w:sz="0" w:space="0" w:color="auto"/>
              <w:bottom w:val="none" w:sz="0" w:space="0" w:color="auto"/>
              <w:right w:val="none" w:sz="0" w:space="0" w:color="auto"/>
            </w:tcBorders>
          </w:tcPr>
          <w:p>
            <w:r>
              <w:rPr>
                <w:rFonts w:ascii="Times New Roman" w:hAnsi="Times New Roman"/>
                <w:sz w:val="20"/>
              </w:rPr>
              <w:t>Advantages</w:t>
            </w:r>
          </w:p>
        </w:tc>
        <w:tc>
          <w:tcPr>
            <w:tcW w:type="dxa" w:w="850"/>
            <w:tcBorders>
              <w:top w:val="none" w:sz="0" w:space="0" w:color="auto"/>
              <w:left w:val="none" w:sz="0" w:space="0" w:color="auto"/>
              <w:bottom w:val="none" w:sz="0" w:space="0" w:color="auto"/>
              <w:right w:val="none" w:sz="0" w:space="0" w:color="auto"/>
            </w:tcBorders>
          </w:tcPr>
          <w:p>
            <w:pPr>
              <w:jc w:val="right"/>
            </w:pPr>
            <w:r>
              <w:rPr>
                <w:rFonts w:ascii="Times New Roman" w:hAnsi="Times New Roman"/>
                <w:sz w:val="20"/>
              </w:rPr>
              <w:t>27</w:t>
            </w:r>
          </w:p>
        </w:tc>
      </w:tr>
      <w:tr>
        <w:tc>
          <w:tcPr>
            <w:tcW w:type="dxa" w:w="850"/>
            <w:tcBorders>
              <w:top w:val="none" w:sz="0" w:space="0" w:color="auto"/>
              <w:left w:val="none" w:sz="0" w:space="0" w:color="auto"/>
              <w:bottom w:val="none" w:sz="0" w:space="0" w:color="auto"/>
              <w:right w:val="none" w:sz="0" w:space="0" w:color="auto"/>
            </w:tcBorders>
          </w:tcPr>
          <w:p>
            <w:r>
              <w:rPr>
                <w:rFonts w:ascii="Times New Roman" w:hAnsi="Times New Roman"/>
                <w:sz w:val="20"/>
              </w:rPr>
              <w:t>5.2</w:t>
            </w:r>
          </w:p>
        </w:tc>
        <w:tc>
          <w:tcPr>
            <w:tcW w:type="dxa" w:w="6803"/>
            <w:tcBorders>
              <w:top w:val="none" w:sz="0" w:space="0" w:color="auto"/>
              <w:left w:val="none" w:sz="0" w:space="0" w:color="auto"/>
              <w:bottom w:val="none" w:sz="0" w:space="0" w:color="auto"/>
              <w:right w:val="none" w:sz="0" w:space="0" w:color="auto"/>
            </w:tcBorders>
          </w:tcPr>
          <w:p>
            <w:r>
              <w:rPr>
                <w:rFonts w:ascii="Times New Roman" w:hAnsi="Times New Roman"/>
                <w:sz w:val="20"/>
              </w:rPr>
              <w:t>Limitations</w:t>
            </w:r>
          </w:p>
        </w:tc>
        <w:tc>
          <w:tcPr>
            <w:tcW w:type="dxa" w:w="850"/>
            <w:tcBorders>
              <w:top w:val="none" w:sz="0" w:space="0" w:color="auto"/>
              <w:left w:val="none" w:sz="0" w:space="0" w:color="auto"/>
              <w:bottom w:val="none" w:sz="0" w:space="0" w:color="auto"/>
              <w:right w:val="none" w:sz="0" w:space="0" w:color="auto"/>
            </w:tcBorders>
          </w:tcPr>
          <w:p>
            <w:pPr>
              <w:jc w:val="right"/>
            </w:pPr>
            <w:r>
              <w:rPr>
                <w:rFonts w:ascii="Times New Roman" w:hAnsi="Times New Roman"/>
                <w:sz w:val="20"/>
              </w:rPr>
              <w:t>28</w:t>
            </w:r>
          </w:p>
        </w:tc>
      </w:tr>
      <w:tr>
        <w:tc>
          <w:tcPr>
            <w:tcW w:type="dxa" w:w="850"/>
            <w:tcBorders>
              <w:top w:val="none" w:sz="0" w:space="0" w:color="auto"/>
              <w:left w:val="none" w:sz="0" w:space="0" w:color="auto"/>
              <w:bottom w:val="none" w:sz="0" w:space="0" w:color="auto"/>
              <w:right w:val="none" w:sz="0" w:space="0" w:color="auto"/>
            </w:tcBorders>
          </w:tcPr>
          <w:p>
            <w:r>
              <w:rPr>
                <w:rFonts w:ascii="Times New Roman" w:hAnsi="Times New Roman"/>
                <w:sz w:val="20"/>
              </w:rPr>
              <w:t>5.3</w:t>
            </w:r>
          </w:p>
        </w:tc>
        <w:tc>
          <w:tcPr>
            <w:tcW w:type="dxa" w:w="6803"/>
            <w:tcBorders>
              <w:top w:val="none" w:sz="0" w:space="0" w:color="auto"/>
              <w:left w:val="none" w:sz="0" w:space="0" w:color="auto"/>
              <w:bottom w:val="none" w:sz="0" w:space="0" w:color="auto"/>
              <w:right w:val="none" w:sz="0" w:space="0" w:color="auto"/>
            </w:tcBorders>
          </w:tcPr>
          <w:p>
            <w:r>
              <w:rPr>
                <w:rFonts w:ascii="Times New Roman" w:hAnsi="Times New Roman"/>
                <w:sz w:val="20"/>
              </w:rPr>
              <w:t>Applications</w:t>
            </w:r>
          </w:p>
        </w:tc>
        <w:tc>
          <w:tcPr>
            <w:tcW w:type="dxa" w:w="850"/>
            <w:tcBorders>
              <w:top w:val="none" w:sz="0" w:space="0" w:color="auto"/>
              <w:left w:val="none" w:sz="0" w:space="0" w:color="auto"/>
              <w:bottom w:val="none" w:sz="0" w:space="0" w:color="auto"/>
              <w:right w:val="none" w:sz="0" w:space="0" w:color="auto"/>
            </w:tcBorders>
          </w:tcPr>
          <w:p>
            <w:pPr>
              <w:jc w:val="right"/>
            </w:pPr>
            <w:r>
              <w:rPr>
                <w:rFonts w:ascii="Times New Roman" w:hAnsi="Times New Roman"/>
                <w:sz w:val="20"/>
              </w:rPr>
              <w:t>28</w:t>
            </w:r>
          </w:p>
        </w:tc>
      </w:tr>
      <w:tr>
        <w:tc>
          <w:tcPr>
            <w:tcW w:type="dxa" w:w="850"/>
            <w:tcBorders>
              <w:top w:val="none" w:sz="0" w:space="0" w:color="auto"/>
              <w:left w:val="none" w:sz="0" w:space="0" w:color="auto"/>
              <w:bottom w:val="none" w:sz="0" w:space="0" w:color="auto"/>
              <w:right w:val="none" w:sz="0" w:space="0" w:color="auto"/>
            </w:tcBorders>
          </w:tcPr>
          <w:p>
            <w:r>
              <w:rPr>
                <w:rFonts w:ascii="Times New Roman" w:hAnsi="Times New Roman"/>
                <w:b/>
                <w:sz w:val="20"/>
              </w:rPr>
              <w:t>6</w:t>
            </w:r>
          </w:p>
        </w:tc>
        <w:tc>
          <w:tcPr>
            <w:tcW w:type="dxa" w:w="6803"/>
            <w:tcBorders>
              <w:top w:val="none" w:sz="0" w:space="0" w:color="auto"/>
              <w:left w:val="none" w:sz="0" w:space="0" w:color="auto"/>
              <w:bottom w:val="none" w:sz="0" w:space="0" w:color="auto"/>
              <w:right w:val="none" w:sz="0" w:space="0" w:color="auto"/>
            </w:tcBorders>
          </w:tcPr>
          <w:p>
            <w:r>
              <w:rPr>
                <w:rFonts w:ascii="Times New Roman" w:hAnsi="Times New Roman"/>
                <w:b/>
                <w:sz w:val="20"/>
              </w:rPr>
              <w:t>CONCLUSION AND FUTURE SCOPE</w:t>
            </w:r>
          </w:p>
        </w:tc>
        <w:tc>
          <w:tcPr>
            <w:tcW w:type="dxa" w:w="850"/>
            <w:tcBorders>
              <w:top w:val="none" w:sz="0" w:space="0" w:color="auto"/>
              <w:left w:val="none" w:sz="0" w:space="0" w:color="auto"/>
              <w:bottom w:val="none" w:sz="0" w:space="0" w:color="auto"/>
              <w:right w:val="none" w:sz="0" w:space="0" w:color="auto"/>
            </w:tcBorders>
          </w:tcPr>
          <w:p>
            <w:pPr>
              <w:jc w:val="right"/>
            </w:pPr>
            <w:r>
              <w:rPr>
                <w:rFonts w:ascii="Times New Roman" w:hAnsi="Times New Roman"/>
                <w:b/>
                <w:sz w:val="20"/>
              </w:rPr>
              <w:t>30</w:t>
            </w:r>
          </w:p>
        </w:tc>
      </w:tr>
      <w:tr>
        <w:tc>
          <w:tcPr>
            <w:tcW w:type="dxa" w:w="850"/>
            <w:tcBorders>
              <w:top w:val="none" w:sz="0" w:space="0" w:color="auto"/>
              <w:left w:val="none" w:sz="0" w:space="0" w:color="auto"/>
              <w:bottom w:val="none" w:sz="0" w:space="0" w:color="auto"/>
              <w:right w:val="none" w:sz="0" w:space="0" w:color="auto"/>
            </w:tcBorders>
          </w:tcPr>
          <w:p>
            <w:r>
              <w:rPr>
                <w:rFonts w:ascii="Times New Roman" w:hAnsi="Times New Roman"/>
                <w:sz w:val="20"/>
              </w:rPr>
              <w:t>6.1</w:t>
            </w:r>
          </w:p>
        </w:tc>
        <w:tc>
          <w:tcPr>
            <w:tcW w:type="dxa" w:w="6803"/>
            <w:tcBorders>
              <w:top w:val="none" w:sz="0" w:space="0" w:color="auto"/>
              <w:left w:val="none" w:sz="0" w:space="0" w:color="auto"/>
              <w:bottom w:val="none" w:sz="0" w:space="0" w:color="auto"/>
              <w:right w:val="none" w:sz="0" w:space="0" w:color="auto"/>
            </w:tcBorders>
          </w:tcPr>
          <w:p>
            <w:r>
              <w:rPr>
                <w:rFonts w:ascii="Times New Roman" w:hAnsi="Times New Roman"/>
                <w:sz w:val="20"/>
              </w:rPr>
              <w:t>Conclusion</w:t>
            </w:r>
          </w:p>
        </w:tc>
        <w:tc>
          <w:tcPr>
            <w:tcW w:type="dxa" w:w="850"/>
            <w:tcBorders>
              <w:top w:val="none" w:sz="0" w:space="0" w:color="auto"/>
              <w:left w:val="none" w:sz="0" w:space="0" w:color="auto"/>
              <w:bottom w:val="none" w:sz="0" w:space="0" w:color="auto"/>
              <w:right w:val="none" w:sz="0" w:space="0" w:color="auto"/>
            </w:tcBorders>
          </w:tcPr>
          <w:p>
            <w:pPr>
              <w:jc w:val="right"/>
            </w:pPr>
            <w:r>
              <w:rPr>
                <w:rFonts w:ascii="Times New Roman" w:hAnsi="Times New Roman"/>
                <w:sz w:val="20"/>
              </w:rPr>
              <w:t>30</w:t>
            </w:r>
          </w:p>
        </w:tc>
      </w:tr>
      <w:tr>
        <w:tc>
          <w:tcPr>
            <w:tcW w:type="dxa" w:w="850"/>
            <w:tcBorders>
              <w:top w:val="none" w:sz="0" w:space="0" w:color="auto"/>
              <w:left w:val="none" w:sz="0" w:space="0" w:color="auto"/>
              <w:bottom w:val="none" w:sz="0" w:space="0" w:color="auto"/>
              <w:right w:val="none" w:sz="0" w:space="0" w:color="auto"/>
            </w:tcBorders>
          </w:tcPr>
          <w:p>
            <w:r>
              <w:rPr>
                <w:rFonts w:ascii="Times New Roman" w:hAnsi="Times New Roman"/>
                <w:sz w:val="20"/>
              </w:rPr>
              <w:t>6.2</w:t>
            </w:r>
          </w:p>
        </w:tc>
        <w:tc>
          <w:tcPr>
            <w:tcW w:type="dxa" w:w="6803"/>
            <w:tcBorders>
              <w:top w:val="none" w:sz="0" w:space="0" w:color="auto"/>
              <w:left w:val="none" w:sz="0" w:space="0" w:color="auto"/>
              <w:bottom w:val="none" w:sz="0" w:space="0" w:color="auto"/>
              <w:right w:val="none" w:sz="0" w:space="0" w:color="auto"/>
            </w:tcBorders>
          </w:tcPr>
          <w:p>
            <w:r>
              <w:rPr>
                <w:rFonts w:ascii="Times New Roman" w:hAnsi="Times New Roman"/>
                <w:sz w:val="20"/>
              </w:rPr>
              <w:t>Future Scope</w:t>
            </w:r>
          </w:p>
        </w:tc>
        <w:tc>
          <w:tcPr>
            <w:tcW w:type="dxa" w:w="850"/>
            <w:tcBorders>
              <w:top w:val="none" w:sz="0" w:space="0" w:color="auto"/>
              <w:left w:val="none" w:sz="0" w:space="0" w:color="auto"/>
              <w:bottom w:val="none" w:sz="0" w:space="0" w:color="auto"/>
              <w:right w:val="none" w:sz="0" w:space="0" w:color="auto"/>
            </w:tcBorders>
          </w:tcPr>
          <w:p>
            <w:pPr>
              <w:jc w:val="right"/>
            </w:pPr>
            <w:r>
              <w:rPr>
                <w:rFonts w:ascii="Times New Roman" w:hAnsi="Times New Roman"/>
                <w:sz w:val="20"/>
              </w:rPr>
              <w:t>30</w:t>
            </w:r>
          </w:p>
        </w:tc>
      </w:tr>
      <w:tr>
        <w:tc>
          <w:tcPr>
            <w:tcW w:type="dxa" w:w="850"/>
            <w:tcBorders>
              <w:top w:val="none" w:sz="0" w:space="0" w:color="auto"/>
              <w:left w:val="none" w:sz="0" w:space="0" w:color="auto"/>
              <w:bottom w:val="none" w:sz="0" w:space="0" w:color="auto"/>
              <w:right w:val="none" w:sz="0" w:space="0" w:color="auto"/>
            </w:tcBorders>
          </w:tcPr>
          <w:p>
            <w:r>
              <w:rPr>
                <w:rFonts w:ascii="Times New Roman" w:hAnsi="Times New Roman"/>
                <w:b/>
                <w:sz w:val="20"/>
              </w:rPr>
            </w:r>
          </w:p>
        </w:tc>
        <w:tc>
          <w:tcPr>
            <w:tcW w:type="dxa" w:w="6803"/>
            <w:tcBorders>
              <w:top w:val="none" w:sz="0" w:space="0" w:color="auto"/>
              <w:left w:val="none" w:sz="0" w:space="0" w:color="auto"/>
              <w:bottom w:val="none" w:sz="0" w:space="0" w:color="auto"/>
              <w:right w:val="none" w:sz="0" w:space="0" w:color="auto"/>
            </w:tcBorders>
          </w:tcPr>
          <w:p>
            <w:r>
              <w:rPr>
                <w:rFonts w:ascii="Times New Roman" w:hAnsi="Times New Roman"/>
                <w:b/>
                <w:sz w:val="20"/>
              </w:rPr>
              <w:t>References</w:t>
            </w:r>
          </w:p>
        </w:tc>
        <w:tc>
          <w:tcPr>
            <w:tcW w:type="dxa" w:w="850"/>
            <w:tcBorders>
              <w:top w:val="none" w:sz="0" w:space="0" w:color="auto"/>
              <w:left w:val="none" w:sz="0" w:space="0" w:color="auto"/>
              <w:bottom w:val="none" w:sz="0" w:space="0" w:color="auto"/>
              <w:right w:val="none" w:sz="0" w:space="0" w:color="auto"/>
            </w:tcBorders>
          </w:tcPr>
          <w:p>
            <w:pPr>
              <w:jc w:val="right"/>
            </w:pPr>
            <w:r>
              <w:rPr>
                <w:rFonts w:ascii="Times New Roman" w:hAnsi="Times New Roman"/>
                <w:b/>
                <w:sz w:val="20"/>
              </w:rPr>
              <w:t>32</w:t>
            </w:r>
          </w:p>
        </w:tc>
      </w:tr>
    </w:tbl>
    <w:p>
      <w:pPr>
        <w:spacing w:line="360" w:lineRule="auto"/>
      </w:pPr>
      <w:r>
        <w:rPr>
          <w:rFonts w:ascii="Times New Roman" w:hAnsi="Times New Roman"/>
          <w:sz w:val="24"/>
        </w:rPr>
        <w:br w:type="page"/>
      </w:r>
    </w:p>
    <w:p>
      <w:pPr>
        <w:pStyle w:val="Heading2"/>
        <w:spacing w:line="360" w:lineRule="auto"/>
        <w:jc w:val="center"/>
      </w:pPr>
      <w:r>
        <w:rPr>
          <w:rFonts w:ascii="Times New Roman" w:hAnsi="Times New Roman"/>
          <w:b/>
          <w:color w:val="000000"/>
          <w:sz w:val="28"/>
        </w:rPr>
        <w:t>LIST OF TABLES</w:t>
      </w:r>
    </w:p>
    <w:p>
      <w:pPr>
        <w:spacing w:line="360" w:lineRule="auto"/>
      </w:pPr>
    </w:p>
    <w:tbl>
      <w:tblPr>
        <w:tblStyle w:val="TableGrid"/>
        <w:tblW w:type="auto" w:w="0"/>
        <w:jc w:val="center"/>
        <w:tblLook w:firstColumn="1" w:firstRow="1" w:lastColumn="0" w:lastRow="0" w:noHBand="0" w:noVBand="1" w:val="04A0"/>
      </w:tblPr>
      <w:tblGrid>
        <w:gridCol w:w="2882"/>
        <w:gridCol w:w="2882"/>
        <w:gridCol w:w="2882"/>
      </w:tblGrid>
      <w:tr>
        <w:tc>
          <w:tcPr>
            <w:tcW w:type="dxa" w:w="1134"/>
            <w:shd w:fill="D9E2F3"/>
          </w:tcPr>
          <w:p>
            <w:pPr>
              <w:jc w:val="center"/>
            </w:pPr>
            <w:r>
              <w:rPr>
                <w:rFonts w:ascii="Times New Roman" w:hAnsi="Times New Roman"/>
                <w:b/>
                <w:sz w:val="20"/>
              </w:rPr>
              <w:t>Sr. No.</w:t>
            </w:r>
          </w:p>
        </w:tc>
        <w:tc>
          <w:tcPr>
            <w:tcW w:type="dxa" w:w="5669"/>
            <w:shd w:fill="D9E2F3"/>
          </w:tcPr>
          <w:p>
            <w:pPr>
              <w:jc w:val="center"/>
            </w:pPr>
            <w:r>
              <w:rPr>
                <w:rFonts w:ascii="Times New Roman" w:hAnsi="Times New Roman"/>
                <w:b/>
                <w:sz w:val="20"/>
              </w:rPr>
              <w:t>Name of Table</w:t>
            </w:r>
          </w:p>
        </w:tc>
        <w:tc>
          <w:tcPr>
            <w:tcW w:type="dxa" w:w="1134"/>
            <w:shd w:fill="D9E2F3"/>
          </w:tcPr>
          <w:p>
            <w:pPr>
              <w:jc w:val="center"/>
            </w:pPr>
            <w:r>
              <w:rPr>
                <w:rFonts w:ascii="Times New Roman" w:hAnsi="Times New Roman"/>
                <w:b/>
                <w:sz w:val="20"/>
              </w:rPr>
              <w:t>Page</w:t>
            </w:r>
          </w:p>
        </w:tc>
      </w:tr>
      <w:tr>
        <w:tc>
          <w:tcPr>
            <w:tcW w:type="dxa" w:w="1134"/>
          </w:tcPr>
          <w:p>
            <w:pPr>
              <w:jc w:val="center"/>
            </w:pPr>
            <w:r>
              <w:rPr>
                <w:rFonts w:ascii="Times New Roman" w:hAnsi="Times New Roman"/>
                <w:sz w:val="20"/>
              </w:rPr>
              <w:t>1</w:t>
            </w:r>
          </w:p>
        </w:tc>
        <w:tc>
          <w:tcPr>
            <w:tcW w:type="dxa" w:w="5669"/>
          </w:tcPr>
          <w:p>
            <w:pPr>
              <w:jc w:val="center"/>
            </w:pPr>
            <w:r>
              <w:rPr>
                <w:rFonts w:ascii="Times New Roman" w:hAnsi="Times New Roman"/>
                <w:sz w:val="20"/>
              </w:rPr>
              <w:t>Technology Stack</w:t>
            </w:r>
          </w:p>
        </w:tc>
        <w:tc>
          <w:tcPr>
            <w:tcW w:type="dxa" w:w="1134"/>
          </w:tcPr>
          <w:p>
            <w:pPr>
              <w:jc w:val="center"/>
            </w:pPr>
            <w:r>
              <w:rPr>
                <w:rFonts w:ascii="Times New Roman" w:hAnsi="Times New Roman"/>
                <w:sz w:val="20"/>
              </w:rPr>
              <w:t>9</w:t>
            </w:r>
          </w:p>
        </w:tc>
      </w:tr>
      <w:tr>
        <w:tc>
          <w:tcPr>
            <w:tcW w:type="dxa" w:w="1134"/>
          </w:tcPr>
          <w:p>
            <w:pPr>
              <w:jc w:val="center"/>
            </w:pPr>
            <w:r>
              <w:rPr>
                <w:rFonts w:ascii="Times New Roman" w:hAnsi="Times New Roman"/>
                <w:sz w:val="20"/>
              </w:rPr>
              <w:t>2</w:t>
            </w:r>
          </w:p>
        </w:tc>
        <w:tc>
          <w:tcPr>
            <w:tcW w:type="dxa" w:w="5669"/>
          </w:tcPr>
          <w:p>
            <w:pPr>
              <w:jc w:val="center"/>
            </w:pPr>
            <w:r>
              <w:rPr>
                <w:rFonts w:ascii="Times New Roman" w:hAnsi="Times New Roman"/>
                <w:sz w:val="20"/>
              </w:rPr>
              <w:t>Compliance Status Labels</w:t>
            </w:r>
          </w:p>
        </w:tc>
        <w:tc>
          <w:tcPr>
            <w:tcW w:type="dxa" w:w="1134"/>
          </w:tcPr>
          <w:p>
            <w:pPr>
              <w:jc w:val="center"/>
            </w:pPr>
            <w:r>
              <w:rPr>
                <w:rFonts w:ascii="Times New Roman" w:hAnsi="Times New Roman"/>
                <w:sz w:val="20"/>
              </w:rPr>
              <w:t>12</w:t>
            </w:r>
          </w:p>
        </w:tc>
      </w:tr>
      <w:tr>
        <w:tc>
          <w:tcPr>
            <w:tcW w:type="dxa" w:w="1134"/>
          </w:tcPr>
          <w:p>
            <w:pPr>
              <w:jc w:val="center"/>
            </w:pPr>
            <w:r>
              <w:rPr>
                <w:rFonts w:ascii="Times New Roman" w:hAnsi="Times New Roman"/>
                <w:sz w:val="20"/>
              </w:rPr>
              <w:t>3</w:t>
            </w:r>
          </w:p>
        </w:tc>
        <w:tc>
          <w:tcPr>
            <w:tcW w:type="dxa" w:w="5669"/>
          </w:tcPr>
          <w:p>
            <w:pPr>
              <w:jc w:val="center"/>
            </w:pPr>
            <w:r>
              <w:rPr>
                <w:rFonts w:ascii="Times New Roman" w:hAnsi="Times New Roman"/>
                <w:sz w:val="20"/>
              </w:rPr>
              <w:t>GRI Scope Configuration</w:t>
            </w:r>
          </w:p>
        </w:tc>
        <w:tc>
          <w:tcPr>
            <w:tcW w:type="dxa" w:w="1134"/>
          </w:tcPr>
          <w:p>
            <w:pPr>
              <w:jc w:val="center"/>
            </w:pPr>
            <w:r>
              <w:rPr>
                <w:rFonts w:ascii="Times New Roman" w:hAnsi="Times New Roman"/>
                <w:sz w:val="20"/>
              </w:rPr>
              <w:t>11</w:t>
            </w:r>
          </w:p>
        </w:tc>
      </w:tr>
      <w:tr>
        <w:tc>
          <w:tcPr>
            <w:tcW w:type="dxa" w:w="1134"/>
          </w:tcPr>
          <w:p>
            <w:pPr>
              <w:jc w:val="center"/>
            </w:pPr>
            <w:r>
              <w:rPr>
                <w:rFonts w:ascii="Times New Roman" w:hAnsi="Times New Roman"/>
                <w:sz w:val="20"/>
              </w:rPr>
              <w:t>4</w:t>
            </w:r>
          </w:p>
        </w:tc>
        <w:tc>
          <w:tcPr>
            <w:tcW w:type="dxa" w:w="5669"/>
          </w:tcPr>
          <w:p>
            <w:pPr>
              <w:jc w:val="center"/>
            </w:pPr>
            <w:r>
              <w:rPr>
                <w:rFonts w:ascii="Times New Roman" w:hAnsi="Times New Roman"/>
                <w:sz w:val="20"/>
              </w:rPr>
              <w:t>Framework-Specific Prompt Philosophies</w:t>
            </w:r>
          </w:p>
        </w:tc>
        <w:tc>
          <w:tcPr>
            <w:tcW w:type="dxa" w:w="1134"/>
          </w:tcPr>
          <w:p>
            <w:pPr>
              <w:jc w:val="center"/>
            </w:pPr>
            <w:r>
              <w:rPr>
                <w:rFonts w:ascii="Times New Roman" w:hAnsi="Times New Roman"/>
                <w:sz w:val="20"/>
              </w:rPr>
              <w:t>13</w:t>
            </w:r>
          </w:p>
        </w:tc>
      </w:tr>
      <w:tr>
        <w:tc>
          <w:tcPr>
            <w:tcW w:type="dxa" w:w="1134"/>
          </w:tcPr>
          <w:p>
            <w:pPr>
              <w:jc w:val="center"/>
            </w:pPr>
            <w:r>
              <w:rPr>
                <w:rFonts w:ascii="Times New Roman" w:hAnsi="Times New Roman"/>
                <w:sz w:val="20"/>
              </w:rPr>
              <w:t>5</w:t>
            </w:r>
          </w:p>
        </w:tc>
        <w:tc>
          <w:tcPr>
            <w:tcW w:type="dxa" w:w="5669"/>
          </w:tcPr>
          <w:p>
            <w:pPr>
              <w:jc w:val="center"/>
            </w:pPr>
            <w:r>
              <w:rPr>
                <w:rFonts w:ascii="Times New Roman" w:hAnsi="Times New Roman"/>
                <w:sz w:val="20"/>
              </w:rPr>
              <w:t>Rule Validation Types</w:t>
            </w:r>
          </w:p>
        </w:tc>
        <w:tc>
          <w:tcPr>
            <w:tcW w:type="dxa" w:w="1134"/>
          </w:tcPr>
          <w:p>
            <w:pPr>
              <w:jc w:val="center"/>
            </w:pPr>
            <w:r>
              <w:rPr>
                <w:rFonts w:ascii="Times New Roman" w:hAnsi="Times New Roman"/>
                <w:sz w:val="20"/>
              </w:rPr>
              <w:t>14</w:t>
            </w:r>
          </w:p>
        </w:tc>
      </w:tr>
      <w:tr>
        <w:tc>
          <w:tcPr>
            <w:tcW w:type="dxa" w:w="1134"/>
          </w:tcPr>
          <w:p>
            <w:pPr>
              <w:jc w:val="center"/>
            </w:pPr>
            <w:r>
              <w:rPr>
                <w:rFonts w:ascii="Times New Roman" w:hAnsi="Times New Roman"/>
                <w:sz w:val="20"/>
              </w:rPr>
              <w:t>6</w:t>
            </w:r>
          </w:p>
        </w:tc>
        <w:tc>
          <w:tcPr>
            <w:tcW w:type="dxa" w:w="5669"/>
          </w:tcPr>
          <w:p>
            <w:pPr>
              <w:jc w:val="center"/>
            </w:pPr>
            <w:r>
              <w:rPr>
                <w:rFonts w:ascii="Times New Roman" w:hAnsi="Times New Roman"/>
                <w:sz w:val="20"/>
              </w:rPr>
              <w:t>Confidence Blending Formulas</w:t>
            </w:r>
          </w:p>
        </w:tc>
        <w:tc>
          <w:tcPr>
            <w:tcW w:type="dxa" w:w="1134"/>
          </w:tcPr>
          <w:p>
            <w:pPr>
              <w:jc w:val="center"/>
            </w:pPr>
            <w:r>
              <w:rPr>
                <w:rFonts w:ascii="Times New Roman" w:hAnsi="Times New Roman"/>
                <w:sz w:val="20"/>
              </w:rPr>
              <w:t>15</w:t>
            </w:r>
          </w:p>
        </w:tc>
      </w:tr>
      <w:tr>
        <w:tc>
          <w:tcPr>
            <w:tcW w:type="dxa" w:w="1134"/>
          </w:tcPr>
          <w:p>
            <w:pPr>
              <w:jc w:val="center"/>
            </w:pPr>
            <w:r>
              <w:rPr>
                <w:rFonts w:ascii="Times New Roman" w:hAnsi="Times New Roman"/>
                <w:sz w:val="20"/>
              </w:rPr>
              <w:t>7</w:t>
            </w:r>
          </w:p>
        </w:tc>
        <w:tc>
          <w:tcPr>
            <w:tcW w:type="dxa" w:w="5669"/>
          </w:tcPr>
          <w:p>
            <w:pPr>
              <w:jc w:val="center"/>
            </w:pPr>
            <w:r>
              <w:rPr>
                <w:rFonts w:ascii="Times New Roman" w:hAnsi="Times New Roman"/>
                <w:sz w:val="20"/>
              </w:rPr>
              <w:t>Dataset Summary – Companies Evaluated</w:t>
            </w:r>
          </w:p>
        </w:tc>
        <w:tc>
          <w:tcPr>
            <w:tcW w:type="dxa" w:w="1134"/>
          </w:tcPr>
          <w:p>
            <w:pPr>
              <w:jc w:val="center"/>
            </w:pPr>
            <w:r>
              <w:rPr>
                <w:rFonts w:ascii="Times New Roman" w:hAnsi="Times New Roman"/>
                <w:sz w:val="20"/>
              </w:rPr>
              <w:t>23</w:t>
            </w:r>
          </w:p>
        </w:tc>
      </w:tr>
      <w:tr>
        <w:tc>
          <w:tcPr>
            <w:tcW w:type="dxa" w:w="1134"/>
          </w:tcPr>
          <w:p>
            <w:pPr>
              <w:jc w:val="center"/>
            </w:pPr>
            <w:r>
              <w:rPr>
                <w:rFonts w:ascii="Times New Roman" w:hAnsi="Times New Roman"/>
                <w:sz w:val="20"/>
              </w:rPr>
              <w:t>8</w:t>
            </w:r>
          </w:p>
        </w:tc>
        <w:tc>
          <w:tcPr>
            <w:tcW w:type="dxa" w:w="5669"/>
          </w:tcPr>
          <w:p>
            <w:pPr>
              <w:jc w:val="center"/>
            </w:pPr>
            <w:r>
              <w:rPr>
                <w:rFonts w:ascii="Times New Roman" w:hAnsi="Times New Roman"/>
                <w:sz w:val="20"/>
              </w:rPr>
              <w:t>Framework-Wise Accuracy Metrics</w:t>
            </w:r>
          </w:p>
        </w:tc>
        <w:tc>
          <w:tcPr>
            <w:tcW w:type="dxa" w:w="1134"/>
          </w:tcPr>
          <w:p>
            <w:pPr>
              <w:jc w:val="center"/>
            </w:pPr>
            <w:r>
              <w:rPr>
                <w:rFonts w:ascii="Times New Roman" w:hAnsi="Times New Roman"/>
                <w:sz w:val="20"/>
              </w:rPr>
              <w:t>24</w:t>
            </w:r>
          </w:p>
        </w:tc>
      </w:tr>
      <w:tr>
        <w:tc>
          <w:tcPr>
            <w:tcW w:type="dxa" w:w="1134"/>
          </w:tcPr>
          <w:p>
            <w:pPr>
              <w:jc w:val="center"/>
            </w:pPr>
            <w:r>
              <w:rPr>
                <w:rFonts w:ascii="Times New Roman" w:hAnsi="Times New Roman"/>
                <w:sz w:val="20"/>
              </w:rPr>
              <w:t>9</w:t>
            </w:r>
          </w:p>
        </w:tc>
        <w:tc>
          <w:tcPr>
            <w:tcW w:type="dxa" w:w="5669"/>
          </w:tcPr>
          <w:p>
            <w:pPr>
              <w:jc w:val="center"/>
            </w:pPr>
            <w:r>
              <w:rPr>
                <w:rFonts w:ascii="Times New Roman" w:hAnsi="Times New Roman"/>
                <w:sz w:val="20"/>
              </w:rPr>
              <w:t>Processing Performance Benchmarks</w:t>
            </w:r>
          </w:p>
        </w:tc>
        <w:tc>
          <w:tcPr>
            <w:tcW w:type="dxa" w:w="1134"/>
          </w:tcPr>
          <w:p>
            <w:pPr>
              <w:jc w:val="center"/>
            </w:pPr>
            <w:r>
              <w:rPr>
                <w:rFonts w:ascii="Times New Roman" w:hAnsi="Times New Roman"/>
                <w:sz w:val="20"/>
              </w:rPr>
              <w:t>26</w:t>
            </w:r>
          </w:p>
        </w:tc>
      </w:tr>
      <w:tr>
        <w:tc>
          <w:tcPr>
            <w:tcW w:type="dxa" w:w="1134"/>
          </w:tcPr>
          <w:p>
            <w:pPr>
              <w:jc w:val="center"/>
            </w:pPr>
            <w:r>
              <w:rPr>
                <w:rFonts w:ascii="Times New Roman" w:hAnsi="Times New Roman"/>
                <w:sz w:val="20"/>
              </w:rPr>
              <w:t>10</w:t>
            </w:r>
          </w:p>
        </w:tc>
        <w:tc>
          <w:tcPr>
            <w:tcW w:type="dxa" w:w="5669"/>
          </w:tcPr>
          <w:p>
            <w:pPr>
              <w:jc w:val="center"/>
            </w:pPr>
            <w:r>
              <w:rPr>
                <w:rFonts w:ascii="Times New Roman" w:hAnsi="Times New Roman"/>
                <w:sz w:val="20"/>
              </w:rPr>
              <w:t>Feature Completion Summary</w:t>
            </w:r>
          </w:p>
        </w:tc>
        <w:tc>
          <w:tcPr>
            <w:tcW w:type="dxa" w:w="1134"/>
          </w:tcPr>
          <w:p>
            <w:pPr>
              <w:jc w:val="center"/>
            </w:pPr>
            <w:r>
              <w:rPr>
                <w:rFonts w:ascii="Times New Roman" w:hAnsi="Times New Roman"/>
                <w:sz w:val="20"/>
              </w:rPr>
              <w:t>26</w:t>
            </w:r>
          </w:p>
        </w:tc>
      </w:tr>
    </w:tbl>
    <w:p>
      <w:pPr>
        <w:spacing w:line="360" w:lineRule="auto"/>
      </w:pPr>
    </w:p>
    <w:p>
      <w:pPr>
        <w:pStyle w:val="Heading2"/>
        <w:spacing w:line="360" w:lineRule="auto"/>
        <w:jc w:val="center"/>
      </w:pPr>
      <w:r>
        <w:rPr>
          <w:rFonts w:ascii="Times New Roman" w:hAnsi="Times New Roman"/>
          <w:b/>
          <w:color w:val="000000"/>
          <w:sz w:val="28"/>
        </w:rPr>
        <w:t>LIST OF FIGURES</w:t>
      </w:r>
    </w:p>
    <w:p>
      <w:pPr>
        <w:spacing w:line="360" w:lineRule="auto"/>
      </w:pPr>
    </w:p>
    <w:tbl>
      <w:tblPr>
        <w:tblStyle w:val="TableGrid"/>
        <w:tblW w:type="auto" w:w="0"/>
        <w:jc w:val="center"/>
        <w:tblLook w:firstColumn="1" w:firstRow="1" w:lastColumn="0" w:lastRow="0" w:noHBand="0" w:noVBand="1" w:val="04A0"/>
      </w:tblPr>
      <w:tblGrid>
        <w:gridCol w:w="2882"/>
        <w:gridCol w:w="2882"/>
        <w:gridCol w:w="2882"/>
      </w:tblGrid>
      <w:tr>
        <w:tc>
          <w:tcPr>
            <w:tcW w:type="dxa" w:w="1134"/>
            <w:shd w:fill="D9E2F3"/>
          </w:tcPr>
          <w:p>
            <w:pPr>
              <w:jc w:val="center"/>
            </w:pPr>
            <w:r>
              <w:rPr>
                <w:rFonts w:ascii="Times New Roman" w:hAnsi="Times New Roman"/>
                <w:b/>
                <w:sz w:val="20"/>
              </w:rPr>
              <w:t>Sr. No.</w:t>
            </w:r>
          </w:p>
        </w:tc>
        <w:tc>
          <w:tcPr>
            <w:tcW w:type="dxa" w:w="5669"/>
            <w:shd w:fill="D9E2F3"/>
          </w:tcPr>
          <w:p>
            <w:pPr>
              <w:jc w:val="center"/>
            </w:pPr>
            <w:r>
              <w:rPr>
                <w:rFonts w:ascii="Times New Roman" w:hAnsi="Times New Roman"/>
                <w:b/>
                <w:sz w:val="20"/>
              </w:rPr>
              <w:t>Name of Figure</w:t>
            </w:r>
          </w:p>
        </w:tc>
        <w:tc>
          <w:tcPr>
            <w:tcW w:type="dxa" w:w="1134"/>
            <w:shd w:fill="D9E2F3"/>
          </w:tcPr>
          <w:p>
            <w:pPr>
              <w:jc w:val="center"/>
            </w:pPr>
            <w:r>
              <w:rPr>
                <w:rFonts w:ascii="Times New Roman" w:hAnsi="Times New Roman"/>
                <w:b/>
                <w:sz w:val="20"/>
              </w:rPr>
              <w:t>Page</w:t>
            </w:r>
          </w:p>
        </w:tc>
      </w:tr>
      <w:tr>
        <w:tc>
          <w:tcPr>
            <w:tcW w:type="dxa" w:w="1134"/>
          </w:tcPr>
          <w:p>
            <w:pPr>
              <w:jc w:val="center"/>
            </w:pPr>
            <w:r>
              <w:rPr>
                <w:rFonts w:ascii="Times New Roman" w:hAnsi="Times New Roman"/>
                <w:sz w:val="20"/>
              </w:rPr>
              <w:t>1</w:t>
            </w:r>
          </w:p>
        </w:tc>
        <w:tc>
          <w:tcPr>
            <w:tcW w:type="dxa" w:w="5669"/>
          </w:tcPr>
          <w:p>
            <w:pPr>
              <w:jc w:val="center"/>
            </w:pPr>
            <w:r>
              <w:rPr>
                <w:rFonts w:ascii="Times New Roman" w:hAnsi="Times New Roman"/>
                <w:sz w:val="20"/>
              </w:rPr>
              <w:t>High-Level System Architecture</w:t>
            </w:r>
          </w:p>
        </w:tc>
        <w:tc>
          <w:tcPr>
            <w:tcW w:type="dxa" w:w="1134"/>
          </w:tcPr>
          <w:p>
            <w:pPr>
              <w:jc w:val="center"/>
            </w:pPr>
            <w:r>
              <w:rPr>
                <w:rFonts w:ascii="Times New Roman" w:hAnsi="Times New Roman"/>
                <w:sz w:val="20"/>
              </w:rPr>
              <w:t>8</w:t>
            </w:r>
          </w:p>
        </w:tc>
      </w:tr>
      <w:tr>
        <w:tc>
          <w:tcPr>
            <w:tcW w:type="dxa" w:w="1134"/>
          </w:tcPr>
          <w:p>
            <w:pPr>
              <w:jc w:val="center"/>
            </w:pPr>
            <w:r>
              <w:rPr>
                <w:rFonts w:ascii="Times New Roman" w:hAnsi="Times New Roman"/>
                <w:sz w:val="20"/>
              </w:rPr>
              <w:t>2</w:t>
            </w:r>
          </w:p>
        </w:tc>
        <w:tc>
          <w:tcPr>
            <w:tcW w:type="dxa" w:w="5669"/>
          </w:tcPr>
          <w:p>
            <w:pPr>
              <w:jc w:val="center"/>
            </w:pPr>
            <w:r>
              <w:rPr>
                <w:rFonts w:ascii="Times New Roman" w:hAnsi="Times New Roman"/>
                <w:sz w:val="20"/>
              </w:rPr>
              <w:t>Compliance Evaluation Pipeline Flow</w:t>
            </w:r>
          </w:p>
        </w:tc>
        <w:tc>
          <w:tcPr>
            <w:tcW w:type="dxa" w:w="1134"/>
          </w:tcPr>
          <w:p>
            <w:pPr>
              <w:jc w:val="center"/>
            </w:pPr>
            <w:r>
              <w:rPr>
                <w:rFonts w:ascii="Times New Roman" w:hAnsi="Times New Roman"/>
                <w:sz w:val="20"/>
              </w:rPr>
              <w:t>12</w:t>
            </w:r>
          </w:p>
        </w:tc>
      </w:tr>
      <w:tr>
        <w:tc>
          <w:tcPr>
            <w:tcW w:type="dxa" w:w="1134"/>
          </w:tcPr>
          <w:p>
            <w:pPr>
              <w:jc w:val="center"/>
            </w:pPr>
            <w:r>
              <w:rPr>
                <w:rFonts w:ascii="Times New Roman" w:hAnsi="Times New Roman"/>
                <w:sz w:val="20"/>
              </w:rPr>
              <w:t>3</w:t>
            </w:r>
          </w:p>
        </w:tc>
        <w:tc>
          <w:tcPr>
            <w:tcW w:type="dxa" w:w="5669"/>
          </w:tcPr>
          <w:p>
            <w:pPr>
              <w:jc w:val="center"/>
            </w:pPr>
            <w:r>
              <w:rPr>
                <w:rFonts w:ascii="Times New Roman" w:hAnsi="Times New Roman"/>
                <w:sz w:val="20"/>
              </w:rPr>
              <w:t>Agentic AI Reasoning Flow</w:t>
            </w:r>
          </w:p>
        </w:tc>
        <w:tc>
          <w:tcPr>
            <w:tcW w:type="dxa" w:w="1134"/>
          </w:tcPr>
          <w:p>
            <w:pPr>
              <w:jc w:val="center"/>
            </w:pPr>
            <w:r>
              <w:rPr>
                <w:rFonts w:ascii="Times New Roman" w:hAnsi="Times New Roman"/>
                <w:sz w:val="20"/>
              </w:rPr>
              <w:t>15</w:t>
            </w:r>
          </w:p>
        </w:tc>
      </w:tr>
      <w:tr>
        <w:tc>
          <w:tcPr>
            <w:tcW w:type="dxa" w:w="1134"/>
          </w:tcPr>
          <w:p>
            <w:pPr>
              <w:jc w:val="center"/>
            </w:pPr>
            <w:r>
              <w:rPr>
                <w:rFonts w:ascii="Times New Roman" w:hAnsi="Times New Roman"/>
                <w:sz w:val="20"/>
              </w:rPr>
              <w:t>4</w:t>
            </w:r>
          </w:p>
        </w:tc>
        <w:tc>
          <w:tcPr>
            <w:tcW w:type="dxa" w:w="5669"/>
          </w:tcPr>
          <w:p>
            <w:pPr>
              <w:jc w:val="center"/>
            </w:pPr>
            <w:r>
              <w:rPr>
                <w:rFonts w:ascii="Times New Roman" w:hAnsi="Times New Roman"/>
                <w:sz w:val="20"/>
              </w:rPr>
              <w:t>Home Page / Dashboard</w:t>
            </w:r>
          </w:p>
        </w:tc>
        <w:tc>
          <w:tcPr>
            <w:tcW w:type="dxa" w:w="1134"/>
          </w:tcPr>
          <w:p>
            <w:pPr>
              <w:jc w:val="center"/>
            </w:pPr>
            <w:r>
              <w:rPr>
                <w:rFonts w:ascii="Times New Roman" w:hAnsi="Times New Roman"/>
                <w:sz w:val="20"/>
              </w:rPr>
              <w:t>19</w:t>
            </w:r>
          </w:p>
        </w:tc>
      </w:tr>
      <w:tr>
        <w:tc>
          <w:tcPr>
            <w:tcW w:type="dxa" w:w="1134"/>
          </w:tcPr>
          <w:p>
            <w:pPr>
              <w:jc w:val="center"/>
            </w:pPr>
            <w:r>
              <w:rPr>
                <w:rFonts w:ascii="Times New Roman" w:hAnsi="Times New Roman"/>
                <w:sz w:val="20"/>
              </w:rPr>
              <w:t>5</w:t>
            </w:r>
          </w:p>
        </w:tc>
        <w:tc>
          <w:tcPr>
            <w:tcW w:type="dxa" w:w="5669"/>
          </w:tcPr>
          <w:p>
            <w:pPr>
              <w:jc w:val="center"/>
            </w:pPr>
            <w:r>
              <w:rPr>
                <w:rFonts w:ascii="Times New Roman" w:hAnsi="Times New Roman"/>
                <w:sz w:val="20"/>
              </w:rPr>
              <w:t>Document Upload Interface</w:t>
            </w:r>
          </w:p>
        </w:tc>
        <w:tc>
          <w:tcPr>
            <w:tcW w:type="dxa" w:w="1134"/>
          </w:tcPr>
          <w:p>
            <w:pPr>
              <w:jc w:val="center"/>
            </w:pPr>
            <w:r>
              <w:rPr>
                <w:rFonts w:ascii="Times New Roman" w:hAnsi="Times New Roman"/>
                <w:sz w:val="20"/>
              </w:rPr>
              <w:t>19</w:t>
            </w:r>
          </w:p>
        </w:tc>
      </w:tr>
      <w:tr>
        <w:tc>
          <w:tcPr>
            <w:tcW w:type="dxa" w:w="1134"/>
          </w:tcPr>
          <w:p>
            <w:pPr>
              <w:jc w:val="center"/>
            </w:pPr>
            <w:r>
              <w:rPr>
                <w:rFonts w:ascii="Times New Roman" w:hAnsi="Times New Roman"/>
                <w:sz w:val="20"/>
              </w:rPr>
              <w:t>6</w:t>
            </w:r>
          </w:p>
        </w:tc>
        <w:tc>
          <w:tcPr>
            <w:tcW w:type="dxa" w:w="5669"/>
          </w:tcPr>
          <w:p>
            <w:pPr>
              <w:jc w:val="center"/>
            </w:pPr>
            <w:r>
              <w:rPr>
                <w:rFonts w:ascii="Times New Roman" w:hAnsi="Times New Roman"/>
                <w:sz w:val="20"/>
              </w:rPr>
              <w:t>Documents List</w:t>
            </w:r>
          </w:p>
        </w:tc>
        <w:tc>
          <w:tcPr>
            <w:tcW w:type="dxa" w:w="1134"/>
          </w:tcPr>
          <w:p>
            <w:pPr>
              <w:jc w:val="center"/>
            </w:pPr>
            <w:r>
              <w:rPr>
                <w:rFonts w:ascii="Times New Roman" w:hAnsi="Times New Roman"/>
                <w:sz w:val="20"/>
              </w:rPr>
              <w:t>20</w:t>
            </w:r>
          </w:p>
        </w:tc>
      </w:tr>
      <w:tr>
        <w:tc>
          <w:tcPr>
            <w:tcW w:type="dxa" w:w="1134"/>
          </w:tcPr>
          <w:p>
            <w:pPr>
              <w:jc w:val="center"/>
            </w:pPr>
            <w:r>
              <w:rPr>
                <w:rFonts w:ascii="Times New Roman" w:hAnsi="Times New Roman"/>
                <w:sz w:val="20"/>
              </w:rPr>
              <w:t>7</w:t>
            </w:r>
          </w:p>
        </w:tc>
        <w:tc>
          <w:tcPr>
            <w:tcW w:type="dxa" w:w="5669"/>
          </w:tcPr>
          <w:p>
            <w:pPr>
              <w:jc w:val="center"/>
            </w:pPr>
            <w:r>
              <w:rPr>
                <w:rFonts w:ascii="Times New Roman" w:hAnsi="Times New Roman"/>
                <w:sz w:val="20"/>
              </w:rPr>
              <w:t>Compliance Reports List</w:t>
            </w:r>
          </w:p>
        </w:tc>
        <w:tc>
          <w:tcPr>
            <w:tcW w:type="dxa" w:w="1134"/>
          </w:tcPr>
          <w:p>
            <w:pPr>
              <w:jc w:val="center"/>
            </w:pPr>
            <w:r>
              <w:rPr>
                <w:rFonts w:ascii="Times New Roman" w:hAnsi="Times New Roman"/>
                <w:sz w:val="20"/>
              </w:rPr>
              <w:t>20</w:t>
            </w:r>
          </w:p>
        </w:tc>
      </w:tr>
      <w:tr>
        <w:tc>
          <w:tcPr>
            <w:tcW w:type="dxa" w:w="1134"/>
          </w:tcPr>
          <w:p>
            <w:pPr>
              <w:jc w:val="center"/>
            </w:pPr>
            <w:r>
              <w:rPr>
                <w:rFonts w:ascii="Times New Roman" w:hAnsi="Times New Roman"/>
                <w:sz w:val="20"/>
              </w:rPr>
              <w:t>8</w:t>
            </w:r>
          </w:p>
        </w:tc>
        <w:tc>
          <w:tcPr>
            <w:tcW w:type="dxa" w:w="5669"/>
          </w:tcPr>
          <w:p>
            <w:pPr>
              <w:jc w:val="center"/>
            </w:pPr>
            <w:r>
              <w:rPr>
                <w:rFonts w:ascii="Times New Roman" w:hAnsi="Times New Roman"/>
                <w:sz w:val="20"/>
              </w:rPr>
              <w:t>Report Detail – Summary and Accuracy Metrics</w:t>
            </w:r>
          </w:p>
        </w:tc>
        <w:tc>
          <w:tcPr>
            <w:tcW w:type="dxa" w:w="1134"/>
          </w:tcPr>
          <w:p>
            <w:pPr>
              <w:jc w:val="center"/>
            </w:pPr>
            <w:r>
              <w:rPr>
                <w:rFonts w:ascii="Times New Roman" w:hAnsi="Times New Roman"/>
                <w:sz w:val="20"/>
              </w:rPr>
              <w:t>21</w:t>
            </w:r>
          </w:p>
        </w:tc>
      </w:tr>
      <w:tr>
        <w:tc>
          <w:tcPr>
            <w:tcW w:type="dxa" w:w="1134"/>
          </w:tcPr>
          <w:p>
            <w:pPr>
              <w:jc w:val="center"/>
            </w:pPr>
            <w:r>
              <w:rPr>
                <w:rFonts w:ascii="Times New Roman" w:hAnsi="Times New Roman"/>
                <w:sz w:val="20"/>
              </w:rPr>
              <w:t>9</w:t>
            </w:r>
          </w:p>
        </w:tc>
        <w:tc>
          <w:tcPr>
            <w:tcW w:type="dxa" w:w="5669"/>
          </w:tcPr>
          <w:p>
            <w:pPr>
              <w:jc w:val="center"/>
            </w:pPr>
            <w:r>
              <w:rPr>
                <w:rFonts w:ascii="Times New Roman" w:hAnsi="Times New Roman"/>
                <w:sz w:val="20"/>
              </w:rPr>
              <w:t>Report Detail – Human Verification</w:t>
            </w:r>
          </w:p>
        </w:tc>
        <w:tc>
          <w:tcPr>
            <w:tcW w:type="dxa" w:w="1134"/>
          </w:tcPr>
          <w:p>
            <w:pPr>
              <w:jc w:val="center"/>
            </w:pPr>
            <w:r>
              <w:rPr>
                <w:rFonts w:ascii="Times New Roman" w:hAnsi="Times New Roman"/>
                <w:sz w:val="20"/>
              </w:rPr>
              <w:t>21</w:t>
            </w:r>
          </w:p>
        </w:tc>
      </w:tr>
      <w:tr>
        <w:tc>
          <w:tcPr>
            <w:tcW w:type="dxa" w:w="1134"/>
          </w:tcPr>
          <w:p>
            <w:pPr>
              <w:jc w:val="center"/>
            </w:pPr>
            <w:r>
              <w:rPr>
                <w:rFonts w:ascii="Times New Roman" w:hAnsi="Times New Roman"/>
                <w:sz w:val="20"/>
              </w:rPr>
              <w:t>10</w:t>
            </w:r>
          </w:p>
        </w:tc>
        <w:tc>
          <w:tcPr>
            <w:tcW w:type="dxa" w:w="5669"/>
          </w:tcPr>
          <w:p>
            <w:pPr>
              <w:jc w:val="center"/>
            </w:pPr>
            <w:r>
              <w:rPr>
                <w:rFonts w:ascii="Times New Roman" w:hAnsi="Times New Roman"/>
                <w:sz w:val="20"/>
              </w:rPr>
              <w:t>Report Detail – Expanded Clause Analysis</w:t>
            </w:r>
          </w:p>
        </w:tc>
        <w:tc>
          <w:tcPr>
            <w:tcW w:type="dxa" w:w="1134"/>
          </w:tcPr>
          <w:p>
            <w:pPr>
              <w:jc w:val="center"/>
            </w:pPr>
            <w:r>
              <w:rPr>
                <w:rFonts w:ascii="Times New Roman" w:hAnsi="Times New Roman"/>
                <w:sz w:val="20"/>
              </w:rPr>
              <w:t>22</w:t>
            </w:r>
          </w:p>
        </w:tc>
      </w:tr>
      <w:tr>
        <w:tc>
          <w:tcPr>
            <w:tcW w:type="dxa" w:w="1134"/>
          </w:tcPr>
          <w:p>
            <w:pPr>
              <w:jc w:val="center"/>
            </w:pPr>
            <w:r>
              <w:rPr>
                <w:rFonts w:ascii="Times New Roman" w:hAnsi="Times New Roman"/>
                <w:sz w:val="20"/>
              </w:rPr>
              <w:t>11</w:t>
            </w:r>
          </w:p>
        </w:tc>
        <w:tc>
          <w:tcPr>
            <w:tcW w:type="dxa" w:w="5669"/>
          </w:tcPr>
          <w:p>
            <w:pPr>
              <w:jc w:val="center"/>
            </w:pPr>
            <w:r>
              <w:rPr>
                <w:rFonts w:ascii="Times New Roman" w:hAnsi="Times New Roman"/>
                <w:sz w:val="20"/>
              </w:rPr>
              <w:t>ESG Clauses Browser</w:t>
            </w:r>
          </w:p>
        </w:tc>
        <w:tc>
          <w:tcPr>
            <w:tcW w:type="dxa" w:w="1134"/>
          </w:tcPr>
          <w:p>
            <w:pPr>
              <w:jc w:val="center"/>
            </w:pPr>
            <w:r>
              <w:rPr>
                <w:rFonts w:ascii="Times New Roman" w:hAnsi="Times New Roman"/>
                <w:sz w:val="20"/>
              </w:rPr>
              <w:t>22</w:t>
            </w:r>
          </w:p>
        </w:tc>
      </w:tr>
      <w:tr>
        <w:tc>
          <w:tcPr>
            <w:tcW w:type="dxa" w:w="1134"/>
          </w:tcPr>
          <w:p>
            <w:pPr>
              <w:jc w:val="center"/>
            </w:pPr>
            <w:r>
              <w:rPr>
                <w:rFonts w:ascii="Times New Roman" w:hAnsi="Times New Roman"/>
                <w:sz w:val="20"/>
              </w:rPr>
              <w:t>12</w:t>
            </w:r>
          </w:p>
        </w:tc>
        <w:tc>
          <w:tcPr>
            <w:tcW w:type="dxa" w:w="5669"/>
          </w:tcPr>
          <w:p>
            <w:pPr>
              <w:jc w:val="center"/>
            </w:pPr>
            <w:r>
              <w:rPr>
                <w:rFonts w:ascii="Times New Roman" w:hAnsi="Times New Roman"/>
                <w:sz w:val="20"/>
              </w:rPr>
              <w:t>Analytics Dashboard</w:t>
            </w:r>
          </w:p>
        </w:tc>
        <w:tc>
          <w:tcPr>
            <w:tcW w:type="dxa" w:w="1134"/>
          </w:tcPr>
          <w:p>
            <w:pPr>
              <w:jc w:val="center"/>
            </w:pPr>
            <w:r>
              <w:rPr>
                <w:rFonts w:ascii="Times New Roman" w:hAnsi="Times New Roman"/>
                <w:sz w:val="20"/>
              </w:rPr>
              <w:t>23</w:t>
            </w:r>
          </w:p>
        </w:tc>
      </w:tr>
      <w:tr>
        <w:tc>
          <w:tcPr>
            <w:tcW w:type="dxa" w:w="1134"/>
          </w:tcPr>
          <w:p>
            <w:pPr>
              <w:jc w:val="center"/>
            </w:pPr>
            <w:r>
              <w:rPr>
                <w:rFonts w:ascii="Times New Roman" w:hAnsi="Times New Roman"/>
                <w:sz w:val="20"/>
              </w:rPr>
              <w:t>13</w:t>
            </w:r>
          </w:p>
        </w:tc>
        <w:tc>
          <w:tcPr>
            <w:tcW w:type="dxa" w:w="5669"/>
          </w:tcPr>
          <w:p>
            <w:pPr>
              <w:jc w:val="center"/>
            </w:pPr>
            <w:r>
              <w:rPr>
                <w:rFonts w:ascii="Times New Roman" w:hAnsi="Times New Roman"/>
                <w:sz w:val="20"/>
              </w:rPr>
              <w:t>Live Streaming Evaluation</w:t>
            </w:r>
          </w:p>
        </w:tc>
        <w:tc>
          <w:tcPr>
            <w:tcW w:type="dxa" w:w="1134"/>
          </w:tcPr>
          <w:p>
            <w:pPr>
              <w:jc w:val="center"/>
            </w:pPr>
            <w:r>
              <w:rPr>
                <w:rFonts w:ascii="Times New Roman" w:hAnsi="Times New Roman"/>
                <w:sz w:val="20"/>
              </w:rPr>
              <w:t/>
            </w:r>
          </w:p>
        </w:tc>
      </w:tr>
      <w:tr>
        <w:tc>
          <w:tcPr>
            <w:tcW w:type="dxa" w:w="1134"/>
          </w:tcPr>
          <w:p>
            <w:pPr>
              <w:jc w:val="center"/>
            </w:pPr>
            <w:r>
              <w:rPr>
                <w:rFonts w:ascii="Times New Roman" w:hAnsi="Times New Roman"/>
                <w:sz w:val="20"/>
              </w:rPr>
              <w:t>14</w:t>
            </w:r>
          </w:p>
        </w:tc>
        <w:tc>
          <w:tcPr>
            <w:tcW w:type="dxa" w:w="5669"/>
          </w:tcPr>
          <w:p>
            <w:pPr>
              <w:jc w:val="center"/>
            </w:pPr>
            <w:r>
              <w:rPr>
                <w:rFonts w:ascii="Times New Roman" w:hAnsi="Times New Roman"/>
                <w:sz w:val="20"/>
              </w:rPr>
              <w:t>Agentic Reasoning Timeline</w:t>
            </w:r>
          </w:p>
        </w:tc>
        <w:tc>
          <w:tcPr>
            <w:tcW w:type="dxa" w:w="1134"/>
          </w:tcPr>
          <w:p>
            <w:pPr>
              <w:jc w:val="center"/>
            </w:pPr>
            <w:r>
              <w:rPr>
                <w:rFonts w:ascii="Times New Roman" w:hAnsi="Times New Roman"/>
                <w:sz w:val="20"/>
              </w:rPr>
              <w:t/>
            </w:r>
          </w:p>
        </w:tc>
      </w:tr>
      <w:tr>
        <w:tc>
          <w:tcPr>
            <w:tcW w:type="dxa" w:w="1134"/>
          </w:tcPr>
          <w:p>
            <w:pPr>
              <w:jc w:val="center"/>
            </w:pPr>
            <w:r>
              <w:rPr>
                <w:rFonts w:ascii="Times New Roman" w:hAnsi="Times New Roman"/>
                <w:sz w:val="20"/>
              </w:rPr>
              <w:t>15</w:t>
            </w:r>
          </w:p>
        </w:tc>
        <w:tc>
          <w:tcPr>
            <w:tcW w:type="dxa" w:w="5669"/>
          </w:tcPr>
          <w:p>
            <w:pPr>
              <w:jc w:val="center"/>
            </w:pPr>
            <w:r>
              <w:rPr>
                <w:rFonts w:ascii="Times New Roman" w:hAnsi="Times New Roman"/>
                <w:sz w:val="20"/>
              </w:rPr>
              <w:t>RAG Chat Interface</w:t>
            </w:r>
          </w:p>
        </w:tc>
        <w:tc>
          <w:tcPr>
            <w:tcW w:type="dxa" w:w="1134"/>
          </w:tcPr>
          <w:p>
            <w:pPr>
              <w:jc w:val="center"/>
            </w:pPr>
            <w:r>
              <w:rPr>
                <w:rFonts w:ascii="Times New Roman" w:hAnsi="Times New Roman"/>
                <w:sz w:val="20"/>
              </w:rPr>
              <w:t/>
            </w:r>
          </w:p>
        </w:tc>
      </w:tr>
      <w:tr>
        <w:tc>
          <w:tcPr>
            <w:tcW w:type="dxa" w:w="1134"/>
          </w:tcPr>
          <w:p>
            <w:pPr>
              <w:jc w:val="center"/>
            </w:pPr>
            <w:r>
              <w:rPr>
                <w:rFonts w:ascii="Times New Roman" w:hAnsi="Times New Roman"/>
                <w:sz w:val="20"/>
              </w:rPr>
              <w:t>16</w:t>
            </w:r>
          </w:p>
        </w:tc>
        <w:tc>
          <w:tcPr>
            <w:tcW w:type="dxa" w:w="5669"/>
          </w:tcPr>
          <w:p>
            <w:pPr>
              <w:jc w:val="center"/>
            </w:pPr>
            <w:r>
              <w:rPr>
                <w:rFonts w:ascii="Times New Roman" w:hAnsi="Times New Roman"/>
                <w:sz w:val="20"/>
              </w:rPr>
              <w:t>Gap Analysis / Executive Action Plan</w:t>
            </w:r>
          </w:p>
        </w:tc>
        <w:tc>
          <w:tcPr>
            <w:tcW w:type="dxa" w:w="1134"/>
          </w:tcPr>
          <w:p>
            <w:pPr>
              <w:jc w:val="center"/>
            </w:pPr>
            <w:r>
              <w:rPr>
                <w:rFonts w:ascii="Times New Roman" w:hAnsi="Times New Roman"/>
                <w:sz w:val="20"/>
              </w:rPr>
              <w:t/>
            </w:r>
          </w:p>
        </w:tc>
      </w:tr>
      <w:tr>
        <w:tc>
          <w:tcPr>
            <w:tcW w:type="dxa" w:w="1134"/>
          </w:tcPr>
          <w:p>
            <w:pPr>
              <w:jc w:val="center"/>
            </w:pPr>
            <w:r>
              <w:rPr>
                <w:rFonts w:ascii="Times New Roman" w:hAnsi="Times New Roman"/>
                <w:sz w:val="20"/>
              </w:rPr>
              <w:t>17</w:t>
            </w:r>
          </w:p>
        </w:tc>
        <w:tc>
          <w:tcPr>
            <w:tcW w:type="dxa" w:w="5669"/>
          </w:tcPr>
          <w:p>
            <w:pPr>
              <w:jc w:val="center"/>
            </w:pPr>
            <w:r>
              <w:rPr>
                <w:rFonts w:ascii="Times New Roman" w:hAnsi="Times New Roman"/>
                <w:sz w:val="20"/>
              </w:rPr>
              <w:t>Two-Company Comparison</w:t>
            </w:r>
          </w:p>
        </w:tc>
        <w:tc>
          <w:tcPr>
            <w:tcW w:type="dxa" w:w="1134"/>
          </w:tcPr>
          <w:p>
            <w:pPr>
              <w:jc w:val="center"/>
            </w:pPr>
            <w:r>
              <w:rPr>
                <w:rFonts w:ascii="Times New Roman" w:hAnsi="Times New Roman"/>
                <w:sz w:val="20"/>
              </w:rPr>
              <w:t/>
            </w:r>
          </w:p>
        </w:tc>
      </w:tr>
      <w:tr>
        <w:tc>
          <w:tcPr>
            <w:tcW w:type="dxa" w:w="1134"/>
          </w:tcPr>
          <w:p>
            <w:pPr>
              <w:jc w:val="center"/>
            </w:pPr>
            <w:r>
              <w:rPr>
                <w:rFonts w:ascii="Times New Roman" w:hAnsi="Times New Roman"/>
                <w:sz w:val="20"/>
              </w:rPr>
              <w:t>18</w:t>
            </w:r>
          </w:p>
        </w:tc>
        <w:tc>
          <w:tcPr>
            <w:tcW w:type="dxa" w:w="5669"/>
          </w:tcPr>
          <w:p>
            <w:pPr>
              <w:jc w:val="center"/>
            </w:pPr>
            <w:r>
              <w:rPr>
                <w:rFonts w:ascii="Times New Roman" w:hAnsi="Times New Roman"/>
                <w:sz w:val="20"/>
              </w:rPr>
              <w:t>PDF Report Downloads</w:t>
            </w:r>
          </w:p>
        </w:tc>
        <w:tc>
          <w:tcPr>
            <w:tcW w:type="dxa" w:w="1134"/>
          </w:tcPr>
          <w:p>
            <w:pPr>
              <w:jc w:val="center"/>
            </w:pPr>
            <w:r>
              <w:rPr>
                <w:rFonts w:ascii="Times New Roman" w:hAnsi="Times New Roman"/>
                <w:sz w:val="20"/>
              </w:rPr>
              <w:t/>
            </w:r>
          </w:p>
        </w:tc>
      </w:tr>
    </w:tbl>
    <w:p>
      <w:pPr>
        <w:spacing w:line="360" w:lineRule="auto"/>
      </w:pPr>
    </w:p>
    <w:p>
      <w:pPr>
        <w:spacing w:line="360" w:lineRule="auto"/>
      </w:pPr>
      <w:r>
        <w:rPr>
          <w:rFonts w:ascii="Times New Roman" w:hAnsi="Times New Roman"/>
          <w:sz w:val="24"/>
        </w:rPr>
        <w:br w:type="page"/>
      </w:r>
    </w:p>
    <w:p>
      <w:pPr>
        <w:spacing w:line="360" w:lineRule="auto"/>
      </w:pPr>
    </w:p>
    <w:p>
      <w:pPr>
        <w:spacing w:after="120" w:line="360" w:lineRule="auto"/>
        <w:jc w:val="center"/>
      </w:pPr>
      <w:r>
        <w:rPr>
          <w:rFonts w:ascii="Times New Roman" w:hAnsi="Times New Roman"/>
          <w:b w:val="0"/>
          <w:i w:val="0"/>
          <w:sz w:val="24"/>
        </w:rPr>
        <w:t xml:space="preserve">UI – User Interface</w:t>
      </w:r>
    </w:p>
    <w:p>
      <w:pPr>
        <w:spacing w:after="120" w:line="360" w:lineRule="auto"/>
        <w:jc w:val="center"/>
      </w:pPr>
      <w:r>
        <w:rPr>
          <w:rFonts w:ascii="Times New Roman" w:hAnsi="Times New Roman"/>
          <w:b w:val="0"/>
          <w:i w:val="0"/>
          <w:sz w:val="24"/>
        </w:rPr>
        <w:t xml:space="preserve">ECE – Expected Calibration Error</w:t>
      </w:r>
    </w:p>
    <w:p>
      <w:pPr>
        <w:spacing w:after="120" w:line="360" w:lineRule="auto"/>
        <w:jc w:val="center"/>
      </w:pPr>
      <w:r>
        <w:rPr>
          <w:rFonts w:ascii="Times New Roman" w:hAnsi="Times New Roman"/>
          <w:b w:val="0"/>
          <w:i w:val="0"/>
          <w:sz w:val="24"/>
        </w:rPr>
        <w:t xml:space="preserve">SEBI – Securities and Exchange Board of India</w:t>
      </w:r>
    </w:p>
    <w:p>
      <w:pPr>
        <w:spacing w:after="120" w:line="360" w:lineRule="auto"/>
        <w:jc w:val="center"/>
      </w:pPr>
      <w:r>
        <w:rPr>
          <w:rFonts w:ascii="Times New Roman" w:hAnsi="Times New Roman"/>
          <w:b w:val="0"/>
          <w:i w:val="0"/>
          <w:sz w:val="24"/>
        </w:rPr>
        <w:t xml:space="preserve">KPI – Key Performance Indicator</w:t>
      </w:r>
    </w:p>
    <w:p>
      <w:pPr>
        <w:spacing w:after="120" w:line="360" w:lineRule="auto"/>
        <w:jc w:val="center"/>
      </w:pPr>
      <w:r>
        <w:rPr>
          <w:rFonts w:ascii="Times New Roman" w:hAnsi="Times New Roman"/>
          <w:b w:val="0"/>
          <w:i w:val="0"/>
          <w:sz w:val="24"/>
        </w:rPr>
        <w:t xml:space="preserve">CoT – Chain-of-Thought</w:t>
      </w:r>
    </w:p>
    <w:p>
      <w:pPr>
        <w:spacing w:after="120" w:line="360" w:lineRule="auto"/>
        <w:jc w:val="center"/>
      </w:pPr>
      <w:r>
        <w:rPr>
          <w:rFonts w:ascii="Times New Roman" w:hAnsi="Times New Roman"/>
          <w:b w:val="0"/>
          <w:i w:val="0"/>
          <w:sz w:val="24"/>
        </w:rPr>
        <w:t xml:space="preserve">NLP – Natural Language Processing</w:t>
      </w:r>
    </w:p>
    <w:p>
      <w:pPr>
        <w:spacing w:after="120" w:line="360" w:lineRule="auto"/>
        <w:jc w:val="center"/>
      </w:pPr>
      <w:r>
        <w:rPr>
          <w:rFonts w:ascii="Times New Roman" w:hAnsi="Times New Roman"/>
          <w:b w:val="0"/>
          <w:i w:val="0"/>
          <w:sz w:val="24"/>
        </w:rPr>
        <w:t xml:space="preserve">PDF – Portable Document Format</w:t>
      </w:r>
    </w:p>
    <w:p>
      <w:pPr>
        <w:spacing w:after="120" w:line="360" w:lineRule="auto"/>
        <w:jc w:val="center"/>
      </w:pPr>
      <w:r>
        <w:rPr>
          <w:rFonts w:ascii="Times New Roman" w:hAnsi="Times New Roman"/>
          <w:b w:val="0"/>
          <w:i w:val="0"/>
          <w:sz w:val="24"/>
        </w:rPr>
        <w:t xml:space="preserve">API – Application Programming Interface</w:t>
      </w:r>
    </w:p>
    <w:p>
      <w:pPr>
        <w:spacing w:after="120" w:line="360" w:lineRule="auto"/>
        <w:jc w:val="center"/>
      </w:pPr>
      <w:r>
        <w:rPr>
          <w:rFonts w:ascii="Times New Roman" w:hAnsi="Times New Roman"/>
          <w:b w:val="0"/>
          <w:i w:val="0"/>
          <w:sz w:val="24"/>
        </w:rPr>
        <w:t xml:space="preserve">SSE – Server-Sent Events</w:t>
      </w:r>
    </w:p>
    <w:p>
      <w:pPr>
        <w:spacing w:after="120" w:line="360" w:lineRule="auto"/>
        <w:jc w:val="center"/>
      </w:pPr>
      <w:r>
        <w:rPr>
          <w:rFonts w:ascii="Times New Roman" w:hAnsi="Times New Roman"/>
          <w:b w:val="0"/>
          <w:i w:val="0"/>
          <w:sz w:val="24"/>
        </w:rPr>
        <w:t xml:space="preserve">RAG – Retrieval-Augmented Generation</w:t>
      </w:r>
    </w:p>
    <w:p>
      <w:pPr>
        <w:spacing w:after="120" w:line="360" w:lineRule="auto"/>
        <w:jc w:val="center"/>
      </w:pPr>
      <w:r>
        <w:rPr>
          <w:rFonts w:ascii="Times New Roman" w:hAnsi="Times New Roman"/>
          <w:b w:val="0"/>
          <w:i w:val="0"/>
          <w:sz w:val="24"/>
        </w:rPr>
        <w:t xml:space="preserve">LLM – Large Language Model</w:t>
      </w:r>
    </w:p>
    <w:p>
      <w:pPr>
        <w:spacing w:after="120" w:line="360" w:lineRule="auto"/>
        <w:jc w:val="center"/>
      </w:pPr>
      <w:r>
        <w:rPr>
          <w:rFonts w:ascii="Times New Roman" w:hAnsi="Times New Roman"/>
          <w:b w:val="0"/>
          <w:i w:val="0"/>
          <w:sz w:val="24"/>
        </w:rPr>
        <w:t xml:space="preserve">ESG – Environmental, Social, and Governance</w:t>
      </w:r>
    </w:p>
    <w:p>
      <w:pPr>
        <w:spacing w:after="120" w:line="360" w:lineRule="auto"/>
        <w:jc w:val="center"/>
      </w:pPr>
      <w:r>
        <w:rPr>
          <w:rFonts w:ascii="Times New Roman" w:hAnsi="Times New Roman"/>
          <w:b w:val="0"/>
          <w:i w:val="0"/>
          <w:sz w:val="24"/>
        </w:rPr>
        <w:t xml:space="preserve">SASB – Sustainability Accounting Standards Board</w:t>
      </w:r>
    </w:p>
    <w:p>
      <w:pPr>
        <w:spacing w:after="120" w:line="360" w:lineRule="auto"/>
        <w:jc w:val="center"/>
      </w:pPr>
      <w:r>
        <w:rPr>
          <w:rFonts w:ascii="Times New Roman" w:hAnsi="Times New Roman"/>
          <w:b w:val="0"/>
          <w:i w:val="0"/>
          <w:sz w:val="24"/>
        </w:rPr>
        <w:t xml:space="preserve">TCFD – Task Force on Climate-related Financial Disclosures</w:t>
      </w:r>
    </w:p>
    <w:p>
      <w:pPr>
        <w:spacing w:after="120" w:line="360" w:lineRule="auto"/>
        <w:jc w:val="center"/>
      </w:pPr>
      <w:r>
        <w:rPr>
          <w:rFonts w:ascii="Times New Roman" w:hAnsi="Times New Roman"/>
          <w:b w:val="0"/>
          <w:i w:val="0"/>
          <w:sz w:val="24"/>
        </w:rPr>
        <w:t xml:space="preserve">GRI – Global Reporting Initiative</w:t>
      </w:r>
    </w:p>
    <w:p>
      <w:pPr>
        <w:spacing w:after="120" w:line="360" w:lineRule="auto"/>
        <w:jc w:val="center"/>
      </w:pPr>
      <w:r>
        <w:rPr>
          <w:rFonts w:ascii="Times New Roman" w:hAnsi="Times New Roman"/>
          <w:b w:val="0"/>
          <w:i w:val="0"/>
          <w:sz w:val="24"/>
        </w:rPr>
        <w:t xml:space="preserve">BRSR – Business Responsibility and Sustainability Report</w:t>
      </w:r>
    </w:p>
    <w:p>
      <w:pPr>
        <w:spacing w:line="360" w:lineRule="auto"/>
      </w:pPr>
    </w:p>
    <w:p>
      <w:pPr>
        <w:pStyle w:val="Heading1"/>
        <w:spacing w:line="360" w:lineRule="auto"/>
        <w:jc w:val="center"/>
      </w:pPr>
      <w:r>
        <w:rPr>
          <w:rFonts w:ascii="Times New Roman" w:hAnsi="Times New Roman"/>
          <w:b/>
          <w:color w:val="000000"/>
          <w:sz w:val="36"/>
        </w:rPr>
        <w:t xml:space="preserve">ABBREVIATIONS</w:t>
      </w:r>
    </w:p>
    <w:p>
      <w:pPr>
        <w:pStyle w:val="Heading1"/>
        <w:spacing w:line="360" w:lineRule="auto"/>
        <w:jc w:val="center"/>
      </w:pPr>
      <w:r>
        <w:rPr>
          <w:rFonts w:ascii="Times New Roman" w:hAnsi="Times New Roman"/>
          <w:b/>
          <w:color w:val="000000"/>
          <w:sz w:val="36"/>
        </w:rPr>
        <w:t>Chapter 1</w:t>
      </w:r>
    </w:p>
    <w:p>
      <w:pPr>
        <w:pStyle w:val="Heading1"/>
        <w:spacing w:line="360" w:lineRule="auto"/>
        <w:jc w:val="center"/>
      </w:pPr>
      <w:r>
        <w:rPr>
          <w:rFonts w:ascii="Times New Roman" w:hAnsi="Times New Roman"/>
          <w:b/>
          <w:color w:val="000000"/>
          <w:sz w:val="36"/>
        </w:rPr>
        <w:t>Introduction</w:t>
      </w:r>
    </w:p>
    <w:p>
      <w:pPr>
        <w:pStyle w:val="Heading2"/>
        <w:spacing w:line="360" w:lineRule="auto"/>
        <w:jc w:val="left"/>
      </w:pPr>
      <w:r>
        <w:rPr>
          <w:rFonts w:ascii="Times New Roman" w:hAnsi="Times New Roman"/>
          <w:b/>
          <w:color w:val="000000"/>
          <w:sz w:val="28"/>
        </w:rPr>
        <w:t>1.1 Background</w:t>
      </w:r>
    </w:p>
    <w:p>
      <w:pPr>
        <w:spacing w:after="120" w:line="360" w:lineRule="auto"/>
        <w:jc w:val="both"/>
      </w:pPr>
      <w:r>
        <w:rPr>
          <w:rFonts w:ascii="Times New Roman" w:hAnsi="Times New Roman"/>
          <w:b w:val="0"/>
          <w:i w:val="0"/>
          <w:sz w:val="24"/>
        </w:rPr>
        <w:t>The exponential growth of ESG (Environmental, Social, and Governance) reporting requirements globally has created unprecedented challenges for companies, auditors, and investors. Environmental, Social, and Governance factors have transitioned from voluntary corporate responsibility initiatives to mandatory regulatory requirements across major economies. This transformation reflects a growing consensus among regulators, investors, and civil society that non-financial disclosures are material to investment decisions, risk assessment, and societal welfare.</w:t>
      </w:r>
    </w:p>
    <w:p>
      <w:pPr>
        <w:spacing w:after="120" w:line="360" w:lineRule="auto"/>
        <w:jc w:val="both"/>
      </w:pPr>
      <w:r>
        <w:rPr>
          <w:rFonts w:ascii="Times New Roman" w:hAnsi="Times New Roman"/>
          <w:b w:val="0"/>
          <w:i w:val="0"/>
          <w:sz w:val="24"/>
        </w:rPr>
        <w:t>In India, the Securities and Exchange Board of India (SEBI) mandated the Business Responsibility and Sustainability Report (BRSR) for the top 1,000 listed companies starting FY 2022–23, requiring disclosures across over 265 individual requirements spanning environmental footprint, employee welfare, governance practices, and stakeholder engagement [13]. Globally, the Global Reporting Initiative (GRI) Standards remain the most widely adopted sustainability reporting framework, with over 10,000 organizations publishing GRI-aligned reports [14]. The GRI Universal Standards revision of 2021 introduced a modular structure with universal standards (GRI 1, 2, 3) alongside topic-specific standards covering emissions, water, waste, employment, and diversity.</w:t>
      </w:r>
    </w:p>
    <w:p>
      <w:pPr>
        <w:spacing w:after="120" w:line="360" w:lineRule="auto"/>
        <w:jc w:val="both"/>
      </w:pPr>
      <w:r>
        <w:rPr>
          <w:rFonts w:ascii="Times New Roman" w:hAnsi="Times New Roman"/>
          <w:b w:val="0"/>
          <w:i w:val="0"/>
          <w:sz w:val="24"/>
        </w:rPr>
        <w:t>The Task Force on Climate-related Financial Disclosures (TCFD), established by the Financial Stability Board in 2017, provides recommendations specifically targeting climate-related risks and opportunities organized under four pillars: Governance, Strategy, Risk Management, and Metrics and Targets [15]. The Sustainability Accounting Standards Board (SASB) complements these frameworks by providing industry-specific metrics designed to communicate financially material sustainability information to investors [8].</w:t>
      </w:r>
    </w:p>
    <w:p>
      <w:pPr>
        <w:spacing w:after="120" w:line="360" w:lineRule="auto"/>
        <w:jc w:val="both"/>
      </w:pPr>
      <w:r>
        <w:rPr>
          <w:rFonts w:ascii="Times New Roman" w:hAnsi="Times New Roman"/>
          <w:b w:val="0"/>
          <w:i w:val="0"/>
          <w:sz w:val="24"/>
        </w:rPr>
        <w:t>Compliance verification against these frameworks presents a formidable operational challenge. A single ESG standard may contain between 30 and 265 individual disclosure clauses, each requiring specific types of evidence—quantitative metrics, narrative descriptions, policy documentation, or temporal data. Companies must map their sustainability reports against each clause, determine the degree of compliance, and identify gaps. This process is currently performed manually by ESG consultants and compliance officers, often requiring three to five working days per framework per company. When the same company must be evaluated against multiple frameworks, the review time multiplies considerably. The manual process is inherently slow, subjective, and expensive—different analysts may interpret the same clause differently, and investment firms evaluating hundreds of portfolio companies find the approach fundamentally unscalable.</w:t>
      </w:r>
    </w:p>
    <w:p>
      <w:pPr>
        <w:pStyle w:val="Heading2"/>
        <w:spacing w:line="360" w:lineRule="auto"/>
        <w:jc w:val="left"/>
      </w:pPr>
      <w:r>
        <w:rPr>
          <w:rFonts w:ascii="Times New Roman" w:hAnsi="Times New Roman"/>
          <w:b/>
          <w:color w:val="000000"/>
          <w:sz w:val="28"/>
        </w:rPr>
        <w:t>1.2 Motivation and Scope</w:t>
      </w:r>
    </w:p>
    <w:p>
      <w:pPr>
        <w:spacing w:after="120" w:line="360" w:lineRule="auto"/>
        <w:jc w:val="both"/>
      </w:pPr>
      <w:r>
        <w:rPr>
          <w:rFonts w:ascii="Times New Roman" w:hAnsi="Times New Roman"/>
          <w:b w:val="0"/>
          <w:i w:val="0"/>
          <w:sz w:val="24"/>
        </w:rPr>
        <w:t>The motivation for ESG Buddy stems from observed inefficiencies in current ESG compliance verification practices:</w:t>
      </w:r>
    </w:p>
    <w:p>
      <w:pPr>
        <w:pStyle w:val="ListBullet"/>
        <w:spacing w:after="60" w:line="360" w:lineRule="auto"/>
      </w:pPr>
      <w:r>
        <w:rPr>
          <w:rFonts w:ascii="Times New Roman" w:hAnsi="Times New Roman"/>
          <w:sz w:val="24"/>
        </w:rPr>
        <w:t>The manual nature of clause-by-clause review, requiring 3–5 working days per framework per company.</w:t>
      </w:r>
    </w:p>
    <w:p>
      <w:pPr>
        <w:pStyle w:val="ListBullet"/>
        <w:spacing w:after="60" w:line="360" w:lineRule="auto"/>
      </w:pPr>
      <w:r>
        <w:rPr>
          <w:rFonts w:ascii="Times New Roman" w:hAnsi="Times New Roman"/>
          <w:sz w:val="24"/>
        </w:rPr>
        <w:t>Inconsistency arising from subjective interpretation, where different analysts may reach different conclusions about the same disclosure.</w:t>
      </w:r>
    </w:p>
    <w:p>
      <w:pPr>
        <w:pStyle w:val="ListBullet"/>
        <w:spacing w:after="60" w:line="360" w:lineRule="auto"/>
      </w:pPr>
      <w:r>
        <w:rPr>
          <w:rFonts w:ascii="Times New Roman" w:hAnsi="Times New Roman"/>
          <w:sz w:val="24"/>
        </w:rPr>
        <w:t>Difficulty scaling across large portfolios, making it uneconomical for investment firms evaluating hundreds of companies.</w:t>
      </w:r>
    </w:p>
    <w:p>
      <w:pPr>
        <w:pStyle w:val="ListBullet"/>
        <w:spacing w:after="60" w:line="360" w:lineRule="auto"/>
      </w:pPr>
      <w:r>
        <w:rPr>
          <w:rFonts w:ascii="Times New Roman" w:hAnsi="Times New Roman"/>
          <w:sz w:val="24"/>
        </w:rPr>
        <w:t>The absence of standardized, quantitative accuracy measurement for compliance assessments.</w:t>
      </w:r>
    </w:p>
    <w:p>
      <w:pPr>
        <w:pStyle w:val="ListBullet"/>
        <w:spacing w:after="60" w:line="360" w:lineRule="auto"/>
      </w:pPr>
      <w:r>
        <w:rPr>
          <w:rFonts w:ascii="Times New Roman" w:hAnsi="Times New Roman"/>
          <w:sz w:val="24"/>
        </w:rPr>
        <w:t>Lack of transparent reasoning—traditional tools provide binary pass/fail without explaining why.</w:t>
      </w:r>
    </w:p>
    <w:p>
      <w:pPr>
        <w:spacing w:after="120" w:line="360" w:lineRule="auto"/>
        <w:jc w:val="both"/>
      </w:pPr>
      <w:r>
        <w:rPr>
          <w:rFonts w:ascii="Times New Roman" w:hAnsi="Times New Roman"/>
          <w:b w:val="0"/>
          <w:i w:val="0"/>
          <w:sz w:val="24"/>
        </w:rPr>
        <w:t>Large Language Models (LLMs) combined with Retrieval-Augmented Generation (RAG) and vector databases present a compelling opportunity to automate this process while maintaining explainability through evidence tracing. When augmented with the emerging paradigm of agentic AI—where the LLM reasons step-by-step through chain-of-thought prompting, critically reviews its own analysis through self-reflection, and revises its decisions when inconsistencies are detected—the system can mirror the deliberative process of a human compliance auditor.</w:t>
      </w:r>
    </w:p>
    <w:p>
      <w:pPr>
        <w:spacing w:after="120" w:line="360" w:lineRule="auto"/>
        <w:jc w:val="both"/>
      </w:pPr>
      <w:r>
        <w:rPr>
          <w:rFonts w:ascii="Times New Roman" w:hAnsi="Times New Roman"/>
          <w:b w:val="0"/>
          <w:i w:val="0"/>
          <w:sz w:val="24"/>
        </w:rPr>
        <w:t>The project scope encompasses: processing ESG standard PDFs into structured clause databases across four major frameworks (BRSR, GRI, TCFD, SASB); implementing semantic document search for evidence retrieval using vector embeddings; creating framework-specific AI evaluation with agentic reasoning; developing a human verification dashboard for ambiguous predictions; implementing ground truth accuracy measurement with comprehensive metrics; and building an analytics dashboard for multi-company, multi-framework compliance visualization.</w:t>
      </w:r>
    </w:p>
    <w:p>
      <w:pPr>
        <w:pStyle w:val="Heading2"/>
        <w:spacing w:line="360" w:lineRule="auto"/>
        <w:jc w:val="left"/>
      </w:pPr>
      <w:r>
        <w:rPr>
          <w:rFonts w:ascii="Times New Roman" w:hAnsi="Times New Roman"/>
          <w:b/>
          <w:color w:val="000000"/>
          <w:sz w:val="28"/>
        </w:rPr>
        <w:t>1.3 Problem Statement</w:t>
      </w:r>
    </w:p>
    <w:p>
      <w:pPr>
        <w:spacing w:after="120" w:line="360" w:lineRule="auto"/>
        <w:jc w:val="both"/>
      </w:pPr>
      <w:r>
        <w:rPr>
          <w:rFonts w:ascii="Times New Roman" w:hAnsi="Times New Roman"/>
          <w:b w:val="0"/>
          <w:i w:val="0"/>
          <w:sz w:val="24"/>
        </w:rPr>
        <w:t>The primary problems addressed by ESG Buddy include:</w:t>
      </w:r>
    </w:p>
    <w:p>
      <w:pPr>
        <w:pStyle w:val="ListNumber"/>
        <w:spacing w:after="60" w:line="360" w:lineRule="auto"/>
      </w:pPr>
      <w:r>
        <w:rPr>
          <w:rFonts w:ascii="Times New Roman" w:hAnsi="Times New Roman"/>
          <w:sz w:val="24"/>
        </w:rPr>
        <w:t>Insufficient semantic understanding in existing automated compliance tools that rely on keyword matching, unable to interpret the nuanced language of ESG disclosures.</w:t>
      </w:r>
    </w:p>
    <w:p>
      <w:pPr>
        <w:pStyle w:val="ListNumber"/>
        <w:spacing w:after="60" w:line="360" w:lineRule="auto"/>
      </w:pPr>
      <w:r>
        <w:rPr>
          <w:rFonts w:ascii="Times New Roman" w:hAnsi="Times New Roman"/>
          <w:sz w:val="24"/>
        </w:rPr>
        <w:t>Lack of framework-specific evaluation logic that recognizes the fundamentally different assessment philosophies of BRSR (disclosure presence) versus GRI (substantive evidence) versus TCFD (climate specificity) versus SASB (financial materiality).</w:t>
      </w:r>
    </w:p>
    <w:p>
      <w:pPr>
        <w:pStyle w:val="ListNumber"/>
        <w:spacing w:after="60" w:line="360" w:lineRule="auto"/>
      </w:pPr>
      <w:r>
        <w:rPr>
          <w:rFonts w:ascii="Times New Roman" w:hAnsi="Times New Roman"/>
          <w:sz w:val="24"/>
        </w:rPr>
        <w:t>Absence of transparent AI reasoning that enables human validation—existing tools provide opaque classifications without evidence trails or reasoning traces.</w:t>
      </w:r>
    </w:p>
    <w:p>
      <w:pPr>
        <w:pStyle w:val="ListNumber"/>
        <w:spacing w:after="60" w:line="360" w:lineRule="auto"/>
      </w:pPr>
      <w:r>
        <w:rPr>
          <w:rFonts w:ascii="Times New Roman" w:hAnsi="Times New Roman"/>
          <w:sz w:val="24"/>
        </w:rPr>
        <w:t>The need for a human-in-the-loop mechanism that focuses expert attention on uncertain cases rather than requiring full manual review of every clause.</w:t>
      </w:r>
    </w:p>
    <w:p>
      <w:pPr>
        <w:pStyle w:val="ListNumber"/>
        <w:spacing w:after="60" w:line="360" w:lineRule="auto"/>
      </w:pPr>
      <w:r>
        <w:rPr>
          <w:rFonts w:ascii="Times New Roman" w:hAnsi="Times New Roman"/>
          <w:sz w:val="24"/>
        </w:rPr>
        <w:t>Lack of standardized, quantitative accuracy measurement for compliance assessments, making it impossible to objectively benchmark system performance.</w:t>
      </w:r>
    </w:p>
    <w:p>
      <w:pPr>
        <w:pStyle w:val="Heading2"/>
        <w:spacing w:line="360" w:lineRule="auto"/>
        <w:jc w:val="left"/>
      </w:pPr>
      <w:r>
        <w:rPr>
          <w:rFonts w:ascii="Times New Roman" w:hAnsi="Times New Roman"/>
          <w:b/>
          <w:color w:val="000000"/>
          <w:sz w:val="28"/>
        </w:rPr>
        <w:t>1.4 Salient Contributions</w:t>
      </w:r>
    </w:p>
    <w:p>
      <w:pPr>
        <w:spacing w:after="120" w:line="360" w:lineRule="auto"/>
        <w:jc w:val="both"/>
      </w:pPr>
      <w:r>
        <w:rPr>
          <w:rFonts w:ascii="Times New Roman" w:hAnsi="Times New Roman"/>
          <w:b w:val="0"/>
          <w:i w:val="0"/>
          <w:sz w:val="24"/>
        </w:rPr>
        <w:t>The key contributions of this project are:</w:t>
      </w:r>
    </w:p>
    <w:p>
      <w:pPr>
        <w:pStyle w:val="ListNumber"/>
        <w:spacing w:after="60" w:line="360" w:lineRule="auto"/>
      </w:pPr>
      <w:r>
        <w:rPr>
          <w:rFonts w:ascii="Times New Roman" w:hAnsi="Times New Roman"/>
          <w:b/>
          <w:sz w:val="24"/>
        </w:rPr>
        <w:t xml:space="preserve">Clause-Level Granularity: </w:t>
      </w:r>
      <w:r>
        <w:rPr>
          <w:rFonts w:ascii="Times New Roman" w:hAnsi="Times New Roman"/>
          <w:sz w:val="24"/>
        </w:rPr>
        <w:t>A clause-level compliance evaluation system</w:t>
      </w:r>
    </w:p>
    <w:p>
      <w:pPr>
        <w:pStyle w:val="ListNumber"/>
        <w:spacing w:after="60" w:line="360" w:lineRule="auto"/>
      </w:pPr>
      <w:r>
        <w:rPr>
          <w:rFonts w:ascii="Times New Roman" w:hAnsi="Times New Roman"/>
          <w:b/>
          <w:sz w:val="24"/>
        </w:rPr>
        <w:t xml:space="preserve">Hybrid Pipeline: </w:t>
      </w:r>
      <w:r>
        <w:rPr>
          <w:rFonts w:ascii="Times New Roman" w:hAnsi="Times New Roman"/>
          <w:sz w:val="24"/>
        </w:rPr>
        <w:t>A hybrid four-step pipeline combining semantic retrieval (RAG), LLM-based reasoning, and deterministic rule validation.</w:t>
      </w:r>
    </w:p>
    <w:p>
      <w:pPr>
        <w:pStyle w:val="ListNumber"/>
        <w:spacing w:after="60" w:line="360" w:lineRule="auto"/>
      </w:pPr>
      <w:r>
        <w:rPr>
          <w:rFonts w:ascii="Times New Roman" w:hAnsi="Times New Roman"/>
          <w:b/>
          <w:sz w:val="24"/>
        </w:rPr>
        <w:t xml:space="preserve">Framework-Specific Prompting: </w:t>
      </w:r>
      <w:r>
        <w:rPr>
          <w:rFonts w:ascii="Times New Roman" w:hAnsi="Times New Roman"/>
          <w:sz w:val="24"/>
        </w:rPr>
        <w:t>Tailored system prompts for BRSR, GRI, TCFD, and SASB that respect each framework's unique disclosure philosophy.</w:t>
      </w:r>
    </w:p>
    <w:p>
      <w:pPr>
        <w:pStyle w:val="ListNumber"/>
        <w:spacing w:after="60" w:line="360" w:lineRule="auto"/>
      </w:pPr>
      <w:r>
        <w:rPr>
          <w:rFonts w:ascii="Times New Roman" w:hAnsi="Times New Roman"/>
          <w:b/>
          <w:sz w:val="24"/>
        </w:rPr>
        <w:t xml:space="preserve">Agentic AI Reasoning: </w:t>
      </w:r>
      <w:r>
        <w:rPr>
          <w:rFonts w:ascii="Times New Roman" w:hAnsi="Times New Roman"/>
          <w:sz w:val="24"/>
        </w:rPr>
        <w:t>An agentic AI reasoning pipeline with chain-of-thought analysis, self-reflection, and conditional revision for improved accuracy and transparency.</w:t>
      </w:r>
    </w:p>
    <w:p>
      <w:pPr>
        <w:pStyle w:val="ListNumber"/>
        <w:spacing w:after="60" w:line="360" w:lineRule="auto"/>
      </w:pPr>
      <w:r>
        <w:rPr>
          <w:rFonts w:ascii="Times New Roman" w:hAnsi="Times New Roman"/>
          <w:b/>
          <w:sz w:val="24"/>
        </w:rPr>
        <w:t xml:space="preserve">Human-in-the-Loop Verification: </w:t>
      </w:r>
      <w:r>
        <w:rPr>
          <w:rFonts w:ascii="Times New Roman" w:hAnsi="Times New Roman"/>
          <w:sz w:val="24"/>
        </w:rPr>
        <w:t>A human verification dashboard that reduces manual review to only ambiguous predictions, cutting manual effort by 70–80%.</w:t>
      </w:r>
    </w:p>
    <w:p>
      <w:pPr>
        <w:pStyle w:val="ListNumber"/>
        <w:spacing w:after="60" w:line="360" w:lineRule="auto"/>
      </w:pPr>
      <w:r>
        <w:rPr>
          <w:rFonts w:ascii="Times New Roman" w:hAnsi="Times New Roman"/>
          <w:b/>
          <w:sz w:val="24"/>
        </w:rPr>
        <w:t xml:space="preserve">Comprehensive Accuracy Benchmarking: </w:t>
      </w:r>
      <w:r>
        <w:rPr>
          <w:rFonts w:ascii="Times New Roman" w:hAnsi="Times New Roman"/>
          <w:sz w:val="24"/>
        </w:rPr>
        <w:t>A ground truth accuracy system with manually annotated labels across 13 companies, computing Precision, Recall, F1 Score, Status Match Accuracy, Retrieval Recall@K, and Confidence Calibration Error.</w:t>
      </w:r>
    </w:p>
    <w:p>
      <w:pPr>
        <w:pStyle w:val="ListNumber"/>
        <w:spacing w:after="60" w:line="360" w:lineRule="auto"/>
      </w:pPr>
      <w:r>
        <w:rPr>
          <w:rFonts w:ascii="Times New Roman" w:hAnsi="Times New Roman"/>
          <w:b/>
          <w:sz w:val="24"/>
        </w:rPr>
        <w:t xml:space="preserve">Analytics Dashboard: </w:t>
      </w:r>
      <w:r>
        <w:rPr>
          <w:rFonts w:ascii="Times New Roman" w:hAnsi="Times New Roman"/>
          <w:sz w:val="24"/>
        </w:rPr>
        <w:t>A production-grade analytics dashboard enabling multi-company, multi-framework compliance comparison with interactive visualizations.</w:t>
      </w:r>
    </w:p>
    <w:p>
      <w:pPr>
        <w:pStyle w:val="ListNumber"/>
        <w:spacing w:after="60" w:line="360" w:lineRule="auto"/>
      </w:pPr>
      <w:r>
        <w:rPr>
          <w:rFonts w:ascii="Times New Roman" w:hAnsi="Times New Roman"/>
          <w:b/>
          <w:sz w:val="24"/>
        </w:rPr>
        <w:t xml:space="preserve">Real-Time Streaming Evaluation: A Server-Sent Events (SSE) based streaming architecture that provides live progress tracking during clause-by-clause evaluation, with an AbortController mechanism to prevent duplicate report generation from React StrictMode re-mounts.</w:t>
      </w:r>
    </w:p>
    <w:p>
      <w:pPr>
        <w:pStyle w:val="ListNumber"/>
        <w:spacing w:after="60" w:line="360" w:lineRule="auto"/>
      </w:pPr>
      <w:r>
        <w:rPr>
          <w:rFonts w:ascii="Times New Roman" w:hAnsi="Times New Roman"/>
          <w:b/>
          <w:sz w:val="24"/>
        </w:rPr>
        <w:t xml:space="preserve">RAG-Based Document Chat: A conversational interface enabling natural language queries about source sustainability reports, powered by semantic retrieval from ChromaDB and GPT-4o-mini, with source attribution and configurable retrieval depth.</w:t>
      </w:r>
    </w:p>
    <w:p>
      <w:pPr>
        <w:pStyle w:val="ListNumber"/>
        <w:spacing w:after="60" w:line="360" w:lineRule="auto"/>
      </w:pPr>
      <w:r>
        <w:rPr>
          <w:rFonts w:ascii="Times New Roman" w:hAnsi="Times New Roman"/>
          <w:b/>
          <w:sz w:val="24"/>
        </w:rPr>
        <w:t xml:space="preserve">Gap Analysis and Executive Action Plan: An LLM-powered gap analysis module that synthesizes all non-compliant and partially compliant clauses into a prioritized improvement roadmap, grouped by ESG pillar (Environment, Social, Governance) with effort classifications (Quick Win, Moderate, Structural) and server-side caching for instant retrieval.</w:t>
      </w:r>
    </w:p>
    <w:p>
      <w:pPr>
        <w:pStyle w:val="ListNumber"/>
        <w:spacing w:after="60" w:line="360" w:lineRule="auto"/>
      </w:pPr>
      <w:r>
        <w:rPr>
          <w:rFonts w:ascii="Times New Roman" w:hAnsi="Times New Roman"/>
          <w:b/>
          <w:sz w:val="24"/>
        </w:rPr>
        <w:t xml:space="preserve">PDF Report Generation: Automated generation of formatted, downloadable PDF reports for both compliance assessments and executive action plans using ReportLab, featuring color-coded sections, KPI strips, and professional formatting.</w:t>
      </w:r>
    </w:p>
    <w:p>
      <w:pPr>
        <w:pStyle w:val="ListNumber"/>
        <w:spacing w:after="60" w:line="360" w:lineRule="auto"/>
      </w:pPr>
      <w:r>
        <w:rPr>
          <w:rFonts w:ascii="Times New Roman" w:hAnsi="Times New Roman"/>
          <w:b/>
          <w:sz w:val="24"/>
        </w:rPr>
        <w:t xml:space="preserve">Agentic Reasoning Visualization: An interactive vertical timeline UI that renders the AI’s complete decision-making process—initial analysis, reasoning steps, self-reflection, identified issues, and revised verdict—enabling auditors to trace and validate every compliance judgment.</w:t>
      </w:r>
    </w:p>
    <w:p>
      <w:pPr>
        <w:pStyle w:val="ListNumber"/>
        <w:spacing w:after="60" w:line="360" w:lineRule="auto"/>
      </w:pPr>
      <w:r>
        <w:rPr>
          <w:rFonts w:ascii="Times New Roman" w:hAnsi="Times New Roman"/>
          <w:b/>
          <w:sz w:val="24"/>
        </w:rPr>
        <w:t xml:space="preserve">Two-Company Comparison: A side-by-side compliance comparison dashboard enabling direct benchmarking of two companies across any framework, with synchronized clause-level status comparison and aggregate statistics.</w:t>
      </w:r>
    </w:p>
    <w:p>
      <w:pPr>
        <w:pStyle w:val="Heading2"/>
        <w:spacing w:line="360" w:lineRule="auto"/>
        <w:jc w:val="left"/>
      </w:pPr>
      <w:r>
        <w:rPr>
          <w:rFonts w:ascii="Times New Roman" w:hAnsi="Times New Roman"/>
          <w:b/>
          <w:color w:val="000000"/>
          <w:sz w:val="28"/>
        </w:rPr>
        <w:t>1.5 Organization of Report</w:t>
      </w:r>
    </w:p>
    <w:p>
      <w:pPr>
        <w:spacing w:after="120" w:line="360" w:lineRule="auto"/>
        <w:jc w:val="both"/>
      </w:pPr>
      <w:r>
        <w:rPr>
          <w:rFonts w:ascii="Times New Roman" w:hAnsi="Times New Roman"/>
          <w:b w:val="0"/>
          <w:i w:val="0"/>
          <w:sz w:val="24"/>
        </w:rPr>
        <w:t xml:space="preserve">This report is organized as follows. Chapter 1 introduces the project context, motivation, problem statement, and contributions. Chapter 2 presents a literature survey covering AI-powered compliance verification, RAG frameworks, self-reflective language models, and ESG reporting practices. Chapter 3 details the system architecture, document ingestion pipeline, ESG standards parsing, compliance evaluation pipeline, agentic AI pipeline, ground truth evaluation methodology, frontend design including human-in-the-loop verification, real-time streaming evaluation, RAG-based document chat, gap analysis and action plan generation, and PDF report generation. Chapter 4 presents results including application screenshots, accuracy metrics, framework-specific analysis, agentic AI impact, and processing performance. Chapter 5 discusses advantages, limitations, and applications. Chapter 6 concludes the report and outlines future scope.</w:t>
      </w:r>
    </w:p>
    <w:p>
      <w:pPr>
        <w:spacing w:line="360" w:lineRule="auto"/>
      </w:pPr>
      <w:r>
        <w:rPr>
          <w:rFonts w:ascii="Times New Roman" w:hAnsi="Times New Roman"/>
          <w:sz w:val="24"/>
        </w:rPr>
        <w:br w:type="page"/>
      </w:r>
    </w:p>
    <w:p>
      <w:pPr>
        <w:pStyle w:val="Heading1"/>
        <w:spacing w:line="360" w:lineRule="auto"/>
        <w:jc w:val="center"/>
      </w:pPr>
      <w:r>
        <w:rPr>
          <w:rFonts w:ascii="Times New Roman" w:hAnsi="Times New Roman"/>
          <w:b/>
          <w:color w:val="000000"/>
          <w:sz w:val="36"/>
        </w:rPr>
        <w:t>Chapter 2</w:t>
      </w:r>
    </w:p>
    <w:p>
      <w:pPr>
        <w:pStyle w:val="Heading1"/>
        <w:spacing w:line="360" w:lineRule="auto"/>
        <w:jc w:val="center"/>
      </w:pPr>
      <w:r>
        <w:rPr>
          <w:rFonts w:ascii="Times New Roman" w:hAnsi="Times New Roman"/>
          <w:b/>
          <w:color w:val="000000"/>
          <w:sz w:val="36"/>
        </w:rPr>
        <w:t>Literature Survey</w:t>
      </w:r>
    </w:p>
    <w:p>
      <w:pPr>
        <w:pStyle w:val="Heading2"/>
        <w:spacing w:line="360" w:lineRule="auto"/>
        <w:jc w:val="left"/>
      </w:pPr>
      <w:r>
        <w:rPr>
          <w:rFonts w:ascii="Times New Roman" w:hAnsi="Times New Roman"/>
          <w:b/>
          <w:color w:val="000000"/>
          <w:sz w:val="28"/>
        </w:rPr>
        <w:t>2.1 Introduction</w:t>
      </w:r>
    </w:p>
    <w:p>
      <w:pPr>
        <w:spacing w:after="120" w:line="360" w:lineRule="auto"/>
        <w:jc w:val="both"/>
      </w:pPr>
      <w:r>
        <w:rPr>
          <w:rFonts w:ascii="Times New Roman" w:hAnsi="Times New Roman"/>
          <w:b w:val="0"/>
          <w:i w:val="0"/>
          <w:sz w:val="24"/>
        </w:rPr>
        <w:t>The field of AI-powered compliance verification has evolved significantly, driven by advances in large language models and increasing ESG regulatory burdens across global markets. Traditional keyword-based screening tools lack the semantic understanding necessary for accurate compliance assessment [1]. RAG techniques that combine retrieval with generative models have shown promising results for grounding AI judgments in document content [3]. Agentic reasoning approaches where LLMs engage in multi-step reasoning with self-reflection have demonstrated improved accuracy for complex judgment tasks [6][8]. This chapter reviews the relevant literature across ESG compliance, NLP for document analysis, RAG architectures, LLMs for regulatory compliance, and agentic AI.</w:t>
      </w:r>
    </w:p>
    <w:p>
      <w:pPr>
        <w:pStyle w:val="Heading2"/>
        <w:spacing w:line="360" w:lineRule="auto"/>
        <w:jc w:val="left"/>
      </w:pPr>
      <w:r>
        <w:rPr>
          <w:rFonts w:ascii="Times New Roman" w:hAnsi="Times New Roman"/>
          <w:b/>
          <w:color w:val="000000"/>
          <w:sz w:val="28"/>
        </w:rPr>
        <w:t>2.2 Literature Survey</w:t>
      </w:r>
    </w:p>
    <w:p>
      <w:pPr>
        <w:spacing w:after="120" w:line="360" w:lineRule="auto"/>
        <w:jc w:val="both"/>
      </w:pPr>
      <w:r>
        <w:rPr>
          <w:rFonts w:ascii="Times New Roman" w:hAnsi="Times New Roman"/>
          <w:b/>
          <w:i w:val="0"/>
          <w:sz w:val="24"/>
        </w:rPr>
        <w:t xml:space="preserve">ESG and Financial Performance. </w:t>
      </w:r>
      <w:r>
        <w:rPr>
          <w:rFonts w:ascii="Times New Roman" w:hAnsi="Times New Roman"/>
          <w:b w:val="0"/>
          <w:i w:val="0"/>
          <w:sz w:val="24"/>
        </w:rPr>
        <w:t>Friede, Busch, and Bassen [1] conducted a comprehensive meta-analysis of over 2,000 empirical studies establishing that ESG metrics have material financial implications. Their finding that the majority of studies report a positive ESG-financial performance relationship underscores the business case for rigorous, scalable ESG evaluation tools. This work motivates the need for automated compliance verification that can operate at the scale demanded by institutional investors managing large portfolios.</w:t>
      </w:r>
    </w:p>
    <w:p>
      <w:pPr>
        <w:spacing w:after="120" w:line="360" w:lineRule="auto"/>
        <w:jc w:val="both"/>
      </w:pPr>
      <w:r>
        <w:rPr>
          <w:rFonts w:ascii="Times New Roman" w:hAnsi="Times New Roman"/>
          <w:b/>
          <w:i w:val="0"/>
          <w:sz w:val="24"/>
        </w:rPr>
        <w:t xml:space="preserve">NLP for Sustainability Disclosures. </w:t>
      </w:r>
      <w:r>
        <w:rPr>
          <w:rFonts w:ascii="Times New Roman" w:hAnsi="Times New Roman"/>
          <w:b w:val="0"/>
          <w:i w:val="0"/>
          <w:sz w:val="24"/>
        </w:rPr>
        <w:t>Luo, Xie, and Ananiadou [2] applied Natural Language Processing to classify sustainability disclosures against GRI standards, achieving moderate accuracy. However, their approach treated all frameworks uniformly without accounting for the distinct evaluation philosophies inherent to each standard. This limitation—failing to distinguish between disclosure presence (BRSR) and substantive evidence assessment (GRI)—directly motivates ESG Buddy's framework-specific prompting strategy.</w:t>
      </w:r>
    </w:p>
    <w:p>
      <w:pPr>
        <w:spacing w:after="120" w:line="360" w:lineRule="auto"/>
        <w:jc w:val="both"/>
      </w:pPr>
      <w:r>
        <w:rPr>
          <w:rFonts w:ascii="Times New Roman" w:hAnsi="Times New Roman"/>
          <w:b/>
          <w:i w:val="0"/>
          <w:sz w:val="24"/>
        </w:rPr>
        <w:t xml:space="preserve">Retrieval-Augmented Generation. </w:t>
      </w:r>
      <w:r>
        <w:rPr>
          <w:rFonts w:ascii="Times New Roman" w:hAnsi="Times New Roman"/>
          <w:b w:val="0"/>
          <w:i w:val="0"/>
          <w:sz w:val="24"/>
        </w:rPr>
        <w:t>Lewis et al. [3] introduced the foundational RAG framework, demonstrating that combining retrieval with generative models significantly improves factual accuracy by grounding outputs in retrieved evidence. This approach—retrieving evidence first, then evaluating with an LLM—is central to ESG Buddy's design. By conditioning compliance decisions on retrieved document passages rather than relying solely on the LLM's parametric knowledge, the system reduces hallucination and enables evidence-traced decisions.</w:t>
      </w:r>
    </w:p>
    <w:p>
      <w:pPr>
        <w:spacing w:after="120" w:line="360" w:lineRule="auto"/>
        <w:jc w:val="both"/>
      </w:pPr>
      <w:r>
        <w:rPr>
          <w:rFonts w:ascii="Times New Roman" w:hAnsi="Times New Roman"/>
          <w:b/>
          <w:i w:val="0"/>
          <w:sz w:val="24"/>
        </w:rPr>
        <w:t xml:space="preserve">LLM-Based Regulatory Compliance. </w:t>
      </w:r>
      <w:r>
        <w:rPr>
          <w:rFonts w:ascii="Times New Roman" w:hAnsi="Times New Roman"/>
          <w:b w:val="0"/>
          <w:i w:val="0"/>
          <w:sz w:val="24"/>
        </w:rPr>
        <w:t>Huang, Zhang, and Li [4] demonstrated that LLMs can assess regulatory compliance when provided with requirement text and evidence, achieving strong performance on several regulatory benchmarks. However, their system required manual evidence identification rather than automated retrieval, limiting scalability. ESG Buddy addresses this by automating both the retrieval and evaluation stages.</w:t>
      </w:r>
    </w:p>
    <w:p>
      <w:pPr>
        <w:spacing w:after="120" w:line="360" w:lineRule="auto"/>
        <w:jc w:val="both"/>
      </w:pPr>
      <w:r>
        <w:rPr>
          <w:rFonts w:ascii="Times New Roman" w:hAnsi="Times New Roman"/>
          <w:b/>
          <w:i w:val="0"/>
          <w:sz w:val="24"/>
        </w:rPr>
        <w:t xml:space="preserve">Automated Sustainability Assessment. </w:t>
      </w:r>
      <w:r>
        <w:rPr>
          <w:rFonts w:ascii="Times New Roman" w:hAnsi="Times New Roman"/>
          <w:b w:val="0"/>
          <w:i w:val="0"/>
          <w:sz w:val="24"/>
        </w:rPr>
        <w:t>Kang and El-Gazzar [5] developed automated sustainability disclosure assessment using keyword analysis and readability metrics, but their approach lacked the semantic understanding necessary for genuine compliance evaluation—keyword presence does not equate to substantive disclosure of a specific requirement.</w:t>
      </w:r>
    </w:p>
    <w:p>
      <w:pPr>
        <w:spacing w:after="120" w:line="360" w:lineRule="auto"/>
        <w:jc w:val="both"/>
      </w:pPr>
      <w:r>
        <w:rPr>
          <w:rFonts w:ascii="Times New Roman" w:hAnsi="Times New Roman"/>
          <w:b/>
          <w:i w:val="0"/>
          <w:sz w:val="24"/>
        </w:rPr>
        <w:t xml:space="preserve">Self-Reflection in Language Models. </w:t>
      </w:r>
      <w:r>
        <w:rPr>
          <w:rFonts w:ascii="Times New Roman" w:hAnsi="Times New Roman"/>
          <w:b w:val="0"/>
          <w:i w:val="0"/>
          <w:sz w:val="24"/>
        </w:rPr>
        <w:t>Shinn et al. [6] presented Reflexion, a framework for language model self-reflection, demonstrating significant accuracy improvements when LLMs review their own reasoning. This technique is particularly relevant to compliance evaluation, where initial judgments may suffer from confirmation bias or incomplete evidence consideration. ESG Buddy incorporates self-reflection in its agentic pipeline.</w:t>
      </w:r>
    </w:p>
    <w:p>
      <w:pPr>
        <w:spacing w:after="120" w:line="360" w:lineRule="auto"/>
        <w:jc w:val="both"/>
      </w:pPr>
      <w:r>
        <w:rPr>
          <w:rFonts w:ascii="Times New Roman" w:hAnsi="Times New Roman"/>
          <w:b/>
          <w:i w:val="0"/>
          <w:sz w:val="24"/>
        </w:rPr>
        <w:t xml:space="preserve">RAG Architecture Design. </w:t>
      </w:r>
      <w:r>
        <w:rPr>
          <w:rFonts w:ascii="Times New Roman" w:hAnsi="Times New Roman"/>
          <w:b w:val="0"/>
          <w:i w:val="0"/>
          <w:sz w:val="24"/>
        </w:rPr>
        <w:t>Gao et al. [7] conducted a comprehensive survey of RAG techniques, identifying that chunk size, embedding model choice, and retrieval scoring significantly impact downstream task performance. Their insights on optimal chunk sizes (256–512 tokens) and the importance of overlap for boundary preservation directly informed ESG Buddy's document ingestion design.</w:t>
      </w:r>
    </w:p>
    <w:p>
      <w:pPr>
        <w:spacing w:after="120" w:line="360" w:lineRule="auto"/>
        <w:jc w:val="both"/>
      </w:pPr>
      <w:r>
        <w:rPr>
          <w:rFonts w:ascii="Times New Roman" w:hAnsi="Times New Roman"/>
          <w:b/>
          <w:i w:val="0"/>
          <w:sz w:val="24"/>
        </w:rPr>
        <w:t xml:space="preserve">Chain-of-Thought Prompting. </w:t>
      </w:r>
      <w:r>
        <w:rPr>
          <w:rFonts w:ascii="Times New Roman" w:hAnsi="Times New Roman"/>
          <w:b w:val="0"/>
          <w:i w:val="0"/>
          <w:sz w:val="24"/>
        </w:rPr>
        <w:t>Wei et al. [8] introduced chain-of-thought prompting, demonstrating that asking LLMs to reason step-by-step significantly improves performance on complex judgment tasks. ESG Buddy applies this with framework-specific reasoning steps tailored to each standard's evaluation criteria.</w:t>
      </w:r>
    </w:p>
    <w:p>
      <w:pPr>
        <w:spacing w:after="120" w:line="360" w:lineRule="auto"/>
        <w:jc w:val="both"/>
      </w:pPr>
      <w:r>
        <w:rPr>
          <w:rFonts w:ascii="Times New Roman" w:hAnsi="Times New Roman"/>
          <w:b/>
          <w:i w:val="0"/>
          <w:sz w:val="24"/>
        </w:rPr>
        <w:t xml:space="preserve">ReAct Framework. </w:t>
      </w:r>
      <w:r>
        <w:rPr>
          <w:rFonts w:ascii="Times New Roman" w:hAnsi="Times New Roman"/>
          <w:b w:val="0"/>
          <w:i w:val="0"/>
          <w:sz w:val="24"/>
        </w:rPr>
        <w:t>Yao et al. [9] proposed the ReAct framework, which interleaves reasoning and acting steps, enabling models to dynamically gather information and revise plans. This paradigm of synergizing reasoning with action informed ESG Buddy's approach to iterative compliance evaluation.</w:t>
      </w:r>
    </w:p>
    <w:p>
      <w:pPr>
        <w:spacing w:after="120" w:line="360" w:lineRule="auto"/>
        <w:jc w:val="both"/>
      </w:pPr>
      <w:r>
        <w:rPr>
          <w:rFonts w:ascii="Times New Roman" w:hAnsi="Times New Roman"/>
          <w:b/>
          <w:i w:val="0"/>
          <w:sz w:val="24"/>
        </w:rPr>
        <w:t xml:space="preserve">BRSR Reporting Practices. </w:t>
      </w:r>
      <w:r>
        <w:rPr>
          <w:rFonts w:ascii="Times New Roman" w:hAnsi="Times New Roman"/>
          <w:b w:val="0"/>
          <w:i w:val="0"/>
          <w:sz w:val="24"/>
        </w:rPr>
        <w:t>Mehra and Sharma [10] analyzed BRSR reporting practices of Indian listed companies, providing domain insights that informed ESG Buddy's BRSR-specific evaluation prompts. Their finding that disclosure quality varies significantly across companies reinforces the need for nuanced, context-aware evaluation rather than binary compliance checks.</w:t>
      </w:r>
    </w:p>
    <w:p>
      <w:pPr>
        <w:spacing w:after="120" w:line="360" w:lineRule="auto"/>
        <w:jc w:val="both"/>
      </w:pPr>
      <w:r>
        <w:rPr>
          <w:rFonts w:ascii="Times New Roman" w:hAnsi="Times New Roman"/>
          <w:b/>
          <w:i w:val="0"/>
          <w:sz w:val="24"/>
        </w:rPr>
        <w:t xml:space="preserve">Financial NLP. </w:t>
      </w:r>
      <w:r>
        <w:rPr>
          <w:rFonts w:ascii="Times New Roman" w:hAnsi="Times New Roman"/>
          <w:b w:val="0"/>
          <w:i w:val="0"/>
          <w:sz w:val="24"/>
        </w:rPr>
        <w:t>Araci [11] developed FinBERT for financial sentiment analysis, demonstrating the value of domain-specific language understanding in financial applications. While FinBERT focuses on sentiment, the principle of domain adaptation applies equally to ESG compliance—generic NLP models miss domain-specific nuances.</w:t>
      </w:r>
    </w:p>
    <w:p>
      <w:pPr>
        <w:spacing w:after="120" w:line="360" w:lineRule="auto"/>
        <w:jc w:val="both"/>
      </w:pPr>
      <w:r>
        <w:rPr>
          <w:rFonts w:ascii="Times New Roman" w:hAnsi="Times New Roman"/>
          <w:b/>
          <w:i w:val="0"/>
          <w:sz w:val="24"/>
        </w:rPr>
        <w:t xml:space="preserve">Multi-Framework ESG Challenges. </w:t>
      </w:r>
      <w:r>
        <w:rPr>
          <w:rFonts w:ascii="Times New Roman" w:hAnsi="Times New Roman"/>
          <w:b w:val="0"/>
          <w:i w:val="0"/>
          <w:sz w:val="24"/>
        </w:rPr>
        <w:t>Agrawal, Chadha, and Mittal [12] examined multi-framework ESG reporting challenges in Indian companies, demonstrating that different frameworks require fundamentally distinct evaluation approaches. Their work directly supports ESG Buddy's framework-specific design.</w:t>
      </w:r>
    </w:p>
    <w:p>
      <w:pPr>
        <w:pStyle w:val="Heading2"/>
        <w:spacing w:line="360" w:lineRule="auto"/>
        <w:jc w:val="left"/>
      </w:pPr>
      <w:r>
        <w:rPr>
          <w:rFonts w:ascii="Times New Roman" w:hAnsi="Times New Roman"/>
          <w:b/>
          <w:color w:val="000000"/>
          <w:sz w:val="28"/>
        </w:rPr>
        <w:t>2.3 Identified Research Gap</w:t>
      </w:r>
    </w:p>
    <w:p>
      <w:pPr>
        <w:spacing w:after="120" w:line="360" w:lineRule="auto"/>
        <w:jc w:val="both"/>
      </w:pPr>
      <w:r>
        <w:rPr>
          <w:rFonts w:ascii="Times New Roman" w:hAnsi="Times New Roman"/>
          <w:b w:val="0"/>
          <w:i w:val="0"/>
          <w:sz w:val="24"/>
        </w:rPr>
        <w:t>The literature reveals a significant gap: no existing solution effectively combines semantic evidence retrieval, framework-specific agentic AI evaluation, deterministic rule validation, human-in-the-loop verification, and comprehensive accuracy benchmarking within a single, production-grade system. Existing tools either operate at the document level rather than clause level, treat all frameworks uniformly, lack transparent reasoning for audit purposes, or require manual evidence identification. ESG Buddy addresses all of these gaps in a unified system.</w:t>
      </w:r>
    </w:p>
    <w:p>
      <w:pPr>
        <w:spacing w:line="360" w:lineRule="auto"/>
      </w:pPr>
      <w:r>
        <w:rPr>
          <w:rFonts w:ascii="Times New Roman" w:hAnsi="Times New Roman"/>
          <w:sz w:val="24"/>
        </w:rPr>
        <w:br w:type="page"/>
      </w:r>
    </w:p>
    <w:p>
      <w:pPr>
        <w:pStyle w:val="Heading1"/>
        <w:spacing w:line="360" w:lineRule="auto"/>
        <w:jc w:val="center"/>
      </w:pPr>
      <w:r>
        <w:rPr>
          <w:rFonts w:ascii="Times New Roman" w:hAnsi="Times New Roman"/>
          <w:b/>
          <w:color w:val="000000"/>
          <w:sz w:val="36"/>
        </w:rPr>
        <w:t>Chapter 3</w:t>
      </w:r>
    </w:p>
    <w:p>
      <w:pPr>
        <w:pStyle w:val="Heading1"/>
        <w:spacing w:line="360" w:lineRule="auto"/>
        <w:jc w:val="center"/>
      </w:pPr>
      <w:r>
        <w:rPr>
          <w:rFonts w:ascii="Times New Roman" w:hAnsi="Times New Roman"/>
          <w:b/>
          <w:color w:val="000000"/>
          <w:sz w:val="36"/>
        </w:rPr>
        <w:t>Methodology and Implementation</w:t>
      </w:r>
    </w:p>
    <w:p>
      <w:pPr>
        <w:pStyle w:val="Heading2"/>
        <w:spacing w:line="360" w:lineRule="auto"/>
        <w:jc w:val="left"/>
      </w:pPr>
      <w:r>
        <w:rPr>
          <w:rFonts w:ascii="Times New Roman" w:hAnsi="Times New Roman"/>
          <w:b/>
          <w:color w:val="000000"/>
          <w:sz w:val="28"/>
        </w:rPr>
        <w:t>3.1 System Architecture</w:t>
      </w:r>
    </w:p>
    <w:p>
      <w:pPr>
        <w:spacing w:after="120" w:line="360" w:lineRule="auto"/>
        <w:jc w:val="both"/>
      </w:pPr>
      <w:r>
        <w:rPr>
          <w:rFonts w:ascii="Times New Roman" w:hAnsi="Times New Roman"/>
          <w:b w:val="0"/>
          <w:i w:val="0"/>
          <w:sz w:val="24"/>
        </w:rPr>
        <w:t>ESG Buddy employs a modular, full-stack architecture comprising four principal layers: a React 18 frontend built with Vite for rapid development, a FastAPI 0.109 backend running on Python 3.11, a ChromaDB 0.4.22 vector database for persistent semantic storage, and the OpenAI API for both LLM inference (GPT-4o-mini) and embedding generation (text-embedding-3-small). The architecture follows a clean separation of concerns with two parallel ingestion paths.</w:t>
      </w:r>
    </w:p>
    <w:p>
      <w:pPr>
        <w:spacing w:after="120" w:line="360" w:lineRule="auto"/>
        <w:jc w:val="both"/>
      </w:pPr>
      <w:r>
        <w:rPr>
          <w:rFonts w:ascii="Times New Roman" w:hAnsi="Times New Roman"/>
          <w:b w:val="0"/>
          <w:i w:val="0"/>
          <w:sz w:val="24"/>
        </w:rPr>
        <w:t>The first ingestion path processes ESG standard documents (BRSR, GRI, TCFD, SASB PDFs) into structured clause databases using framework-specific parsing strategies. The second ingestion path handles uploaded company sustainability reports, extracting text, chunking it into overlapping segments, generating vector embeddings, and storing them in ChromaDB for semantic search.</w:t>
      </w:r>
    </w:p>
    <w:p>
      <w:pPr>
        <w:spacing w:after="120" w:line="360" w:lineRule="auto"/>
        <w:jc w:val="both"/>
      </w:pPr>
      <w:r>
        <w:rPr>
          <w:rFonts w:ascii="Times New Roman" w:hAnsi="Times New Roman"/>
          <w:b w:val="0"/>
          <w:i w:val="0"/>
          <w:sz w:val="24"/>
        </w:rPr>
        <w:t>The system maintains two distinct ChromaDB collections: company_documents, which stores embedded chunks from uploaded sustainability reports along with metadata (page number, section, token count), and esg_clauses, which stores parsed ESG standard clauses with their associated embeddings, validation rules, and keywords. Data models are defined using Pydantic 2.5.3 for type safety and serialization throughout the backend.</w:t>
      </w:r>
    </w:p>
    <w:p>
      <w:pPr>
        <w:spacing w:after="120" w:line="360" w:lineRule="auto"/>
        <w:jc w:val="center"/>
      </w:pPr>
      <w:r>
        <w:rPr>
          <w:rFonts w:ascii="Times New Roman" w:hAnsi="Times New Roman"/>
          <w:b w:val="0"/>
          <w:i/>
          <w:sz w:val="24"/>
        </w:rPr>
        <w:t>[Figure 1: High-Level System Architecture – Shows the end-to-end data flow: PDF Upload → PyMuPDF Text Extraction → Tiktoken Chunking (512 tokens, 50 overlap) → OpenAI Embedding (text-embedding-3-small) → ChromaDB Storage → 4-Step Compliance Pipeline (Semantic Retrieval, LLM Evaluation, Rule Validation, Final Decision) → React Frontend with Dashboard, Reports, and Human Verification.]</w:t>
      </w:r>
    </w:p>
    <w:p>
      <w:pPr>
        <w:pStyle w:val="Heading2"/>
        <w:spacing w:line="360" w:lineRule="auto"/>
        <w:jc w:val="left"/>
      </w:pPr>
      <w:r>
        <w:rPr>
          <w:rFonts w:ascii="Times New Roman" w:hAnsi="Times New Roman"/>
          <w:b/>
          <w:color w:val="000000"/>
          <w:sz w:val="28"/>
        </w:rPr>
        <w:t>3.2 Hardware and Software</w:t>
      </w:r>
    </w:p>
    <w:p>
      <w:pPr>
        <w:spacing w:after="120" w:line="360" w:lineRule="auto"/>
        <w:jc w:val="both"/>
      </w:pPr>
      <w:r>
        <w:rPr>
          <w:rFonts w:ascii="Times New Roman" w:hAnsi="Times New Roman"/>
          <w:b w:val="0"/>
          <w:i w:val="0"/>
          <w:sz w:val="24"/>
        </w:rPr>
        <w:t>The system operates on standard hardware (4+ CPU cores, 8 GB RAM minimum) while leveraging cloud-based OpenAI APIs for LLM inference and embedding generation. The primary computational bottleneck is API latency rather than local compute. Development and testing were performed on Windows 11 machines with Python 3.11.</w:t>
      </w:r>
    </w:p>
    <w:tbl>
      <w:tblPr>
        <w:tblStyle w:val="TableGrid"/>
        <w:tblW w:type="auto" w:w="0"/>
        <w:jc w:val="center"/>
        <w:tblLook w:firstColumn="1" w:firstRow="1" w:lastColumn="0" w:lastRow="0" w:noHBand="0" w:noVBand="1" w:val="04A0"/>
      </w:tblPr>
      <w:tblGrid>
        <w:gridCol w:w="2161"/>
        <w:gridCol w:w="2161"/>
        <w:gridCol w:w="2161"/>
        <w:gridCol w:w="2161"/>
      </w:tblGrid>
      <w:tr>
        <w:tc>
          <w:tcPr>
            <w:tcW w:type="dxa" w:w="2268"/>
            <w:shd w:fill="D9E2F3"/>
          </w:tcPr>
          <w:p>
            <w:pPr>
              <w:jc w:val="center"/>
            </w:pPr>
            <w:r>
              <w:rPr>
                <w:rFonts w:ascii="Times New Roman" w:hAnsi="Times New Roman"/>
                <w:b/>
                <w:sz w:val="20"/>
              </w:rPr>
              <w:t>Component</w:t>
            </w:r>
          </w:p>
        </w:tc>
        <w:tc>
          <w:tcPr>
            <w:tcW w:type="dxa" w:w="2551"/>
            <w:shd w:fill="D9E2F3"/>
          </w:tcPr>
          <w:p>
            <w:pPr>
              <w:jc w:val="center"/>
            </w:pPr>
            <w:r>
              <w:rPr>
                <w:rFonts w:ascii="Times New Roman" w:hAnsi="Times New Roman"/>
                <w:b/>
                <w:sz w:val="20"/>
              </w:rPr>
              <w:t>Technology</w:t>
            </w:r>
          </w:p>
        </w:tc>
        <w:tc>
          <w:tcPr>
            <w:tcW w:type="dxa" w:w="1134"/>
            <w:shd w:fill="D9E2F3"/>
          </w:tcPr>
          <w:p>
            <w:pPr>
              <w:jc w:val="center"/>
            </w:pPr>
            <w:r>
              <w:rPr>
                <w:rFonts w:ascii="Times New Roman" w:hAnsi="Times New Roman"/>
                <w:b/>
                <w:sz w:val="20"/>
              </w:rPr>
              <w:t>Version</w:t>
            </w:r>
          </w:p>
        </w:tc>
        <w:tc>
          <w:tcPr>
            <w:tcW w:type="dxa" w:w="3118"/>
            <w:shd w:fill="D9E2F3"/>
          </w:tcPr>
          <w:p>
            <w:pPr>
              <w:jc w:val="center"/>
            </w:pPr>
            <w:r>
              <w:rPr>
                <w:rFonts w:ascii="Times New Roman" w:hAnsi="Times New Roman"/>
                <w:b/>
                <w:sz w:val="20"/>
              </w:rPr>
              <w:t>Purpose</w:t>
            </w:r>
          </w:p>
        </w:tc>
      </w:tr>
      <w:tr>
        <w:tc>
          <w:tcPr>
            <w:tcW w:type="dxa" w:w="2268"/>
          </w:tcPr>
          <w:p>
            <w:pPr>
              <w:jc w:val="center"/>
            </w:pPr>
            <w:r>
              <w:rPr>
                <w:rFonts w:ascii="Times New Roman" w:hAnsi="Times New Roman"/>
                <w:sz w:val="20"/>
              </w:rPr>
              <w:t>Backend Framework</w:t>
            </w:r>
          </w:p>
        </w:tc>
        <w:tc>
          <w:tcPr>
            <w:tcW w:type="dxa" w:w="2551"/>
          </w:tcPr>
          <w:p>
            <w:pPr>
              <w:jc w:val="center"/>
            </w:pPr>
            <w:r>
              <w:rPr>
                <w:rFonts w:ascii="Times New Roman" w:hAnsi="Times New Roman"/>
                <w:sz w:val="20"/>
              </w:rPr>
              <w:t>FastAPI</w:t>
            </w:r>
          </w:p>
        </w:tc>
        <w:tc>
          <w:tcPr>
            <w:tcW w:type="dxa" w:w="1134"/>
          </w:tcPr>
          <w:p>
            <w:pPr>
              <w:jc w:val="center"/>
            </w:pPr>
            <w:r>
              <w:rPr>
                <w:rFonts w:ascii="Times New Roman" w:hAnsi="Times New Roman"/>
                <w:sz w:val="20"/>
              </w:rPr>
              <w:t>0.109.0</w:t>
            </w:r>
          </w:p>
        </w:tc>
        <w:tc>
          <w:tcPr>
            <w:tcW w:type="dxa" w:w="3118"/>
          </w:tcPr>
          <w:p>
            <w:pPr>
              <w:jc w:val="center"/>
            </w:pPr>
            <w:r>
              <w:rPr>
                <w:rFonts w:ascii="Times New Roman" w:hAnsi="Times New Roman"/>
                <w:sz w:val="20"/>
              </w:rPr>
              <w:t>REST API server with auto-docs</w:t>
            </w:r>
          </w:p>
        </w:tc>
      </w:tr>
      <w:tr>
        <w:tc>
          <w:tcPr>
            <w:tcW w:type="dxa" w:w="2268"/>
          </w:tcPr>
          <w:p>
            <w:pPr>
              <w:jc w:val="center"/>
            </w:pPr>
            <w:r>
              <w:rPr>
                <w:rFonts w:ascii="Times New Roman" w:hAnsi="Times New Roman"/>
                <w:sz w:val="20"/>
              </w:rPr>
              <w:t>Frontend Framework</w:t>
            </w:r>
          </w:p>
        </w:tc>
        <w:tc>
          <w:tcPr>
            <w:tcW w:type="dxa" w:w="2551"/>
          </w:tcPr>
          <w:p>
            <w:pPr>
              <w:jc w:val="center"/>
            </w:pPr>
            <w:r>
              <w:rPr>
                <w:rFonts w:ascii="Times New Roman" w:hAnsi="Times New Roman"/>
                <w:sz w:val="20"/>
              </w:rPr>
              <w:t>React + Vite</w:t>
            </w:r>
          </w:p>
        </w:tc>
        <w:tc>
          <w:tcPr>
            <w:tcW w:type="dxa" w:w="1134"/>
          </w:tcPr>
          <w:p>
            <w:pPr>
              <w:jc w:val="center"/>
            </w:pPr>
            <w:r>
              <w:rPr>
                <w:rFonts w:ascii="Times New Roman" w:hAnsi="Times New Roman"/>
                <w:sz w:val="20"/>
              </w:rPr>
              <w:t>18.x</w:t>
            </w:r>
          </w:p>
        </w:tc>
        <w:tc>
          <w:tcPr>
            <w:tcW w:type="dxa" w:w="3118"/>
          </w:tcPr>
          <w:p>
            <w:pPr>
              <w:jc w:val="center"/>
            </w:pPr>
            <w:r>
              <w:rPr>
                <w:rFonts w:ascii="Times New Roman" w:hAnsi="Times New Roman"/>
                <w:sz w:val="20"/>
              </w:rPr>
              <w:t>Single-page application</w:t>
            </w:r>
          </w:p>
        </w:tc>
      </w:tr>
      <w:tr>
        <w:tc>
          <w:tcPr>
            <w:tcW w:type="dxa" w:w="2268"/>
          </w:tcPr>
          <w:p>
            <w:pPr>
              <w:jc w:val="center"/>
            </w:pPr>
            <w:r>
              <w:rPr>
                <w:rFonts w:ascii="Times New Roman" w:hAnsi="Times New Roman"/>
                <w:sz w:val="20"/>
              </w:rPr>
              <w:t>Styling</w:t>
            </w:r>
          </w:p>
        </w:tc>
        <w:tc>
          <w:tcPr>
            <w:tcW w:type="dxa" w:w="2551"/>
          </w:tcPr>
          <w:p>
            <w:pPr>
              <w:jc w:val="center"/>
            </w:pPr>
            <w:r>
              <w:rPr>
                <w:rFonts w:ascii="Times New Roman" w:hAnsi="Times New Roman"/>
                <w:sz w:val="20"/>
              </w:rPr>
              <w:t>Tailwind CSS</w:t>
            </w:r>
          </w:p>
        </w:tc>
        <w:tc>
          <w:tcPr>
            <w:tcW w:type="dxa" w:w="1134"/>
          </w:tcPr>
          <w:p>
            <w:pPr>
              <w:jc w:val="center"/>
            </w:pPr>
            <w:r>
              <w:rPr>
                <w:rFonts w:ascii="Times New Roman" w:hAnsi="Times New Roman"/>
                <w:sz w:val="20"/>
              </w:rPr>
              <w:t>3.x</w:t>
            </w:r>
          </w:p>
        </w:tc>
        <w:tc>
          <w:tcPr>
            <w:tcW w:type="dxa" w:w="3118"/>
          </w:tcPr>
          <w:p>
            <w:pPr>
              <w:jc w:val="center"/>
            </w:pPr>
            <w:r>
              <w:rPr>
                <w:rFonts w:ascii="Times New Roman" w:hAnsi="Times New Roman"/>
                <w:sz w:val="20"/>
              </w:rPr>
              <w:t>Utility-first responsive UI</w:t>
            </w:r>
          </w:p>
        </w:tc>
      </w:tr>
      <w:tr>
        <w:tc>
          <w:tcPr>
            <w:tcW w:type="dxa" w:w="2268"/>
          </w:tcPr>
          <w:p>
            <w:pPr>
              <w:jc w:val="center"/>
            </w:pPr>
            <w:r>
              <w:rPr>
                <w:rFonts w:ascii="Times New Roman" w:hAnsi="Times New Roman"/>
                <w:sz w:val="20"/>
              </w:rPr>
              <w:t>Animations</w:t>
            </w:r>
          </w:p>
        </w:tc>
        <w:tc>
          <w:tcPr>
            <w:tcW w:type="dxa" w:w="2551"/>
          </w:tcPr>
          <w:p>
            <w:pPr>
              <w:jc w:val="center"/>
            </w:pPr>
            <w:r>
              <w:rPr>
                <w:rFonts w:ascii="Times New Roman" w:hAnsi="Times New Roman"/>
                <w:sz w:val="20"/>
              </w:rPr>
              <w:t>Framer Motion</w:t>
            </w:r>
          </w:p>
        </w:tc>
        <w:tc>
          <w:tcPr>
            <w:tcW w:type="dxa" w:w="1134"/>
          </w:tcPr>
          <w:p>
            <w:pPr>
              <w:jc w:val="center"/>
            </w:pPr>
            <w:r>
              <w:rPr>
                <w:rFonts w:ascii="Times New Roman" w:hAnsi="Times New Roman"/>
                <w:sz w:val="20"/>
              </w:rPr>
              <w:t>11.x</w:t>
            </w:r>
          </w:p>
        </w:tc>
        <w:tc>
          <w:tcPr>
            <w:tcW w:type="dxa" w:w="3118"/>
          </w:tcPr>
          <w:p>
            <w:pPr>
              <w:jc w:val="center"/>
            </w:pPr>
            <w:r>
              <w:rPr>
                <w:rFonts w:ascii="Times New Roman" w:hAnsi="Times New Roman"/>
                <w:sz w:val="20"/>
              </w:rPr>
              <w:t>Smooth transitions and reveals</w:t>
            </w:r>
          </w:p>
        </w:tc>
      </w:tr>
      <w:tr>
        <w:tc>
          <w:tcPr>
            <w:tcW w:type="dxa" w:w="2268"/>
          </w:tcPr>
          <w:p>
            <w:pPr>
              <w:jc w:val="center"/>
            </w:pPr>
            <w:r>
              <w:rPr>
                <w:rFonts w:ascii="Times New Roman" w:hAnsi="Times New Roman"/>
                <w:sz w:val="20"/>
              </w:rPr>
              <w:t>Charts</w:t>
            </w:r>
          </w:p>
        </w:tc>
        <w:tc>
          <w:tcPr>
            <w:tcW w:type="dxa" w:w="2551"/>
          </w:tcPr>
          <w:p>
            <w:pPr>
              <w:jc w:val="center"/>
            </w:pPr>
            <w:r>
              <w:rPr>
                <w:rFonts w:ascii="Times New Roman" w:hAnsi="Times New Roman"/>
                <w:sz w:val="20"/>
              </w:rPr>
              <w:t>Recharts</w:t>
            </w:r>
          </w:p>
        </w:tc>
        <w:tc>
          <w:tcPr>
            <w:tcW w:type="dxa" w:w="1134"/>
          </w:tcPr>
          <w:p>
            <w:pPr>
              <w:jc w:val="center"/>
            </w:pPr>
            <w:r>
              <w:rPr>
                <w:rFonts w:ascii="Times New Roman" w:hAnsi="Times New Roman"/>
                <w:sz w:val="20"/>
              </w:rPr>
              <w:t>2.x</w:t>
            </w:r>
          </w:p>
        </w:tc>
        <w:tc>
          <w:tcPr>
            <w:tcW w:type="dxa" w:w="3118"/>
          </w:tcPr>
          <w:p>
            <w:pPr>
              <w:jc w:val="center"/>
            </w:pPr>
            <w:r>
              <w:rPr>
                <w:rFonts w:ascii="Times New Roman" w:hAnsi="Times New Roman"/>
                <w:sz w:val="20"/>
              </w:rPr>
              <w:t>Data visualization (bar, radar, pie)</w:t>
            </w:r>
          </w:p>
        </w:tc>
      </w:tr>
      <w:tr>
        <w:tc>
          <w:tcPr>
            <w:tcW w:type="dxa" w:w="2268"/>
          </w:tcPr>
          <w:p>
            <w:pPr>
              <w:jc w:val="center"/>
            </w:pPr>
            <w:r>
              <w:rPr>
                <w:rFonts w:ascii="Times New Roman" w:hAnsi="Times New Roman"/>
                <w:sz w:val="20"/>
              </w:rPr>
              <w:t>Vector Database</w:t>
            </w:r>
          </w:p>
        </w:tc>
        <w:tc>
          <w:tcPr>
            <w:tcW w:type="dxa" w:w="2551"/>
          </w:tcPr>
          <w:p>
            <w:pPr>
              <w:jc w:val="center"/>
            </w:pPr>
            <w:r>
              <w:rPr>
                <w:rFonts w:ascii="Times New Roman" w:hAnsi="Times New Roman"/>
                <w:sz w:val="20"/>
              </w:rPr>
              <w:t>ChromaDB</w:t>
            </w:r>
          </w:p>
        </w:tc>
        <w:tc>
          <w:tcPr>
            <w:tcW w:type="dxa" w:w="1134"/>
          </w:tcPr>
          <w:p>
            <w:pPr>
              <w:jc w:val="center"/>
            </w:pPr>
            <w:r>
              <w:rPr>
                <w:rFonts w:ascii="Times New Roman" w:hAnsi="Times New Roman"/>
                <w:sz w:val="20"/>
              </w:rPr>
              <w:t>0.4.22</w:t>
            </w:r>
          </w:p>
        </w:tc>
        <w:tc>
          <w:tcPr>
            <w:tcW w:type="dxa" w:w="3118"/>
          </w:tcPr>
          <w:p>
            <w:pPr>
              <w:jc w:val="center"/>
            </w:pPr>
            <w:r>
              <w:rPr>
                <w:rFonts w:ascii="Times New Roman" w:hAnsi="Times New Roman"/>
                <w:sz w:val="20"/>
              </w:rPr>
              <w:t>Persistent semantic search</w:t>
            </w:r>
          </w:p>
        </w:tc>
      </w:tr>
      <w:tr>
        <w:tc>
          <w:tcPr>
            <w:tcW w:type="dxa" w:w="2268"/>
          </w:tcPr>
          <w:p>
            <w:pPr>
              <w:jc w:val="center"/>
            </w:pPr>
            <w:r>
              <w:rPr>
                <w:rFonts w:ascii="Times New Roman" w:hAnsi="Times New Roman"/>
                <w:sz w:val="20"/>
              </w:rPr>
              <w:t>LLM</w:t>
            </w:r>
          </w:p>
        </w:tc>
        <w:tc>
          <w:tcPr>
            <w:tcW w:type="dxa" w:w="2551"/>
          </w:tcPr>
          <w:p>
            <w:pPr>
              <w:jc w:val="center"/>
            </w:pPr>
            <w:r>
              <w:rPr>
                <w:rFonts w:ascii="Times New Roman" w:hAnsi="Times New Roman"/>
                <w:sz w:val="20"/>
              </w:rPr>
              <w:t>OpenAI GPT-4o-mini</w:t>
            </w:r>
          </w:p>
        </w:tc>
        <w:tc>
          <w:tcPr>
            <w:tcW w:type="dxa" w:w="1134"/>
          </w:tcPr>
          <w:p>
            <w:pPr>
              <w:jc w:val="center"/>
            </w:pPr>
            <w:r>
              <w:rPr>
                <w:rFonts w:ascii="Times New Roman" w:hAnsi="Times New Roman"/>
                <w:sz w:val="20"/>
              </w:rPr>
              <w:t>—</w:t>
            </w:r>
          </w:p>
        </w:tc>
        <w:tc>
          <w:tcPr>
            <w:tcW w:type="dxa" w:w="3118"/>
          </w:tcPr>
          <w:p>
            <w:pPr>
              <w:jc w:val="center"/>
            </w:pPr>
            <w:r>
              <w:rPr>
                <w:rFonts w:ascii="Times New Roman" w:hAnsi="Times New Roman"/>
                <w:sz w:val="20"/>
              </w:rPr>
              <w:t>Compliance classification</w:t>
            </w:r>
          </w:p>
        </w:tc>
      </w:tr>
      <w:tr>
        <w:tc>
          <w:tcPr>
            <w:tcW w:type="dxa" w:w="2268"/>
          </w:tcPr>
          <w:p>
            <w:pPr>
              <w:jc w:val="center"/>
            </w:pPr>
            <w:r>
              <w:rPr>
                <w:rFonts w:ascii="Times New Roman" w:hAnsi="Times New Roman"/>
                <w:sz w:val="20"/>
              </w:rPr>
              <w:t>Embeddings</w:t>
            </w:r>
          </w:p>
        </w:tc>
        <w:tc>
          <w:tcPr>
            <w:tcW w:type="dxa" w:w="2551"/>
          </w:tcPr>
          <w:p>
            <w:pPr>
              <w:jc w:val="center"/>
            </w:pPr>
            <w:r>
              <w:rPr>
                <w:rFonts w:ascii="Times New Roman" w:hAnsi="Times New Roman"/>
                <w:sz w:val="20"/>
              </w:rPr>
              <w:t>text-embedding-3-small</w:t>
            </w:r>
          </w:p>
        </w:tc>
        <w:tc>
          <w:tcPr>
            <w:tcW w:type="dxa" w:w="1134"/>
          </w:tcPr>
          <w:p>
            <w:pPr>
              <w:jc w:val="center"/>
            </w:pPr>
            <w:r>
              <w:rPr>
                <w:rFonts w:ascii="Times New Roman" w:hAnsi="Times New Roman"/>
                <w:sz w:val="20"/>
              </w:rPr>
              <w:t>—</w:t>
            </w:r>
          </w:p>
        </w:tc>
        <w:tc>
          <w:tcPr>
            <w:tcW w:type="dxa" w:w="3118"/>
          </w:tcPr>
          <w:p>
            <w:pPr>
              <w:jc w:val="center"/>
            </w:pPr>
            <w:r>
              <w:rPr>
                <w:rFonts w:ascii="Times New Roman" w:hAnsi="Times New Roman"/>
                <w:sz w:val="20"/>
              </w:rPr>
              <w:t>1536-dim vector embeddings</w:t>
            </w:r>
          </w:p>
        </w:tc>
      </w:tr>
      <w:tr>
        <w:tc>
          <w:tcPr>
            <w:tcW w:type="dxa" w:w="2268"/>
          </w:tcPr>
          <w:p>
            <w:pPr>
              <w:jc w:val="center"/>
            </w:pPr>
            <w:r>
              <w:rPr>
                <w:rFonts w:ascii="Times New Roman" w:hAnsi="Times New Roman"/>
                <w:sz w:val="20"/>
              </w:rPr>
              <w:t>PDF Processing</w:t>
            </w:r>
          </w:p>
        </w:tc>
        <w:tc>
          <w:tcPr>
            <w:tcW w:type="dxa" w:w="2551"/>
          </w:tcPr>
          <w:p>
            <w:pPr>
              <w:jc w:val="center"/>
            </w:pPr>
            <w:r>
              <w:rPr>
                <w:rFonts w:ascii="Times New Roman" w:hAnsi="Times New Roman"/>
                <w:sz w:val="20"/>
              </w:rPr>
              <w:t>PyMuPDF (fitz)</w:t>
            </w:r>
          </w:p>
        </w:tc>
        <w:tc>
          <w:tcPr>
            <w:tcW w:type="dxa" w:w="1134"/>
          </w:tcPr>
          <w:p>
            <w:pPr>
              <w:jc w:val="center"/>
            </w:pPr>
            <w:r>
              <w:rPr>
                <w:rFonts w:ascii="Times New Roman" w:hAnsi="Times New Roman"/>
                <w:sz w:val="20"/>
              </w:rPr>
              <w:t>1.23.8</w:t>
            </w:r>
          </w:p>
        </w:tc>
        <w:tc>
          <w:tcPr>
            <w:tcW w:type="dxa" w:w="3118"/>
          </w:tcPr>
          <w:p>
            <w:pPr>
              <w:jc w:val="center"/>
            </w:pPr>
            <w:r>
              <w:rPr>
                <w:rFonts w:ascii="Times New Roman" w:hAnsi="Times New Roman"/>
                <w:sz w:val="20"/>
              </w:rPr>
              <w:t>Page-by-page text extraction</w:t>
            </w:r>
          </w:p>
        </w:tc>
      </w:tr>
      <w:tr>
        <w:tc>
          <w:tcPr>
            <w:tcW w:type="dxa" w:w="2268"/>
          </w:tcPr>
          <w:p>
            <w:pPr>
              <w:jc w:val="center"/>
            </w:pPr>
            <w:r>
              <w:rPr>
                <w:rFonts w:ascii="Times New Roman" w:hAnsi="Times New Roman"/>
                <w:sz w:val="20"/>
              </w:rPr>
              <w:t>Tokenization</w:t>
            </w:r>
          </w:p>
        </w:tc>
        <w:tc>
          <w:tcPr>
            <w:tcW w:type="dxa" w:w="2551"/>
          </w:tcPr>
          <w:p>
            <w:pPr>
              <w:jc w:val="center"/>
            </w:pPr>
            <w:r>
              <w:rPr>
                <w:rFonts w:ascii="Times New Roman" w:hAnsi="Times New Roman"/>
                <w:sz w:val="20"/>
              </w:rPr>
              <w:t>Tiktoken</w:t>
            </w:r>
          </w:p>
        </w:tc>
        <w:tc>
          <w:tcPr>
            <w:tcW w:type="dxa" w:w="1134"/>
          </w:tcPr>
          <w:p>
            <w:pPr>
              <w:jc w:val="center"/>
            </w:pPr>
            <w:r>
              <w:rPr>
                <w:rFonts w:ascii="Times New Roman" w:hAnsi="Times New Roman"/>
                <w:sz w:val="20"/>
              </w:rPr>
              <w:t>0.5.2</w:t>
            </w:r>
          </w:p>
        </w:tc>
        <w:tc>
          <w:tcPr>
            <w:tcW w:type="dxa" w:w="3118"/>
          </w:tcPr>
          <w:p>
            <w:pPr>
              <w:jc w:val="center"/>
            </w:pPr>
            <w:r>
              <w:rPr>
                <w:rFonts w:ascii="Times New Roman" w:hAnsi="Times New Roman"/>
                <w:sz w:val="20"/>
              </w:rPr>
              <w:t>cl100k_base token counting</w:t>
            </w:r>
          </w:p>
        </w:tc>
      </w:tr>
      <w:tr>
        <w:tc>
          <w:tcPr>
            <w:tcW w:type="dxa" w:w="2268"/>
          </w:tcPr>
          <w:p>
            <w:pPr>
              <w:jc w:val="center"/>
            </w:pPr>
            <w:r>
              <w:rPr>
                <w:rFonts w:ascii="Times New Roman" w:hAnsi="Times New Roman"/>
                <w:sz w:val="20"/>
              </w:rPr>
              <w:t>Data Validation</w:t>
            </w:r>
          </w:p>
        </w:tc>
        <w:tc>
          <w:tcPr>
            <w:tcW w:type="dxa" w:w="2551"/>
          </w:tcPr>
          <w:p>
            <w:pPr>
              <w:jc w:val="center"/>
            </w:pPr>
            <w:r>
              <w:rPr>
                <w:rFonts w:ascii="Times New Roman" w:hAnsi="Times New Roman"/>
                <w:sz w:val="20"/>
              </w:rPr>
              <w:t>Pydantic</w:t>
            </w:r>
          </w:p>
        </w:tc>
        <w:tc>
          <w:tcPr>
            <w:tcW w:type="dxa" w:w="1134"/>
          </w:tcPr>
          <w:p>
            <w:pPr>
              <w:jc w:val="center"/>
            </w:pPr>
            <w:r>
              <w:rPr>
                <w:rFonts w:ascii="Times New Roman" w:hAnsi="Times New Roman"/>
                <w:sz w:val="20"/>
              </w:rPr>
              <w:t>2.5.3</w:t>
            </w:r>
          </w:p>
        </w:tc>
        <w:tc>
          <w:tcPr>
            <w:tcW w:type="dxa" w:w="3118"/>
          </w:tcPr>
          <w:p>
            <w:pPr>
              <w:jc w:val="center"/>
            </w:pPr>
            <w:r>
              <w:rPr>
                <w:rFonts w:ascii="Times New Roman" w:hAnsi="Times New Roman"/>
                <w:sz w:val="20"/>
              </w:rPr>
              <w:t>Type-safe models</w:t>
            </w:r>
          </w:p>
        </w:tc>
      </w:tr>
      <w:tr>
        <w:tc>
          <w:tcPr>
            <w:tcW w:type="dxa" w:w="2268"/>
          </w:tcPr>
          <w:p>
            <w:pPr>
              <w:jc w:val="center"/>
            </w:pPr>
            <w:r>
              <w:rPr>
                <w:rFonts w:ascii="Times New Roman" w:hAnsi="Times New Roman"/>
                <w:sz w:val="20"/>
              </w:rPr>
              <w:t>Language</w:t>
            </w:r>
          </w:p>
        </w:tc>
        <w:tc>
          <w:tcPr>
            <w:tcW w:type="dxa" w:w="2551"/>
          </w:tcPr>
          <w:p>
            <w:pPr>
              <w:jc w:val="center"/>
            </w:pPr>
            <w:r>
              <w:rPr>
                <w:rFonts w:ascii="Times New Roman" w:hAnsi="Times New Roman"/>
                <w:sz w:val="20"/>
              </w:rPr>
              <w:t>Python</w:t>
            </w:r>
          </w:p>
        </w:tc>
        <w:tc>
          <w:tcPr>
            <w:tcW w:type="dxa" w:w="1134"/>
          </w:tcPr>
          <w:p>
            <w:pPr>
              <w:jc w:val="center"/>
            </w:pPr>
            <w:r>
              <w:rPr>
                <w:rFonts w:ascii="Times New Roman" w:hAnsi="Times New Roman"/>
                <w:sz w:val="20"/>
              </w:rPr>
              <w:t>3.11</w:t>
            </w:r>
          </w:p>
        </w:tc>
        <w:tc>
          <w:tcPr>
            <w:tcW w:type="dxa" w:w="3118"/>
          </w:tcPr>
          <w:p>
            <w:pPr>
              <w:jc w:val="center"/>
            </w:pPr>
            <w:r>
              <w:rPr>
                <w:rFonts w:ascii="Times New Roman" w:hAnsi="Times New Roman"/>
                <w:sz w:val="20"/>
              </w:rPr>
              <w:t>Backend runtime</w:t>
            </w:r>
          </w:p>
        </w:tc>
      </w:tr>
      <w:tr>
        <w:tc>
          <w:tcPr>
            <w:tcW w:type="dxa" w:w="2268"/>
          </w:tcPr>
          <w:p>
            <w:pPr>
              <w:jc w:val="center"/>
            </w:pPr>
            <w:r>
              <w:rPr>
                <w:rFonts w:ascii="Times New Roman" w:hAnsi="Times New Roman"/>
                <w:sz w:val="20"/>
              </w:rPr>
              <w:t>PDF Generation</w:t>
            </w:r>
          </w:p>
        </w:tc>
        <w:tc>
          <w:tcPr>
            <w:tcW w:type="dxa" w:w="2551"/>
          </w:tcPr>
          <w:p>
            <w:pPr>
              <w:jc w:val="center"/>
            </w:pPr>
            <w:r>
              <w:rPr>
                <w:rFonts w:ascii="Times New Roman" w:hAnsi="Times New Roman"/>
                <w:sz w:val="20"/>
              </w:rPr>
              <w:t>ReportLab</w:t>
            </w:r>
          </w:p>
        </w:tc>
        <w:tc>
          <w:tcPr>
            <w:tcW w:type="dxa" w:w="1134"/>
          </w:tcPr>
          <w:p>
            <w:pPr>
              <w:jc w:val="center"/>
            </w:pPr>
            <w:r>
              <w:rPr>
                <w:rFonts w:ascii="Times New Roman" w:hAnsi="Times New Roman"/>
                <w:sz w:val="20"/>
              </w:rPr>
              <w:t>4.1</w:t>
            </w:r>
          </w:p>
        </w:tc>
        <w:tc>
          <w:tcPr>
            <w:tcW w:type="dxa" w:w="3118"/>
          </w:tcPr>
          <w:p>
            <w:pPr>
              <w:jc w:val="center"/>
            </w:pPr>
            <w:r>
              <w:rPr>
                <w:rFonts w:ascii="Times New Roman" w:hAnsi="Times New Roman"/>
                <w:sz w:val="20"/>
              </w:rPr>
              <w:t>Formatted PDF report generation</w:t>
            </w:r>
          </w:p>
        </w:tc>
      </w:tr>
    </w:tbl>
    <w:p>
      <w:pPr>
        <w:spacing w:line="360" w:lineRule="auto"/>
      </w:pPr>
    </w:p>
    <w:p>
      <w:pPr>
        <w:spacing w:after="120" w:line="360" w:lineRule="auto"/>
        <w:jc w:val="center"/>
      </w:pPr>
      <w:r>
        <w:rPr>
          <w:rFonts w:ascii="Times New Roman" w:hAnsi="Times New Roman"/>
          <w:b/>
          <w:i w:val="0"/>
          <w:sz w:val="24"/>
        </w:rPr>
        <w:t>Table 1: Technology Stack</w:t>
      </w:r>
    </w:p>
    <w:p>
      <w:pPr>
        <w:pStyle w:val="Heading2"/>
        <w:spacing w:line="360" w:lineRule="auto"/>
        <w:jc w:val="left"/>
      </w:pPr>
      <w:r>
        <w:rPr>
          <w:rFonts w:ascii="Times New Roman" w:hAnsi="Times New Roman"/>
          <w:b/>
          <w:color w:val="000000"/>
          <w:sz w:val="28"/>
        </w:rPr>
        <w:t>3.3 Document Ingestion Pipeline</w:t>
      </w:r>
    </w:p>
    <w:p>
      <w:pPr>
        <w:spacing w:after="120" w:line="360" w:lineRule="auto"/>
        <w:jc w:val="both"/>
      </w:pPr>
      <w:r>
        <w:rPr>
          <w:rFonts w:ascii="Times New Roman" w:hAnsi="Times New Roman"/>
          <w:b w:val="0"/>
          <w:i w:val="0"/>
          <w:sz w:val="24"/>
        </w:rPr>
        <w:t>The document ingestion pipeline transforms uploaded PDF sustainability reports into searchable vector embeddings through a four-stage process:</w:t>
      </w:r>
    </w:p>
    <w:p>
      <w:pPr>
        <w:spacing w:after="120" w:line="360" w:lineRule="auto"/>
        <w:jc w:val="both"/>
      </w:pPr>
      <w:r>
        <w:rPr>
          <w:rFonts w:ascii="Times New Roman" w:hAnsi="Times New Roman"/>
          <w:b/>
          <w:i w:val="0"/>
          <w:sz w:val="24"/>
        </w:rPr>
        <w:t xml:space="preserve">PDF Text Extraction. </w:t>
      </w:r>
      <w:r>
        <w:rPr>
          <w:rFonts w:ascii="Times New Roman" w:hAnsi="Times New Roman"/>
          <w:b w:val="0"/>
          <w:i w:val="0"/>
          <w:sz w:val="24"/>
        </w:rPr>
        <w:t>PyMuPDF 1.23.8 processes each page sequentially, extracting raw text and applying whitespace normalization. Section headers are heuristically detected from the first five lines of each page to provide structural metadata.</w:t>
      </w:r>
    </w:p>
    <w:p>
      <w:pPr>
        <w:spacing w:after="120" w:line="360" w:lineRule="auto"/>
        <w:jc w:val="both"/>
      </w:pPr>
      <w:r>
        <w:rPr>
          <w:rFonts w:ascii="Times New Roman" w:hAnsi="Times New Roman"/>
          <w:b/>
          <w:i w:val="0"/>
          <w:sz w:val="24"/>
        </w:rPr>
        <w:t xml:space="preserve">Semantic Chunking. </w:t>
      </w:r>
      <w:r>
        <w:rPr>
          <w:rFonts w:ascii="Times New Roman" w:hAnsi="Times New Roman"/>
          <w:b w:val="0"/>
          <w:i w:val="0"/>
          <w:sz w:val="24"/>
        </w:rPr>
        <w:t>The extracted text is segmented into overlapping chunks using a sliding window approach with the tiktoken tokenizer (cl100k_base encoding). Each chunk comprises 512 tokens with a 50-token overlap between consecutive segments, ensuring that information at chunk boundaries is preserved in at least one neighboring chunk. This configuration was selected based on the RAG survey findings by Gao et al. [7], which identified 256–512 tokens as optimal for dense retrieval tasks.</w:t>
      </w:r>
    </w:p>
    <w:p>
      <w:pPr>
        <w:spacing w:after="120" w:line="360" w:lineRule="auto"/>
        <w:jc w:val="both"/>
      </w:pPr>
      <w:r>
        <w:rPr>
          <w:rFonts w:ascii="Times New Roman" w:hAnsi="Times New Roman"/>
          <w:b/>
          <w:i w:val="0"/>
          <w:sz w:val="24"/>
        </w:rPr>
        <w:t xml:space="preserve">Embedding Generation. </w:t>
      </w:r>
      <w:r>
        <w:rPr>
          <w:rFonts w:ascii="Times New Roman" w:hAnsi="Times New Roman"/>
          <w:b w:val="0"/>
          <w:i w:val="0"/>
          <w:sz w:val="24"/>
        </w:rPr>
        <w:t>OpenAI's text-embedding-3-small model generates 1536-dimensional dense vectors for each chunk. Embeddings are generated in batches of 100 chunks to optimize API throughput. Empty strings are guarded against by replacing them with a placeholder token.</w:t>
      </w:r>
    </w:p>
    <w:p>
      <w:pPr>
        <w:spacing w:after="120" w:line="360" w:lineRule="auto"/>
        <w:jc w:val="both"/>
      </w:pPr>
      <w:r>
        <w:rPr>
          <w:rFonts w:ascii="Times New Roman" w:hAnsi="Times New Roman"/>
          <w:b/>
          <w:i w:val="0"/>
          <w:sz w:val="24"/>
        </w:rPr>
        <w:t xml:space="preserve">ChromaDB Storage. </w:t>
      </w:r>
      <w:r>
        <w:rPr>
          <w:rFonts w:ascii="Times New Roman" w:hAnsi="Times New Roman"/>
          <w:b w:val="0"/>
          <w:i w:val="0"/>
          <w:sz w:val="24"/>
        </w:rPr>
        <w:t>Each embedded chunk is stored in the company_documents collection with metadata including the source document identifier, page number, section header, and token count. ChromaDB's persistent storage ensures that embeddings survive server restarts without re-computation.</w:t>
      </w:r>
    </w:p>
    <w:p>
      <w:pPr>
        <w:pStyle w:val="Heading2"/>
        <w:spacing w:line="360" w:lineRule="auto"/>
        <w:jc w:val="left"/>
      </w:pPr>
      <w:r>
        <w:rPr>
          <w:rFonts w:ascii="Times New Roman" w:hAnsi="Times New Roman"/>
          <w:b/>
          <w:color w:val="000000"/>
          <w:sz w:val="28"/>
        </w:rPr>
        <w:t>3.4 ESG Standards Parsing</w:t>
      </w:r>
    </w:p>
    <w:p>
      <w:pPr>
        <w:spacing w:after="120" w:line="360" w:lineRule="auto"/>
        <w:jc w:val="both"/>
      </w:pPr>
      <w:r>
        <w:rPr>
          <w:rFonts w:ascii="Times New Roman" w:hAnsi="Times New Roman"/>
          <w:b w:val="0"/>
          <w:i w:val="0"/>
          <w:sz w:val="24"/>
        </w:rPr>
        <w:t>ESG standard PDFs are parsed into structured clause objects using an enhanced hybrid parser (EnhancedClauseParser) that combines LLM-based extraction with regex fallback patterns. The parsing strategy is framework-specific to handle the diverse document structures across standards:</w:t>
      </w:r>
    </w:p>
    <w:p>
      <w:pPr>
        <w:spacing w:after="120" w:line="360" w:lineRule="auto"/>
        <w:jc w:val="both"/>
      </w:pPr>
      <w:r>
        <w:rPr>
          <w:rFonts w:ascii="Times New Roman" w:hAnsi="Times New Roman"/>
          <w:b/>
          <w:i w:val="0"/>
          <w:sz w:val="24"/>
        </w:rPr>
        <w:t xml:space="preserve">BRSR: </w:t>
      </w:r>
      <w:r>
        <w:rPr>
          <w:rFonts w:ascii="Times New Roman" w:hAnsi="Times New Roman"/>
          <w:b w:val="0"/>
          <w:i w:val="0"/>
          <w:sz w:val="24"/>
        </w:rPr>
        <w:t>A single PDF (SEBI's BRSR format) is parsed to extract 265 clauses including core metrics (GHG footprint, water footprint, waste, energy, employment, gender diversity, return to investors, median remuneration) and structured Section A/B/C disclosures using regex patterns tailored to SEBI's format.</w:t>
      </w:r>
    </w:p>
    <w:p>
      <w:pPr>
        <w:spacing w:after="120" w:line="360" w:lineRule="auto"/>
        <w:jc w:val="both"/>
      </w:pPr>
      <w:r>
        <w:rPr>
          <w:rFonts w:ascii="Times New Roman" w:hAnsi="Times New Roman"/>
          <w:b/>
          <w:i w:val="0"/>
          <w:sz w:val="24"/>
        </w:rPr>
        <w:t xml:space="preserve">GRI: </w:t>
      </w:r>
      <w:r>
        <w:rPr>
          <w:rFonts w:ascii="Times New Roman" w:hAnsi="Times New Roman"/>
          <w:b w:val="0"/>
          <w:i w:val="0"/>
          <w:sz w:val="24"/>
        </w:rPr>
        <w:t>Over 40 individual standard PDFs (GRI 1, 2, 3, 201, 205, 207, 302, 303, 305, 401, 403, 404, 405, 413, 306-2020) are parsed with configurable scope filtering. LLM-based parsing is applied to each PDF in 40,000-character segments with 3,000-character overlap, with regex fallback if LLM extraction fails.</w:t>
      </w:r>
    </w:p>
    <w:tbl>
      <w:tblPr>
        <w:tblStyle w:val="TableGrid"/>
        <w:tblW w:type="auto" w:w="0"/>
        <w:jc w:val="center"/>
        <w:tblLook w:firstColumn="1" w:firstRow="1" w:lastColumn="0" w:lastRow="0" w:noHBand="0" w:noVBand="1" w:val="04A0"/>
      </w:tblPr>
      <w:tblGrid>
        <w:gridCol w:w="2882"/>
        <w:gridCol w:w="2882"/>
        <w:gridCol w:w="2882"/>
      </w:tblGrid>
      <w:tr>
        <w:tc>
          <w:tcPr>
            <w:tcW w:type="dxa" w:w="1701"/>
            <w:shd w:fill="D9E2F3"/>
          </w:tcPr>
          <w:p>
            <w:pPr>
              <w:jc w:val="center"/>
            </w:pPr>
            <w:r>
              <w:rPr>
                <w:rFonts w:ascii="Times New Roman" w:hAnsi="Times New Roman"/>
                <w:b/>
                <w:sz w:val="20"/>
              </w:rPr>
              <w:t>Scope</w:t>
            </w:r>
          </w:p>
        </w:tc>
        <w:tc>
          <w:tcPr>
            <w:tcW w:type="dxa" w:w="4535"/>
            <w:shd w:fill="D9E2F3"/>
          </w:tcPr>
          <w:p>
            <w:pPr>
              <w:jc w:val="center"/>
            </w:pPr>
            <w:r>
              <w:rPr>
                <w:rFonts w:ascii="Times New Roman" w:hAnsi="Times New Roman"/>
                <w:b/>
                <w:sz w:val="20"/>
              </w:rPr>
              <w:t>Standards Included</w:t>
            </w:r>
          </w:p>
        </w:tc>
        <w:tc>
          <w:tcPr>
            <w:tcW w:type="dxa" w:w="1701"/>
            <w:shd w:fill="D9E2F3"/>
          </w:tcPr>
          <w:p>
            <w:pPr>
              <w:jc w:val="center"/>
            </w:pPr>
            <w:r>
              <w:rPr>
                <w:rFonts w:ascii="Times New Roman" w:hAnsi="Times New Roman"/>
                <w:b/>
                <w:sz w:val="20"/>
              </w:rPr>
              <w:t>Clause Count</w:t>
            </w:r>
          </w:p>
        </w:tc>
      </w:tr>
      <w:tr>
        <w:tc>
          <w:tcPr>
            <w:tcW w:type="dxa" w:w="1701"/>
          </w:tcPr>
          <w:p>
            <w:pPr>
              <w:jc w:val="center"/>
            </w:pPr>
            <w:r>
              <w:rPr>
                <w:rFonts w:ascii="Times New Roman" w:hAnsi="Times New Roman"/>
                <w:sz w:val="20"/>
              </w:rPr>
              <w:t>Core</w:t>
            </w:r>
          </w:p>
        </w:tc>
        <w:tc>
          <w:tcPr>
            <w:tcW w:type="dxa" w:w="4535"/>
          </w:tcPr>
          <w:p>
            <w:pPr>
              <w:jc w:val="center"/>
            </w:pPr>
            <w:r>
              <w:rPr>
                <w:rFonts w:ascii="Times New Roman" w:hAnsi="Times New Roman"/>
                <w:sz w:val="20"/>
              </w:rPr>
              <w:t>GRI 1, 2, 3 (Universal)</w:t>
            </w:r>
          </w:p>
        </w:tc>
        <w:tc>
          <w:tcPr>
            <w:tcW w:type="dxa" w:w="1701"/>
          </w:tcPr>
          <w:p>
            <w:pPr>
              <w:jc w:val="center"/>
            </w:pPr>
            <w:r>
              <w:rPr>
                <w:rFonts w:ascii="Times New Roman" w:hAnsi="Times New Roman"/>
                <w:sz w:val="20"/>
              </w:rPr>
              <w:t>~40</w:t>
            </w:r>
          </w:p>
        </w:tc>
      </w:tr>
      <w:tr>
        <w:tc>
          <w:tcPr>
            <w:tcW w:type="dxa" w:w="1701"/>
          </w:tcPr>
          <w:p>
            <w:pPr>
              <w:jc w:val="center"/>
            </w:pPr>
            <w:r>
              <w:rPr>
                <w:rFonts w:ascii="Times New Roman" w:hAnsi="Times New Roman"/>
                <w:sz w:val="20"/>
              </w:rPr>
              <w:t>Standard</w:t>
            </w:r>
          </w:p>
        </w:tc>
        <w:tc>
          <w:tcPr>
            <w:tcW w:type="dxa" w:w="4535"/>
          </w:tcPr>
          <w:p>
            <w:pPr>
              <w:jc w:val="center"/>
            </w:pPr>
            <w:r>
              <w:rPr>
                <w:rFonts w:ascii="Times New Roman" w:hAnsi="Times New Roman"/>
                <w:sz w:val="20"/>
              </w:rPr>
              <w:t>Universal + key topic standards</w:t>
            </w:r>
          </w:p>
        </w:tc>
        <w:tc>
          <w:tcPr>
            <w:tcW w:type="dxa" w:w="1701"/>
          </w:tcPr>
          <w:p>
            <w:pPr>
              <w:jc w:val="center"/>
            </w:pPr>
            <w:r>
              <w:rPr>
                <w:rFonts w:ascii="Times New Roman" w:hAnsi="Times New Roman"/>
                <w:sz w:val="20"/>
              </w:rPr>
              <w:t>~120</w:t>
            </w:r>
          </w:p>
        </w:tc>
      </w:tr>
      <w:tr>
        <w:tc>
          <w:tcPr>
            <w:tcW w:type="dxa" w:w="1701"/>
          </w:tcPr>
          <w:p>
            <w:pPr>
              <w:jc w:val="center"/>
            </w:pPr>
            <w:r>
              <w:rPr>
                <w:rFonts w:ascii="Times New Roman" w:hAnsi="Times New Roman"/>
                <w:sz w:val="20"/>
              </w:rPr>
              <w:t>Essential</w:t>
            </w:r>
          </w:p>
        </w:tc>
        <w:tc>
          <w:tcPr>
            <w:tcW w:type="dxa" w:w="4535"/>
          </w:tcPr>
          <w:p>
            <w:pPr>
              <w:jc w:val="center"/>
            </w:pPr>
            <w:r>
              <w:rPr>
                <w:rFonts w:ascii="Times New Roman" w:hAnsi="Times New Roman"/>
                <w:sz w:val="20"/>
              </w:rPr>
              <w:t>Standard + additional topics</w:t>
            </w:r>
          </w:p>
        </w:tc>
        <w:tc>
          <w:tcPr>
            <w:tcW w:type="dxa" w:w="1701"/>
          </w:tcPr>
          <w:p>
            <w:pPr>
              <w:jc w:val="center"/>
            </w:pPr>
            <w:r>
              <w:rPr>
                <w:rFonts w:ascii="Times New Roman" w:hAnsi="Times New Roman"/>
                <w:sz w:val="20"/>
              </w:rPr>
              <w:t>~150+</w:t>
            </w:r>
          </w:p>
        </w:tc>
      </w:tr>
    </w:tbl>
    <w:p>
      <w:pPr>
        <w:spacing w:line="360" w:lineRule="auto"/>
      </w:pPr>
    </w:p>
    <w:p>
      <w:pPr>
        <w:spacing w:after="120" w:line="360" w:lineRule="auto"/>
        <w:jc w:val="center"/>
      </w:pPr>
      <w:r>
        <w:rPr>
          <w:rFonts w:ascii="Times New Roman" w:hAnsi="Times New Roman"/>
          <w:b/>
          <w:i w:val="0"/>
          <w:sz w:val="24"/>
        </w:rPr>
        <w:t>Table 3: GRI Scope Configuration</w:t>
      </w:r>
    </w:p>
    <w:p>
      <w:pPr>
        <w:spacing w:after="120" w:line="360" w:lineRule="auto"/>
        <w:jc w:val="both"/>
      </w:pPr>
      <w:r>
        <w:rPr>
          <w:rFonts w:ascii="Times New Roman" w:hAnsi="Times New Roman"/>
          <w:b/>
          <w:i w:val="0"/>
          <w:sz w:val="24"/>
        </w:rPr>
        <w:t xml:space="preserve">TCFD: </w:t>
      </w:r>
      <w:r>
        <w:rPr>
          <w:rFonts w:ascii="Times New Roman" w:hAnsi="Times New Roman"/>
          <w:b w:val="0"/>
          <w:i w:val="0"/>
          <w:sz w:val="24"/>
        </w:rPr>
        <w:t>A single PDF is parsed with subsequent deduplication and importance ranking, yielding approximately 30 prioritized clauses aligned with the four TCFD pillars (Governance, Strategy, Risk Management, Metrics and Targets).</w:t>
      </w:r>
    </w:p>
    <w:p>
      <w:pPr>
        <w:spacing w:after="120" w:line="360" w:lineRule="auto"/>
        <w:jc w:val="both"/>
      </w:pPr>
      <w:r>
        <w:rPr>
          <w:rFonts w:ascii="Times New Roman" w:hAnsi="Times New Roman"/>
          <w:b/>
          <w:i w:val="0"/>
          <w:sz w:val="24"/>
        </w:rPr>
        <w:t xml:space="preserve">SASB: </w:t>
      </w:r>
      <w:r>
        <w:rPr>
          <w:rFonts w:ascii="Times New Roman" w:hAnsi="Times New Roman"/>
          <w:b w:val="0"/>
          <w:i w:val="0"/>
          <w:sz w:val="24"/>
        </w:rPr>
        <w:t>Industry-specific standards (commercial banks, software/IT, biotechnology/pharmaceuticals, electrical equipment) are parsed using a combination of regex and LLM-based extraction. Approximately 77 clauses are extracted per industry sector.</w:t>
      </w:r>
    </w:p>
    <w:p>
      <w:pPr>
        <w:spacing w:after="120" w:line="360" w:lineRule="auto"/>
        <w:jc w:val="both"/>
      </w:pPr>
      <w:r>
        <w:rPr>
          <w:rFonts w:ascii="Times New Roman" w:hAnsi="Times New Roman"/>
          <w:b w:val="0"/>
          <w:i w:val="0"/>
          <w:sz w:val="24"/>
        </w:rPr>
        <w:t>Each parsed clause is stored as a structured ESGClause object containing: clause identifier, framework designation, section, title, description, required evidence types (numeric, descriptive, policy, temporal), validation rules (auto-inferred from clause metadata), keywords, and an embedding vector.</w:t>
      </w:r>
    </w:p>
    <w:p>
      <w:pPr>
        <w:pStyle w:val="Heading2"/>
        <w:spacing w:line="360" w:lineRule="auto"/>
        <w:jc w:val="left"/>
      </w:pPr>
      <w:r>
        <w:rPr>
          <w:rFonts w:ascii="Times New Roman" w:hAnsi="Times New Roman"/>
          <w:b/>
          <w:color w:val="000000"/>
          <w:sz w:val="28"/>
        </w:rPr>
        <w:t>3.5 Compliance Evaluation Pipeline</w:t>
      </w:r>
    </w:p>
    <w:p>
      <w:pPr>
        <w:spacing w:after="120" w:line="360" w:lineRule="auto"/>
        <w:jc w:val="both"/>
      </w:pPr>
      <w:r>
        <w:rPr>
          <w:rFonts w:ascii="Times New Roman" w:hAnsi="Times New Roman"/>
          <w:b w:val="0"/>
          <w:i w:val="0"/>
          <w:sz w:val="24"/>
        </w:rPr>
        <w:t>The core evaluation pipeline processes each clause through four sequential steps. This four-step architecture ensures that compliance decisions are grounded in retrieved evidence, informed by domain-specific reasoning, validated by deterministic rules, and calibrated through principled confidence blending.</w:t>
      </w:r>
    </w:p>
    <w:p>
      <w:pPr>
        <w:spacing w:after="120" w:line="360" w:lineRule="auto"/>
        <w:jc w:val="center"/>
      </w:pPr>
      <w:r>
        <w:rPr>
          <w:rFonts w:ascii="Times New Roman" w:hAnsi="Times New Roman"/>
          <w:b w:val="0"/>
          <w:i/>
          <w:sz w:val="24"/>
        </w:rPr>
        <w:t>[Figure 2: Compliance Evaluation Pipeline Flow – Shows the four-step process: Semantic Retrieval → LLM Evaluation → Rule Validation → Final Decision, with ground truth comparison for accuracy measurement.]</w:t>
      </w:r>
    </w:p>
    <w:p>
      <w:pPr>
        <w:spacing w:after="120" w:line="360" w:lineRule="auto"/>
        <w:jc w:val="both"/>
      </w:pPr>
      <w:r>
        <w:rPr>
          <w:rFonts w:ascii="Times New Roman" w:hAnsi="Times New Roman"/>
          <w:b/>
          <w:i w:val="0"/>
          <w:sz w:val="24"/>
        </w:rPr>
        <w:t xml:space="preserve">Step 1: Semantic Retrieval. </w:t>
      </w:r>
      <w:r>
        <w:rPr>
          <w:rFonts w:ascii="Times New Roman" w:hAnsi="Times New Roman"/>
          <w:b w:val="0"/>
          <w:i w:val="0"/>
          <w:sz w:val="24"/>
        </w:rPr>
        <w:t>A composite search query is constructed by concatenating the clause title, description, and up to five inferred keywords. This query is embedded using text-embedding-3-small and used to search the company_documents collection in ChromaDB, retrieving the top-K (K=8) most similar chunks. ChromaDB returns L2 Euclidean distances, which are converted to similarity scores using the transformation: similarity = 1/(1 + distance). A minimum similarity threshold of 0.12 filters low-relevance results; however, if all retrieved chunks fall below this threshold, the highest-scoring chunk is retained to ensure at least one evidence passage is available for evaluation.</w:t>
      </w:r>
    </w:p>
    <w:p>
      <w:pPr>
        <w:spacing w:after="120" w:line="360" w:lineRule="auto"/>
        <w:jc w:val="both"/>
      </w:pPr>
      <w:r>
        <w:rPr>
          <w:rFonts w:ascii="Times New Roman" w:hAnsi="Times New Roman"/>
          <w:b/>
          <w:i w:val="0"/>
          <w:sz w:val="24"/>
        </w:rPr>
        <w:t xml:space="preserve">Step 2: LLM Evaluation. </w:t>
      </w:r>
      <w:r>
        <w:rPr>
          <w:rFonts w:ascii="Times New Roman" w:hAnsi="Times New Roman"/>
          <w:b w:val="0"/>
          <w:i w:val="0"/>
          <w:sz w:val="24"/>
        </w:rPr>
        <w:t>The retrieved evidence chunks (up to 5) are formatted into a structured prompt along with the clause details and submitted to GPT-4o-mini with a temperature of 0.2 and JSON response mode enforced. The system employs framework-specific system prompts that encode the distinct evaluation philosophy of each standard:</w:t>
      </w:r>
    </w:p>
    <w:tbl>
      <w:tblPr>
        <w:tblStyle w:val="TableGrid"/>
        <w:tblW w:type="auto" w:w="0"/>
        <w:jc w:val="center"/>
        <w:tblLook w:firstColumn="1" w:firstRow="1" w:lastColumn="0" w:lastRow="0" w:noHBand="0" w:noVBand="1" w:val="04A0"/>
      </w:tblPr>
      <w:tblGrid>
        <w:gridCol w:w="2882"/>
        <w:gridCol w:w="2882"/>
        <w:gridCol w:w="2882"/>
      </w:tblGrid>
      <w:tr>
        <w:tc>
          <w:tcPr>
            <w:tcW w:type="dxa" w:w="1417"/>
            <w:shd w:fill="D9E2F3"/>
          </w:tcPr>
          <w:p>
            <w:pPr>
              <w:jc w:val="center"/>
            </w:pPr>
            <w:r>
              <w:rPr>
                <w:rFonts w:ascii="Times New Roman" w:hAnsi="Times New Roman"/>
                <w:b/>
                <w:sz w:val="20"/>
              </w:rPr>
              <w:t>Framework</w:t>
            </w:r>
          </w:p>
        </w:tc>
        <w:tc>
          <w:tcPr>
            <w:tcW w:type="dxa" w:w="2268"/>
            <w:shd w:fill="D9E2F3"/>
          </w:tcPr>
          <w:p>
            <w:pPr>
              <w:jc w:val="center"/>
            </w:pPr>
            <w:r>
              <w:rPr>
                <w:rFonts w:ascii="Times New Roman" w:hAnsi="Times New Roman"/>
                <w:b/>
                <w:sz w:val="20"/>
              </w:rPr>
              <w:t>Evaluation Philosophy</w:t>
            </w:r>
          </w:p>
        </w:tc>
        <w:tc>
          <w:tcPr>
            <w:tcW w:type="dxa" w:w="5386"/>
            <w:shd w:fill="D9E2F3"/>
          </w:tcPr>
          <w:p>
            <w:pPr>
              <w:jc w:val="center"/>
            </w:pPr>
            <w:r>
              <w:rPr>
                <w:rFonts w:ascii="Times New Roman" w:hAnsi="Times New Roman"/>
                <w:b/>
                <w:sz w:val="20"/>
              </w:rPr>
              <w:t>Key Instruction</w:t>
            </w:r>
          </w:p>
        </w:tc>
      </w:tr>
      <w:tr>
        <w:tc>
          <w:tcPr>
            <w:tcW w:type="dxa" w:w="1417"/>
          </w:tcPr>
          <w:p>
            <w:pPr>
              <w:jc w:val="center"/>
            </w:pPr>
            <w:r>
              <w:rPr>
                <w:rFonts w:ascii="Times New Roman" w:hAnsi="Times New Roman"/>
                <w:sz w:val="20"/>
              </w:rPr>
              <w:t>BRSR</w:t>
            </w:r>
          </w:p>
        </w:tc>
        <w:tc>
          <w:tcPr>
            <w:tcW w:type="dxa" w:w="2268"/>
          </w:tcPr>
          <w:p>
            <w:pPr>
              <w:jc w:val="center"/>
            </w:pPr>
            <w:r>
              <w:rPr>
                <w:rFonts w:ascii="Times New Roman" w:hAnsi="Times New Roman"/>
                <w:sz w:val="20"/>
              </w:rPr>
              <w:t>Disclosure presence</w:t>
            </w:r>
          </w:p>
        </w:tc>
        <w:tc>
          <w:tcPr>
            <w:tcW w:type="dxa" w:w="5386"/>
          </w:tcPr>
          <w:p>
            <w:pPr>
              <w:jc w:val="center"/>
            </w:pPr>
            <w:r>
              <w:rPr>
                <w:rFonts w:ascii="Times New Roman" w:hAnsi="Times New Roman"/>
                <w:sz w:val="20"/>
              </w:rPr>
              <w:t>Evaluate whether the disclosure is present, not whether facts are verified</w:t>
            </w:r>
          </w:p>
        </w:tc>
      </w:tr>
      <w:tr>
        <w:tc>
          <w:tcPr>
            <w:tcW w:type="dxa" w:w="1417"/>
          </w:tcPr>
          <w:p>
            <w:pPr>
              <w:jc w:val="center"/>
            </w:pPr>
            <w:r>
              <w:rPr>
                <w:rFonts w:ascii="Times New Roman" w:hAnsi="Times New Roman"/>
                <w:sz w:val="20"/>
              </w:rPr>
              <w:t>GRI</w:t>
            </w:r>
          </w:p>
        </w:tc>
        <w:tc>
          <w:tcPr>
            <w:tcW w:type="dxa" w:w="2268"/>
          </w:tcPr>
          <w:p>
            <w:pPr>
              <w:jc w:val="center"/>
            </w:pPr>
            <w:r>
              <w:rPr>
                <w:rFonts w:ascii="Times New Roman" w:hAnsi="Times New Roman"/>
                <w:sz w:val="20"/>
              </w:rPr>
              <w:t>Substantive evidence</w:t>
            </w:r>
          </w:p>
        </w:tc>
        <w:tc>
          <w:tcPr>
            <w:tcW w:type="dxa" w:w="5386"/>
          </w:tcPr>
          <w:p>
            <w:pPr>
              <w:jc w:val="center"/>
            </w:pPr>
            <w:r>
              <w:rPr>
                <w:rFonts w:ascii="Times New Roman" w:hAnsi="Times New Roman"/>
                <w:sz w:val="20"/>
              </w:rPr>
              <w:t>Prefer Supported when evidence substantively addresses the clause</w:t>
            </w:r>
          </w:p>
        </w:tc>
      </w:tr>
      <w:tr>
        <w:tc>
          <w:tcPr>
            <w:tcW w:type="dxa" w:w="1417"/>
          </w:tcPr>
          <w:p>
            <w:pPr>
              <w:jc w:val="center"/>
            </w:pPr>
            <w:r>
              <w:rPr>
                <w:rFonts w:ascii="Times New Roman" w:hAnsi="Times New Roman"/>
                <w:sz w:val="20"/>
              </w:rPr>
              <w:t>TCFD</w:t>
            </w:r>
          </w:p>
        </w:tc>
        <w:tc>
          <w:tcPr>
            <w:tcW w:type="dxa" w:w="2268"/>
          </w:tcPr>
          <w:p>
            <w:pPr>
              <w:jc w:val="center"/>
            </w:pPr>
            <w:r>
              <w:rPr>
                <w:rFonts w:ascii="Times New Roman" w:hAnsi="Times New Roman"/>
                <w:sz w:val="20"/>
              </w:rPr>
              <w:t>Climate specificity</w:t>
            </w:r>
          </w:p>
        </w:tc>
        <w:tc>
          <w:tcPr>
            <w:tcW w:type="dxa" w:w="5386"/>
          </w:tcPr>
          <w:p>
            <w:pPr>
              <w:jc w:val="center"/>
            </w:pPr>
            <w:r>
              <w:rPr>
                <w:rFonts w:ascii="Times New Roman" w:hAnsi="Times New Roman"/>
                <w:sz w:val="20"/>
              </w:rPr>
              <w:t>Supported only if excerpt fully meets the specific climate requirement</w:t>
            </w:r>
          </w:p>
        </w:tc>
      </w:tr>
      <w:tr>
        <w:tc>
          <w:tcPr>
            <w:tcW w:type="dxa" w:w="1417"/>
          </w:tcPr>
          <w:p>
            <w:pPr>
              <w:jc w:val="center"/>
            </w:pPr>
            <w:r>
              <w:rPr>
                <w:rFonts w:ascii="Times New Roman" w:hAnsi="Times New Roman"/>
                <w:sz w:val="20"/>
              </w:rPr>
              <w:t>SASB</w:t>
            </w:r>
          </w:p>
        </w:tc>
        <w:tc>
          <w:tcPr>
            <w:tcW w:type="dxa" w:w="2268"/>
          </w:tcPr>
          <w:p>
            <w:pPr>
              <w:jc w:val="center"/>
            </w:pPr>
            <w:r>
              <w:rPr>
                <w:rFonts w:ascii="Times New Roman" w:hAnsi="Times New Roman"/>
                <w:sz w:val="20"/>
              </w:rPr>
              <w:t>Lenient materiality</w:t>
            </w:r>
          </w:p>
        </w:tc>
        <w:tc>
          <w:tcPr>
            <w:tcW w:type="dxa" w:w="5386"/>
          </w:tcPr>
          <w:p>
            <w:pPr>
              <w:jc w:val="center"/>
            </w:pPr>
            <w:r>
              <w:rPr>
                <w:rFonts w:ascii="Times New Roman" w:hAnsi="Times New Roman"/>
                <w:sz w:val="20"/>
              </w:rPr>
              <w:t>On-topic substantive text warrants at least Partial; lenient toward Supported</w:t>
            </w:r>
          </w:p>
        </w:tc>
      </w:tr>
    </w:tbl>
    <w:p>
      <w:pPr>
        <w:spacing w:line="360" w:lineRule="auto"/>
      </w:pPr>
    </w:p>
    <w:p>
      <w:pPr>
        <w:spacing w:after="120" w:line="360" w:lineRule="auto"/>
        <w:jc w:val="center"/>
      </w:pPr>
      <w:r>
        <w:rPr>
          <w:rFonts w:ascii="Times New Roman" w:hAnsi="Times New Roman"/>
          <w:b/>
          <w:i w:val="0"/>
          <w:sz w:val="24"/>
        </w:rPr>
        <w:t>Table 4: Framework-Specific Prompt Philosophies</w:t>
      </w:r>
    </w:p>
    <w:p>
      <w:pPr>
        <w:spacing w:after="120" w:line="360" w:lineRule="auto"/>
        <w:jc w:val="both"/>
      </w:pPr>
      <w:r>
        <w:rPr>
          <w:rFonts w:ascii="Times New Roman" w:hAnsi="Times New Roman"/>
          <w:b w:val="0"/>
          <w:i w:val="0"/>
          <w:sz w:val="24"/>
        </w:rPr>
        <w:t>The LLM returns a structured JSON object containing: compliance status (supported, partial, or not_supported), confidence score (0.0–1.0), a 2–4 sentence explanation, and detailed reasoning with evidence quotes and page references.</w:t>
      </w:r>
    </w:p>
    <w:tbl>
      <w:tblPr>
        <w:tblStyle w:val="TableGrid"/>
        <w:tblW w:type="auto" w:w="0"/>
        <w:jc w:val="center"/>
        <w:tblLook w:firstColumn="1" w:firstRow="1" w:lastColumn="0" w:lastRow="0" w:noHBand="0" w:noVBand="1" w:val="04A0"/>
      </w:tblPr>
      <w:tblGrid>
        <w:gridCol w:w="4323"/>
        <w:gridCol w:w="4323"/>
      </w:tblGrid>
      <w:tr>
        <w:tc>
          <w:tcPr>
            <w:tcW w:type="dxa" w:w="2268"/>
            <w:shd w:fill="D9E2F3"/>
          </w:tcPr>
          <w:p>
            <w:pPr>
              <w:jc w:val="center"/>
            </w:pPr>
            <w:r>
              <w:rPr>
                <w:rFonts w:ascii="Times New Roman" w:hAnsi="Times New Roman"/>
                <w:b/>
                <w:sz w:val="20"/>
              </w:rPr>
              <w:t>Status</w:t>
            </w:r>
          </w:p>
        </w:tc>
        <w:tc>
          <w:tcPr>
            <w:tcW w:type="dxa" w:w="6803"/>
            <w:shd w:fill="D9E2F3"/>
          </w:tcPr>
          <w:p>
            <w:pPr>
              <w:jc w:val="center"/>
            </w:pPr>
            <w:r>
              <w:rPr>
                <w:rFonts w:ascii="Times New Roman" w:hAnsi="Times New Roman"/>
                <w:b/>
                <w:sz w:val="20"/>
              </w:rPr>
              <w:t>Meaning</w:t>
            </w:r>
          </w:p>
        </w:tc>
      </w:tr>
      <w:tr>
        <w:tc>
          <w:tcPr>
            <w:tcW w:type="dxa" w:w="2268"/>
          </w:tcPr>
          <w:p>
            <w:pPr>
              <w:jc w:val="center"/>
            </w:pPr>
            <w:r>
              <w:rPr>
                <w:rFonts w:ascii="Times New Roman" w:hAnsi="Times New Roman"/>
                <w:sz w:val="20"/>
              </w:rPr>
              <w:t>Supported</w:t>
            </w:r>
          </w:p>
        </w:tc>
        <w:tc>
          <w:tcPr>
            <w:tcW w:type="dxa" w:w="6803"/>
          </w:tcPr>
          <w:p>
            <w:pPr>
              <w:jc w:val="center"/>
            </w:pPr>
            <w:r>
              <w:rPr>
                <w:rFonts w:ascii="Times New Roman" w:hAnsi="Times New Roman"/>
                <w:sz w:val="20"/>
              </w:rPr>
              <w:t>Disclosure present and substantively addresses the requirement</w:t>
            </w:r>
          </w:p>
        </w:tc>
      </w:tr>
      <w:tr>
        <w:tc>
          <w:tcPr>
            <w:tcW w:type="dxa" w:w="2268"/>
          </w:tcPr>
          <w:p>
            <w:pPr>
              <w:jc w:val="center"/>
            </w:pPr>
            <w:r>
              <w:rPr>
                <w:rFonts w:ascii="Times New Roman" w:hAnsi="Times New Roman"/>
                <w:sz w:val="20"/>
              </w:rPr>
              <w:t>Partial</w:t>
            </w:r>
          </w:p>
        </w:tc>
        <w:tc>
          <w:tcPr>
            <w:tcW w:type="dxa" w:w="6803"/>
          </w:tcPr>
          <w:p>
            <w:pPr>
              <w:jc w:val="center"/>
            </w:pPr>
            <w:r>
              <w:rPr>
                <w:rFonts w:ascii="Times New Roman" w:hAnsi="Times New Roman"/>
                <w:sz w:val="20"/>
              </w:rPr>
              <w:t>Some disclosure present but key elements missing or indirect</w:t>
            </w:r>
          </w:p>
        </w:tc>
      </w:tr>
      <w:tr>
        <w:tc>
          <w:tcPr>
            <w:tcW w:type="dxa" w:w="2268"/>
          </w:tcPr>
          <w:p>
            <w:pPr>
              <w:jc w:val="center"/>
            </w:pPr>
            <w:r>
              <w:rPr>
                <w:rFonts w:ascii="Times New Roman" w:hAnsi="Times New Roman"/>
                <w:sz w:val="20"/>
              </w:rPr>
              <w:t>Not Supported</w:t>
            </w:r>
          </w:p>
        </w:tc>
        <w:tc>
          <w:tcPr>
            <w:tcW w:type="dxa" w:w="6803"/>
          </w:tcPr>
          <w:p>
            <w:pPr>
              <w:jc w:val="center"/>
            </w:pPr>
            <w:r>
              <w:rPr>
                <w:rFonts w:ascii="Times New Roman" w:hAnsi="Times New Roman"/>
                <w:sz w:val="20"/>
              </w:rPr>
              <w:t>No relevant disclosure found in the evidence</w:t>
            </w:r>
          </w:p>
        </w:tc>
      </w:tr>
    </w:tbl>
    <w:p>
      <w:pPr>
        <w:spacing w:line="360" w:lineRule="auto"/>
      </w:pPr>
    </w:p>
    <w:p>
      <w:pPr>
        <w:spacing w:after="120" w:line="360" w:lineRule="auto"/>
        <w:jc w:val="center"/>
      </w:pPr>
      <w:r>
        <w:rPr>
          <w:rFonts w:ascii="Times New Roman" w:hAnsi="Times New Roman"/>
          <w:b/>
          <w:i w:val="0"/>
          <w:sz w:val="24"/>
        </w:rPr>
        <w:t>Table 2: Compliance Status Labels</w:t>
      </w:r>
    </w:p>
    <w:p>
      <w:pPr>
        <w:spacing w:after="120" w:line="360" w:lineRule="auto"/>
        <w:jc w:val="both"/>
      </w:pPr>
      <w:r>
        <w:rPr>
          <w:rFonts w:ascii="Times New Roman" w:hAnsi="Times New Roman"/>
          <w:b/>
          <w:i w:val="0"/>
          <w:sz w:val="24"/>
        </w:rPr>
        <w:t xml:space="preserve">Step 3: Rule Validation. </w:t>
      </w:r>
      <w:r>
        <w:rPr>
          <w:rFonts w:ascii="Times New Roman" w:hAnsi="Times New Roman"/>
          <w:b w:val="0"/>
          <w:i w:val="0"/>
          <w:sz w:val="24"/>
        </w:rPr>
        <w:t>Deterministic rule checks are applied to the retrieved evidence text as a guardrail against LLM hallucination. Four rule types are supported:</w:t>
      </w:r>
    </w:p>
    <w:tbl>
      <w:tblPr>
        <w:tblStyle w:val="TableGrid"/>
        <w:tblW w:type="auto" w:w="0"/>
        <w:jc w:val="center"/>
        <w:tblLook w:firstColumn="1" w:firstRow="1" w:lastColumn="0" w:lastRow="0" w:noHBand="0" w:noVBand="1" w:val="04A0"/>
      </w:tblPr>
      <w:tblGrid>
        <w:gridCol w:w="2882"/>
        <w:gridCol w:w="2882"/>
        <w:gridCol w:w="2882"/>
      </w:tblGrid>
      <w:tr>
        <w:tc>
          <w:tcPr>
            <w:tcW w:type="dxa" w:w="1701"/>
            <w:shd w:fill="D9E2F3"/>
          </w:tcPr>
          <w:p>
            <w:pPr>
              <w:jc w:val="center"/>
            </w:pPr>
            <w:r>
              <w:rPr>
                <w:rFonts w:ascii="Times New Roman" w:hAnsi="Times New Roman"/>
                <w:b/>
                <w:sz w:val="20"/>
              </w:rPr>
              <w:t>Rule Type</w:t>
            </w:r>
          </w:p>
        </w:tc>
        <w:tc>
          <w:tcPr>
            <w:tcW w:type="dxa" w:w="3969"/>
            <w:shd w:fill="D9E2F3"/>
          </w:tcPr>
          <w:p>
            <w:pPr>
              <w:jc w:val="center"/>
            </w:pPr>
            <w:r>
              <w:rPr>
                <w:rFonts w:ascii="Times New Roman" w:hAnsi="Times New Roman"/>
                <w:b/>
                <w:sz w:val="20"/>
              </w:rPr>
              <w:t>Description</w:t>
            </w:r>
          </w:p>
        </w:tc>
        <w:tc>
          <w:tcPr>
            <w:tcW w:type="dxa" w:w="3402"/>
            <w:shd w:fill="D9E2F3"/>
          </w:tcPr>
          <w:p>
            <w:pPr>
              <w:jc w:val="center"/>
            </w:pPr>
            <w:r>
              <w:rPr>
                <w:rFonts w:ascii="Times New Roman" w:hAnsi="Times New Roman"/>
                <w:b/>
                <w:sz w:val="20"/>
              </w:rPr>
              <w:t>Example</w:t>
            </w:r>
          </w:p>
        </w:tc>
      </w:tr>
      <w:tr>
        <w:tc>
          <w:tcPr>
            <w:tcW w:type="dxa" w:w="1701"/>
          </w:tcPr>
          <w:p>
            <w:pPr>
              <w:jc w:val="center"/>
            </w:pPr>
            <w:r>
              <w:rPr>
                <w:rFonts w:ascii="Times New Roman" w:hAnsi="Times New Roman"/>
                <w:sz w:val="20"/>
              </w:rPr>
              <w:t>Numeric</w:t>
            </w:r>
          </w:p>
        </w:tc>
        <w:tc>
          <w:tcPr>
            <w:tcW w:type="dxa" w:w="3969"/>
          </w:tcPr>
          <w:p>
            <w:pPr>
              <w:jc w:val="center"/>
            </w:pPr>
            <w:r>
              <w:rPr>
                <w:rFonts w:ascii="Times New Roman" w:hAnsi="Times New Roman"/>
                <w:sz w:val="20"/>
              </w:rPr>
              <w:t>Extracts numbers via regex; checks if any fall within configured min/max range</w:t>
            </w:r>
          </w:p>
        </w:tc>
        <w:tc>
          <w:tcPr>
            <w:tcW w:type="dxa" w:w="3402"/>
          </w:tcPr>
          <w:p>
            <w:pPr>
              <w:jc w:val="center"/>
            </w:pPr>
            <w:r>
              <w:rPr>
                <w:rFonts w:ascii="Times New Roman" w:hAnsi="Times New Roman"/>
                <w:sz w:val="20"/>
              </w:rPr>
              <w:t>GHG emissions value exists within expected range</w:t>
            </w:r>
          </w:p>
        </w:tc>
      </w:tr>
      <w:tr>
        <w:tc>
          <w:tcPr>
            <w:tcW w:type="dxa" w:w="1701"/>
          </w:tcPr>
          <w:p>
            <w:pPr>
              <w:jc w:val="center"/>
            </w:pPr>
            <w:r>
              <w:rPr>
                <w:rFonts w:ascii="Times New Roman" w:hAnsi="Times New Roman"/>
                <w:sz w:val="20"/>
              </w:rPr>
              <w:t>Temporal</w:t>
            </w:r>
          </w:p>
        </w:tc>
        <w:tc>
          <w:tcPr>
            <w:tcW w:type="dxa" w:w="3969"/>
          </w:tcPr>
          <w:p>
            <w:pPr>
              <w:jc w:val="center"/>
            </w:pPr>
            <w:r>
              <w:rPr>
                <w:rFonts w:ascii="Times New Roman" w:hAnsi="Times New Roman"/>
                <w:sz w:val="20"/>
              </w:rPr>
              <w:t>Identifies year/date patterns; validates against expected reporting periods</w:t>
            </w:r>
          </w:p>
        </w:tc>
        <w:tc>
          <w:tcPr>
            <w:tcW w:type="dxa" w:w="3402"/>
          </w:tcPr>
          <w:p>
            <w:pPr>
              <w:jc w:val="center"/>
            </w:pPr>
            <w:r>
              <w:rPr>
                <w:rFonts w:ascii="Times New Roman" w:hAnsi="Times New Roman"/>
                <w:sz w:val="20"/>
              </w:rPr>
              <w:t>Report references FY 2023–24 data</w:t>
            </w:r>
          </w:p>
        </w:tc>
      </w:tr>
      <w:tr>
        <w:tc>
          <w:tcPr>
            <w:tcW w:type="dxa" w:w="1701"/>
          </w:tcPr>
          <w:p>
            <w:pPr>
              <w:jc w:val="center"/>
            </w:pPr>
            <w:r>
              <w:rPr>
                <w:rFonts w:ascii="Times New Roman" w:hAnsi="Times New Roman"/>
                <w:sz w:val="20"/>
              </w:rPr>
              <w:t>Keyword</w:t>
            </w:r>
          </w:p>
        </w:tc>
        <w:tc>
          <w:tcPr>
            <w:tcW w:type="dxa" w:w="3969"/>
          </w:tcPr>
          <w:p>
            <w:pPr>
              <w:jc w:val="center"/>
            </w:pPr>
            <w:r>
              <w:rPr>
                <w:rFonts w:ascii="Times New Roman" w:hAnsi="Times New Roman"/>
                <w:sz w:val="20"/>
              </w:rPr>
              <w:t>Case-insensitive substring matching for required terms</w:t>
            </w:r>
          </w:p>
        </w:tc>
        <w:tc>
          <w:tcPr>
            <w:tcW w:type="dxa" w:w="3402"/>
          </w:tcPr>
          <w:p>
            <w:pPr>
              <w:jc w:val="center"/>
            </w:pPr>
            <w:r>
              <w:rPr>
                <w:rFonts w:ascii="Times New Roman" w:hAnsi="Times New Roman"/>
                <w:sz w:val="20"/>
              </w:rPr>
              <w:t>Evidence contains 'carbon neutral' or 'net zero'</w:t>
            </w:r>
          </w:p>
        </w:tc>
      </w:tr>
      <w:tr>
        <w:tc>
          <w:tcPr>
            <w:tcW w:type="dxa" w:w="1701"/>
          </w:tcPr>
          <w:p>
            <w:pPr>
              <w:jc w:val="center"/>
            </w:pPr>
            <w:r>
              <w:rPr>
                <w:rFonts w:ascii="Times New Roman" w:hAnsi="Times New Roman"/>
                <w:sz w:val="20"/>
              </w:rPr>
              <w:t>Field Presence</w:t>
            </w:r>
          </w:p>
        </w:tc>
        <w:tc>
          <w:tcPr>
            <w:tcW w:type="dxa" w:w="3969"/>
          </w:tcPr>
          <w:p>
            <w:pPr>
              <w:jc w:val="center"/>
            </w:pPr>
            <w:r>
              <w:rPr>
                <w:rFonts w:ascii="Times New Roman" w:hAnsi="Times New Roman"/>
                <w:sz w:val="20"/>
              </w:rPr>
              <w:t>Checks for specific field-value assignment patterns</w:t>
            </w:r>
          </w:p>
        </w:tc>
        <w:tc>
          <w:tcPr>
            <w:tcW w:type="dxa" w:w="3402"/>
          </w:tcPr>
          <w:p>
            <w:pPr>
              <w:jc w:val="center"/>
            </w:pPr>
            <w:r>
              <w:rPr>
                <w:rFonts w:ascii="Times New Roman" w:hAnsi="Times New Roman"/>
                <w:sz w:val="20"/>
              </w:rPr>
              <w:t>Evidence contains 'Scope 1:' or 'Total emissions ='</w:t>
            </w:r>
          </w:p>
        </w:tc>
      </w:tr>
    </w:tbl>
    <w:p>
      <w:pPr>
        <w:spacing w:line="360" w:lineRule="auto"/>
      </w:pPr>
    </w:p>
    <w:p>
      <w:pPr>
        <w:spacing w:after="120" w:line="360" w:lineRule="auto"/>
        <w:jc w:val="center"/>
      </w:pPr>
      <w:r>
        <w:rPr>
          <w:rFonts w:ascii="Times New Roman" w:hAnsi="Times New Roman"/>
          <w:b/>
          <w:i w:val="0"/>
          <w:sz w:val="24"/>
        </w:rPr>
        <w:t>Table 5: Rule Validation Types</w:t>
      </w:r>
    </w:p>
    <w:p>
      <w:pPr>
        <w:spacing w:after="120" w:line="360" w:lineRule="auto"/>
        <w:jc w:val="both"/>
      </w:pPr>
      <w:r>
        <w:rPr>
          <w:rFonts w:ascii="Times New Roman" w:hAnsi="Times New Roman"/>
          <w:b/>
          <w:i w:val="0"/>
          <w:sz w:val="24"/>
        </w:rPr>
        <w:t xml:space="preserve">Step 4: Final Decision. </w:t>
      </w:r>
      <w:r>
        <w:rPr>
          <w:rFonts w:ascii="Times New Roman" w:hAnsi="Times New Roman"/>
          <w:b w:val="0"/>
          <w:i w:val="0"/>
          <w:sz w:val="24"/>
        </w:rPr>
        <w:t>The LLM evaluation and rule validation outcomes are synthesized into a final compliance decision. Confidence scores are blended using framework-specific weights:</w:t>
      </w:r>
    </w:p>
    <w:tbl>
      <w:tblPr>
        <w:tblStyle w:val="TableGrid"/>
        <w:tblW w:type="auto" w:w="0"/>
        <w:jc w:val="center"/>
        <w:tblLook w:firstColumn="1" w:firstRow="1" w:lastColumn="0" w:lastRow="0" w:noHBand="0" w:noVBand="1" w:val="04A0"/>
      </w:tblPr>
      <w:tblGrid>
        <w:gridCol w:w="2882"/>
        <w:gridCol w:w="2882"/>
        <w:gridCol w:w="2882"/>
      </w:tblGrid>
      <w:tr>
        <w:tc>
          <w:tcPr>
            <w:tcW w:type="dxa" w:w="2268"/>
            <w:shd w:fill="D9E2F3"/>
          </w:tcPr>
          <w:p>
            <w:pPr>
              <w:jc w:val="center"/>
            </w:pPr>
            <w:r>
              <w:rPr>
                <w:rFonts w:ascii="Times New Roman" w:hAnsi="Times New Roman"/>
                <w:b/>
                <w:sz w:val="20"/>
              </w:rPr>
              <w:t>Framework</w:t>
            </w:r>
          </w:p>
        </w:tc>
        <w:tc>
          <w:tcPr>
            <w:tcW w:type="dxa" w:w="3402"/>
            <w:shd w:fill="D9E2F3"/>
          </w:tcPr>
          <w:p>
            <w:pPr>
              <w:jc w:val="center"/>
            </w:pPr>
            <w:r>
              <w:rPr>
                <w:rFonts w:ascii="Times New Roman" w:hAnsi="Times New Roman"/>
                <w:b/>
                <w:sz w:val="20"/>
              </w:rPr>
              <w:t>Confidence Blending Formula</w:t>
            </w:r>
          </w:p>
        </w:tc>
        <w:tc>
          <w:tcPr>
            <w:tcW w:type="dxa" w:w="3402"/>
            <w:shd w:fill="D9E2F3"/>
          </w:tcPr>
          <w:p>
            <w:pPr>
              <w:jc w:val="center"/>
            </w:pPr>
            <w:r>
              <w:rPr>
                <w:rFonts w:ascii="Times New Roman" w:hAnsi="Times New Roman"/>
                <w:b/>
                <w:sz w:val="20"/>
              </w:rPr>
              <w:t>Rationale</w:t>
            </w:r>
          </w:p>
        </w:tc>
      </w:tr>
      <w:tr>
        <w:tc>
          <w:tcPr>
            <w:tcW w:type="dxa" w:w="2268"/>
          </w:tcPr>
          <w:p>
            <w:pPr>
              <w:jc w:val="center"/>
            </w:pPr>
            <w:r>
              <w:rPr>
                <w:rFonts w:ascii="Times New Roman" w:hAnsi="Times New Roman"/>
                <w:sz w:val="20"/>
              </w:rPr>
              <w:t>SASB</w:t>
            </w:r>
          </w:p>
        </w:tc>
        <w:tc>
          <w:tcPr>
            <w:tcW w:type="dxa" w:w="3402"/>
          </w:tcPr>
          <w:p>
            <w:pPr>
              <w:jc w:val="center"/>
            </w:pPr>
            <w:r>
              <w:rPr>
                <w:rFonts w:ascii="Times New Roman" w:hAnsi="Times New Roman"/>
                <w:sz w:val="20"/>
              </w:rPr>
              <w:t>0.82 × LLM confidence + 0.18 × rule pass rate</w:t>
            </w:r>
          </w:p>
        </w:tc>
        <w:tc>
          <w:tcPr>
            <w:tcW w:type="dxa" w:w="3402"/>
          </w:tcPr>
          <w:p>
            <w:pPr>
              <w:jc w:val="center"/>
            </w:pPr>
            <w:r>
              <w:rPr>
                <w:rFonts w:ascii="Times New Roman" w:hAnsi="Times New Roman"/>
                <w:sz w:val="20"/>
              </w:rPr>
              <w:t>SASB rules are heuristic; trust LLM more</w:t>
            </w:r>
          </w:p>
        </w:tc>
      </w:tr>
      <w:tr>
        <w:tc>
          <w:tcPr>
            <w:tcW w:type="dxa" w:w="2268"/>
          </w:tcPr>
          <w:p>
            <w:pPr>
              <w:jc w:val="center"/>
            </w:pPr>
            <w:r>
              <w:rPr>
                <w:rFonts w:ascii="Times New Roman" w:hAnsi="Times New Roman"/>
                <w:sz w:val="20"/>
              </w:rPr>
              <w:t>Others (BRSR, GRI, TCFD)</w:t>
            </w:r>
          </w:p>
        </w:tc>
        <w:tc>
          <w:tcPr>
            <w:tcW w:type="dxa" w:w="3402"/>
          </w:tcPr>
          <w:p>
            <w:pPr>
              <w:jc w:val="center"/>
            </w:pPr>
            <w:r>
              <w:rPr>
                <w:rFonts w:ascii="Times New Roman" w:hAnsi="Times New Roman"/>
                <w:sz w:val="20"/>
              </w:rPr>
              <w:t>(LLM confidence + rule pass rate) / 2</w:t>
            </w:r>
          </w:p>
        </w:tc>
        <w:tc>
          <w:tcPr>
            <w:tcW w:type="dxa" w:w="3402"/>
          </w:tcPr>
          <w:p>
            <w:pPr>
              <w:jc w:val="center"/>
            </w:pPr>
            <w:r>
              <w:rPr>
                <w:rFonts w:ascii="Times New Roman" w:hAnsi="Times New Roman"/>
                <w:sz w:val="20"/>
              </w:rPr>
              <w:t>Balanced weighting between LLM and rules</w:t>
            </w:r>
          </w:p>
        </w:tc>
      </w:tr>
    </w:tbl>
    <w:p>
      <w:pPr>
        <w:spacing w:line="360" w:lineRule="auto"/>
      </w:pPr>
    </w:p>
    <w:p>
      <w:pPr>
        <w:spacing w:after="120" w:line="360" w:lineRule="auto"/>
        <w:jc w:val="center"/>
      </w:pPr>
      <w:r>
        <w:rPr>
          <w:rFonts w:ascii="Times New Roman" w:hAnsi="Times New Roman"/>
          <w:b/>
          <w:i w:val="0"/>
          <w:sz w:val="24"/>
        </w:rPr>
        <w:t>Table 6: Confidence Blending Formulas</w:t>
      </w:r>
    </w:p>
    <w:p>
      <w:pPr>
        <w:spacing w:after="120" w:line="360" w:lineRule="auto"/>
        <w:jc w:val="both"/>
      </w:pPr>
      <w:r>
        <w:rPr>
          <w:rFonts w:ascii="Times New Roman" w:hAnsi="Times New Roman"/>
          <w:b w:val="0"/>
          <w:i w:val="0"/>
          <w:sz w:val="24"/>
        </w:rPr>
        <w:t>If mandatory rules fail, the final status is capped at "Partial" with confidence limited to 0.65 (SASB) or 0.50 (others). Conversely, if all rules pass but the LLM assigns "Not Supported," confidence is reduced by 0.20 (minimum 0.30) to signal the discrepancy. The final output includes the compliance status, confidence score, whether a rule override was applied, and the reason for any override.</w:t>
      </w:r>
    </w:p>
    <w:p>
      <w:pPr>
        <w:pStyle w:val="Heading2"/>
        <w:spacing w:line="360" w:lineRule="auto"/>
        <w:jc w:val="left"/>
      </w:pPr>
      <w:r>
        <w:rPr>
          <w:rFonts w:ascii="Times New Roman" w:hAnsi="Times New Roman"/>
          <w:b/>
          <w:color w:val="000000"/>
          <w:sz w:val="28"/>
        </w:rPr>
        <w:t>3.6 Agentic AI Pipeline</w:t>
      </w:r>
    </w:p>
    <w:p>
      <w:pPr>
        <w:spacing w:after="120" w:line="360" w:lineRule="auto"/>
        <w:jc w:val="both"/>
      </w:pPr>
      <w:r>
        <w:rPr>
          <w:rFonts w:ascii="Times New Roman" w:hAnsi="Times New Roman"/>
          <w:b w:val="0"/>
          <w:i w:val="0"/>
          <w:sz w:val="24"/>
        </w:rPr>
        <w:t>When the reflection mode is enabled, the single-pass LLM evaluation (Step 2) is replaced by a three-stage agentic pipeline that mirrors the deliberative process of a human auditor:</w:t>
      </w:r>
    </w:p>
    <w:p>
      <w:pPr>
        <w:spacing w:after="120" w:line="360" w:lineRule="auto"/>
        <w:jc w:val="center"/>
      </w:pPr>
      <w:r>
        <w:rPr>
          <w:rFonts w:ascii="Times New Roman" w:hAnsi="Times New Roman"/>
          <w:b w:val="0"/>
          <w:i/>
          <w:sz w:val="24"/>
        </w:rPr>
        <w:t>[Figure 3: Agentic AI Reasoning Flow – Shows the three-stage process: Chain-of-Thought Reasoning → Self-Reflection → Conditional Revision → Final Output.]</w:t>
      </w:r>
    </w:p>
    <w:p>
      <w:pPr>
        <w:spacing w:after="120" w:line="360" w:lineRule="auto"/>
        <w:jc w:val="both"/>
      </w:pPr>
      <w:r>
        <w:rPr>
          <w:rFonts w:ascii="Times New Roman" w:hAnsi="Times New Roman"/>
          <w:b/>
          <w:i w:val="0"/>
          <w:sz w:val="24"/>
        </w:rPr>
        <w:t xml:space="preserve">Stage 1: Chain-of-Thought Reasoning </w:t>
      </w:r>
      <w:r>
        <w:rPr>
          <w:rFonts w:ascii="Times New Roman" w:hAnsi="Times New Roman"/>
          <w:b w:val="0"/>
          <w:i w:val="0"/>
          <w:sz w:val="24"/>
        </w:rPr>
        <w:t>(LLM call at temperature 0.2). The LLM is prompted to reason explicitly through five analytical dimensions: (a) evidence quality assessment, evaluating the relevance and specificity of each retrieved chunk; (b) requirement mapping, identifying which aspects of the clause are addressed by the evidence; (c) evidence type validation, verifying that the evidence matches the required disclosure type; (d) completeness analysis, identifying coverage gaps; and (e) compliance determination, synthesizing the analysis into a status and confidence score. The structured reasoning steps are preserved for audit transparency.</w:t>
      </w:r>
    </w:p>
    <w:p>
      <w:pPr>
        <w:spacing w:after="120" w:line="360" w:lineRule="auto"/>
        <w:jc w:val="both"/>
      </w:pPr>
      <w:r>
        <w:rPr>
          <w:rFonts w:ascii="Times New Roman" w:hAnsi="Times New Roman"/>
          <w:b/>
          <w:i w:val="0"/>
          <w:sz w:val="24"/>
        </w:rPr>
        <w:t xml:space="preserve">Stage 2: Self-Reflection </w:t>
      </w:r>
      <w:r>
        <w:rPr>
          <w:rFonts w:ascii="Times New Roman" w:hAnsi="Times New Roman"/>
          <w:b w:val="0"/>
          <w:i w:val="0"/>
          <w:sz w:val="24"/>
        </w:rPr>
        <w:t>(LLM call at temperature 0.3). A second LLM call critically reviews the chain-of-thought output, examining: logical consistency of reasoning steps, evidence coverage completeness, potential confirmation or anchoring biases, whether alternative interpretations of the evidence were considered, and whether the assigned confidence score is appropriately calibrated. The reflection produces a summary, a list of identified issues, and a boolean decision on whether revision is needed.</w:t>
      </w:r>
    </w:p>
    <w:p>
      <w:pPr>
        <w:spacing w:after="120" w:line="360" w:lineRule="auto"/>
        <w:jc w:val="both"/>
      </w:pPr>
      <w:r>
        <w:rPr>
          <w:rFonts w:ascii="Times New Roman" w:hAnsi="Times New Roman"/>
          <w:b/>
          <w:i w:val="0"/>
          <w:sz w:val="24"/>
        </w:rPr>
        <w:t xml:space="preserve">Stage 3: Conditional Revision </w:t>
      </w:r>
      <w:r>
        <w:rPr>
          <w:rFonts w:ascii="Times New Roman" w:hAnsi="Times New Roman"/>
          <w:b w:val="0"/>
          <w:i w:val="0"/>
          <w:sz w:val="24"/>
        </w:rPr>
        <w:t>(LLM call at temperature 0.2, only if needed). If the self-reflection stage identifies substantive issues (needs_revision = true), a third LLM call addresses the specific issues raised, reconsiders the evidence interpretation, and produces a revised status, confidence score, and revision notes. Empirically, approximately 10–20% of clause evaluations trigger revision.</w:t>
      </w:r>
    </w:p>
    <w:p>
      <w:pPr>
        <w:spacing w:after="120" w:line="360" w:lineRule="auto"/>
        <w:jc w:val="both"/>
      </w:pPr>
      <w:r>
        <w:rPr>
          <w:rFonts w:ascii="Times New Roman" w:hAnsi="Times New Roman"/>
          <w:b w:val="0"/>
          <w:i w:val="0"/>
          <w:sz w:val="24"/>
        </w:rPr>
        <w:t>The agentic pipeline requires 2–3 LLM calls per clause compared to one in the fast evaluation mode, adding approximately 2–3 seconds of latency per clause. Clauses are processed in parallel batches of 10 to maintain acceptable throughput.</w:t>
      </w:r>
    </w:p>
    <w:p>
      <w:pPr>
        <w:pStyle w:val="Heading2"/>
        <w:spacing w:line="360" w:lineRule="auto"/>
        <w:jc w:val="left"/>
      </w:pPr>
      <w:r>
        <w:rPr>
          <w:rFonts w:ascii="Times New Roman" w:hAnsi="Times New Roman"/>
          <w:b/>
          <w:color w:val="000000"/>
          <w:sz w:val="28"/>
        </w:rPr>
        <w:t>3.7 Ground Truth and Accuracy Evaluation</w:t>
      </w:r>
    </w:p>
    <w:p>
      <w:pPr>
        <w:spacing w:after="120" w:line="360" w:lineRule="auto"/>
        <w:jc w:val="both"/>
      </w:pPr>
      <w:r>
        <w:rPr>
          <w:rFonts w:ascii="Times New Roman" w:hAnsi="Times New Roman"/>
          <w:b w:val="0"/>
          <w:i w:val="0"/>
          <w:sz w:val="24"/>
        </w:rPr>
        <w:t>To rigorously evaluate system performance, ground truth labels were manually annotated by the research team for 13 companies across all four ESG frameworks. The companies evaluated comprise a diverse set of multinational and Indian enterprises: Amazon, Apple, Infosys, Nestle, RIL (Reliance Industries Limited), Tata Motors, TCS (Tata Consultancy Services), Givaudan, GPM, Himadri, NYK, Sasken, and Unilever.</w:t>
      </w:r>
    </w:p>
    <w:p>
      <w:pPr>
        <w:spacing w:after="120" w:line="360" w:lineRule="auto"/>
        <w:jc w:val="both"/>
      </w:pPr>
      <w:r>
        <w:rPr>
          <w:rFonts w:ascii="Times New Roman" w:hAnsi="Times New Roman"/>
          <w:b w:val="0"/>
          <w:i w:val="0"/>
          <w:sz w:val="24"/>
        </w:rPr>
        <w:t>For each company–framework pair, the annotators reviewed the sustainability report alongside the ESG standard clauses and assigned a compliance status (Compliant, Partial, or Non-Compliant) with supporting comments justifying the decision. Each ground truth entry contains: clause_id, compliance_status, and annotator comments.</w:t>
      </w:r>
    </w:p>
    <w:p>
      <w:pPr>
        <w:spacing w:after="120" w:line="360" w:lineRule="auto"/>
        <w:jc w:val="both"/>
      </w:pPr>
      <w:r>
        <w:rPr>
          <w:rFonts w:ascii="Times New Roman" w:hAnsi="Times New Roman"/>
          <w:b w:val="0"/>
          <w:i w:val="0"/>
          <w:sz w:val="24"/>
        </w:rPr>
        <w:t>The following accuracy metrics are computed by comparing system predictions against the ground truth:</w:t>
      </w:r>
    </w:p>
    <w:p>
      <w:pPr>
        <w:pStyle w:val="ListBullet"/>
        <w:spacing w:after="60" w:line="360" w:lineRule="auto"/>
      </w:pPr>
      <w:r>
        <w:rPr>
          <w:rFonts w:ascii="Times New Roman" w:hAnsi="Times New Roman"/>
          <w:b/>
          <w:sz w:val="24"/>
        </w:rPr>
        <w:t xml:space="preserve">Retrieval Recall@K: </w:t>
      </w:r>
      <w:r>
        <w:rPr>
          <w:rFonts w:ascii="Times New Roman" w:hAnsi="Times New Roman"/>
          <w:sz w:val="24"/>
        </w:rPr>
        <w:t>% of clauses for which at least one expected evidence page was retrieved among the top-K chunks.</w:t>
      </w:r>
    </w:p>
    <w:p>
      <w:pPr>
        <w:pStyle w:val="ListBullet"/>
        <w:spacing w:after="60" w:line="360" w:lineRule="auto"/>
      </w:pPr>
      <w:r>
        <w:rPr>
          <w:rFonts w:ascii="Times New Roman" w:hAnsi="Times New Roman"/>
          <w:b/>
          <w:sz w:val="24"/>
        </w:rPr>
        <w:t xml:space="preserve">LLM Precision, Recall, and F1 Score: </w:t>
      </w:r>
      <w:r>
        <w:rPr>
          <w:rFonts w:ascii="Times New Roman" w:hAnsi="Times New Roman"/>
          <w:sz w:val="24"/>
        </w:rPr>
        <w:t>Computed using binary classification where 'compliant' encompasses both Supported and Partial, and 'non-compliant' corresponds to Not Supported.</w:t>
      </w:r>
    </w:p>
    <w:p>
      <w:pPr>
        <w:pStyle w:val="ListBullet"/>
        <w:spacing w:after="60" w:line="360" w:lineRule="auto"/>
      </w:pPr>
      <w:r>
        <w:rPr>
          <w:rFonts w:ascii="Times New Roman" w:hAnsi="Times New Roman"/>
          <w:b/>
          <w:sz w:val="24"/>
        </w:rPr>
        <w:t xml:space="preserve">Status Match Accuracy: </w:t>
      </w:r>
      <w:r>
        <w:rPr>
          <w:rFonts w:ascii="Times New Roman" w:hAnsi="Times New Roman"/>
          <w:sz w:val="24"/>
        </w:rPr>
        <w:t>The exact three-way match rate between predicted and ground truth statuses (supported, partial, not_supported).</w:t>
      </w:r>
    </w:p>
    <w:p>
      <w:pPr>
        <w:pStyle w:val="ListBullet"/>
        <w:spacing w:after="60" w:line="360" w:lineRule="auto"/>
      </w:pPr>
      <w:r>
        <w:rPr>
          <w:rFonts w:ascii="Times New Roman" w:hAnsi="Times New Roman"/>
          <w:b/>
          <w:sz w:val="24"/>
        </w:rPr>
        <w:t xml:space="preserve">Rule Validation Precision: </w:t>
      </w:r>
      <w:r>
        <w:rPr>
          <w:rFonts w:ascii="Times New Roman" w:hAnsi="Times New Roman"/>
          <w:sz w:val="24"/>
        </w:rPr>
        <w:t>The correctness rate of rule-based overrides—when rules override the LLM, how often the override aligns with ground truth.</w:t>
      </w:r>
    </w:p>
    <w:p>
      <w:pPr>
        <w:pStyle w:val="ListBullet"/>
        <w:spacing w:after="60" w:line="360" w:lineRule="auto"/>
      </w:pPr>
      <w:r>
        <w:rPr>
          <w:rFonts w:ascii="Times New Roman" w:hAnsi="Times New Roman"/>
          <w:b/>
          <w:sz w:val="24"/>
        </w:rPr>
        <w:t xml:space="preserve">Confidence Calibration Error: </w:t>
      </w:r>
      <w:r>
        <w:rPr>
          <w:rFonts w:ascii="Times New Roman" w:hAnsi="Times New Roman"/>
          <w:sz w:val="24"/>
        </w:rPr>
        <w:t>The expected calibration error (ECE) computed by binning predictions into five confidence intervals and measuring the average absolute difference between predicted confidence and observed accuracy within each bin.</w:t>
      </w:r>
    </w:p>
    <w:p>
      <w:pPr>
        <w:pStyle w:val="Heading2"/>
        <w:spacing w:line="360" w:lineRule="auto"/>
        <w:jc w:val="left"/>
      </w:pPr>
      <w:r>
        <w:rPr>
          <w:rFonts w:ascii="Times New Roman" w:hAnsi="Times New Roman"/>
          <w:b/>
          <w:color w:val="000000"/>
          <w:sz w:val="28"/>
        </w:rPr>
        <w:t>3.8 Frontend and Human-in-the-Loop</w:t>
      </w:r>
    </w:p>
    <w:p>
      <w:pPr>
        <w:spacing w:after="120" w:line="360" w:lineRule="auto"/>
        <w:jc w:val="both"/>
      </w:pPr>
      <w:r>
        <w:rPr>
          <w:rFonts w:ascii="Times New Roman" w:hAnsi="Times New Roman"/>
          <w:b w:val="0"/>
          <w:i w:val="0"/>
          <w:sz w:val="24"/>
        </w:rPr>
        <w:t>The frontend is implemented in React 18 with Tailwind CSS for styling, Framer Motion for smooth animations and transitions, and Recharts for interactive data visualization. The design system features Playfair Display (serif) for headings, DM Sans (sans-serif) for body text, and a forest green (#3d8269) and clay beige (#f0ebe3) color palette.</w:t>
      </w:r>
    </w:p>
    <w:p>
      <w:pPr>
        <w:spacing w:after="120" w:line="360" w:lineRule="auto"/>
        <w:jc w:val="both"/>
      </w:pPr>
      <w:r>
        <w:rPr>
          <w:rFonts w:ascii="Times New Roman" w:hAnsi="Times New Roman"/>
          <w:b w:val="0"/>
          <w:i w:val="0"/>
          <w:sz w:val="24"/>
        </w:rPr>
        <w:t xml:space="preserve">The interface comprises eight primary views:</w:t>
      </w:r>
    </w:p>
    <w:p>
      <w:pPr>
        <w:pStyle w:val="ListNumber"/>
        <w:spacing w:after="60" w:line="360" w:lineRule="auto"/>
      </w:pPr>
      <w:r>
        <w:rPr>
          <w:rFonts w:ascii="Times New Roman" w:hAnsi="Times New Roman"/>
          <w:b/>
          <w:sz w:val="24"/>
        </w:rPr>
        <w:t xml:space="preserve">Home: </w:t>
      </w:r>
      <w:r>
        <w:rPr>
          <w:rFonts w:ascii="Times New Roman" w:hAnsi="Times New Roman"/>
          <w:sz w:val="24"/>
        </w:rPr>
        <w:t>System statistics, feature overview, and health indicators.</w:t>
      </w:r>
    </w:p>
    <w:p>
      <w:pPr>
        <w:pStyle w:val="ListNumber"/>
        <w:spacing w:after="60" w:line="360" w:lineRule="auto"/>
      </w:pPr>
      <w:r>
        <w:rPr>
          <w:rFonts w:ascii="Times New Roman" w:hAnsi="Times New Roman"/>
          <w:b/>
          <w:sz w:val="24"/>
        </w:rPr>
        <w:t xml:space="preserve">Upload: </w:t>
      </w:r>
      <w:r>
        <w:rPr>
          <w:rFonts w:ascii="Times New Roman" w:hAnsi="Times New Roman"/>
          <w:sz w:val="24"/>
        </w:rPr>
        <w:t>Drag-and-drop PDF upload with multi-step progress tracking (Processing → Embedding → Ready).</w:t>
      </w:r>
    </w:p>
    <w:p>
      <w:pPr>
        <w:pStyle w:val="ListNumber"/>
        <w:spacing w:after="60" w:line="360" w:lineRule="auto"/>
      </w:pPr>
      <w:r>
        <w:rPr>
          <w:rFonts w:ascii="Times New Roman" w:hAnsi="Times New Roman"/>
          <w:b/>
          <w:sz w:val="24"/>
        </w:rPr>
        <w:t xml:space="preserve">Documents: </w:t>
      </w:r>
      <w:r>
        <w:rPr>
          <w:rFonts w:ascii="Times New Roman" w:hAnsi="Times New Roman"/>
          <w:sz w:val="24"/>
        </w:rPr>
        <w:t>Uploaded document management with metadata, framework filtering, and evaluation triggers.</w:t>
      </w:r>
    </w:p>
    <w:p>
      <w:pPr>
        <w:pStyle w:val="ListNumber"/>
        <w:spacing w:after="60" w:line="360" w:lineRule="auto"/>
      </w:pPr>
      <w:r>
        <w:rPr>
          <w:rFonts w:ascii="Times New Roman" w:hAnsi="Times New Roman"/>
          <w:b/>
          <w:sz w:val="24"/>
        </w:rPr>
        <w:t xml:space="preserve">Clauses: </w:t>
      </w:r>
      <w:r>
        <w:rPr>
          <w:rFonts w:ascii="Times New Roman" w:hAnsi="Times New Roman"/>
          <w:sz w:val="24"/>
        </w:rPr>
        <w:t>Browse parsed ESG clauses across all four frameworks with search, filtering, and expandable details.</w:t>
      </w:r>
    </w:p>
    <w:p>
      <w:pPr>
        <w:pStyle w:val="ListNumber"/>
        <w:spacing w:after="60" w:line="360" w:lineRule="auto"/>
      </w:pPr>
      <w:r>
        <w:rPr>
          <w:rFonts w:ascii="Times New Roman" w:hAnsi="Times New Roman"/>
          <w:b/>
          <w:sz w:val="24"/>
        </w:rPr>
        <w:t xml:space="preserve">Reports: </w:t>
      </w:r>
      <w:r>
        <w:rPr>
          <w:rFonts w:ascii="Times New Roman" w:hAnsi="Times New Roman"/>
          <w:sz w:val="24"/>
        </w:rPr>
        <w:t>Compliance report listing with summary cards showing company, framework, compliance rate, and status distribution.</w:t>
      </w:r>
    </w:p>
    <w:p>
      <w:pPr>
        <w:pStyle w:val="ListNumber"/>
        <w:spacing w:after="60" w:line="360" w:lineRule="auto"/>
      </w:pPr>
      <w:r>
        <w:rPr>
          <w:rFonts w:ascii="Times New Roman" w:hAnsi="Times New Roman"/>
          <w:b/>
          <w:sz w:val="24"/>
        </w:rPr>
        <w:t xml:space="preserve">Report Detail: The most complex page. Displays summary statistics, ground truth accuracy metrics (Precision, Recall, F1), human verification section for ambiguous clauses, expandable clause cards with AI analysis, evidence chunks with page numbers and similarity scores, rule validation results, and an interactive agentic reasoning timeline (“How did the AI decide?”) that visualizes chain-of-thought, self-reflection, and revision steps. Includes a RAG-powered chat interface for querying the source document, a Gap Analysis / Executive Action Plan generator with PDF download, report PDF export, and report deletion with confirmation modal.</w:t>
      </w:r>
    </w:p>
    <w:p>
      <w:pPr>
        <w:pStyle w:val="ListNumber"/>
        <w:spacing w:after="60" w:line="360" w:lineRule="auto"/>
      </w:pPr>
      <w:r>
        <w:rPr>
          <w:rFonts w:ascii="Times New Roman" w:hAnsi="Times New Roman"/>
          <w:b/>
          <w:sz w:val="24"/>
        </w:rPr>
        <w:t xml:space="preserve">Dashboard: </w:t>
      </w:r>
      <w:r>
        <w:rPr>
          <w:rFonts w:ascii="Times New Roman" w:hAnsi="Times New Roman"/>
          <w:sz w:val="24"/>
        </w:rPr>
        <w:t>Multi-company, multi-framework analytics with company selector, bar charts, radar charts, and pie charts for compliance comparison.</w:t>
      </w:r>
    </w:p>
    <w:p>
      <w:pPr>
        <w:pStyle w:val="ListNumber"/>
        <w:spacing w:after="60" w:line="360" w:lineRule="auto"/>
      </w:pPr>
      <w:r>
        <w:rPr>
          <w:rFonts w:ascii="Times New Roman" w:hAnsi="Times New Roman"/>
          <w:b/>
          <w:sz w:val="24"/>
        </w:rPr>
        <w:t xml:space="preserve">Compare: A two-company side-by-side comparison dashboard. Users select two companies and a framework to view synchronized clause-level compliance comparisons, aggregate statistics (compliance rates, status distributions), and visual diff highlighting where the two companies diverge.</w:t>
      </w:r>
    </w:p>
    <w:p>
      <w:pPr>
        <w:spacing w:after="120" w:line="360" w:lineRule="auto"/>
        <w:jc w:val="both"/>
      </w:pPr>
      <w:r>
        <w:rPr>
          <w:rFonts w:ascii="Times New Roman" w:hAnsi="Times New Roman"/>
          <w:b w:val="0"/>
          <w:i w:val="0"/>
          <w:sz w:val="24"/>
        </w:rPr>
        <w:t>A critical design feature is the human-in-the-loop verification system. Clauses with a confidence score below 0.7 or a status of "Partial" (where no rule override was applied) are automatically flagged as "ambiguous" and surfaced in a dedicated Human Verification section. Reviewers can examine the AI's reasoning, retrieved evidence, and rule validation results before approving or overriding the system's decision. Overrides trigger real-time summary recomputation. This mechanism ensures that uncertain decisions receive human judgment while allowing high-confidence decisions to proceed without intervention.</w:t>
      </w:r>
    </w:p>
    <w:p>
      <w:pPr>
        <w:pStyle w:val="Heading2"/>
        <w:spacing w:line="360" w:lineRule="auto"/>
        <w:jc w:val="left"/>
      </w:pPr>
      <w:r>
        <w:rPr>
          <w:rFonts w:ascii="Times New Roman" w:hAnsi="Times New Roman"/>
          <w:b/>
          <w:color w:val="000000"/>
          <w:sz w:val="28"/>
        </w:rPr>
        <w:t xml:space="preserve">3.9 Real-Time Streaming Evaluation</w:t>
      </w:r>
    </w:p>
    <w:p>
      <w:pPr>
        <w:spacing w:after="120" w:line="360" w:lineRule="auto"/>
        <w:jc w:val="both"/>
      </w:pPr>
      <w:r>
        <w:rPr>
          <w:rFonts w:ascii="Times New Roman" w:hAnsi="Times New Roman"/>
          <w:b w:val="0"/>
          <w:i w:val="0"/>
          <w:sz w:val="24"/>
        </w:rPr>
        <w:t xml:space="preserve">The system employs Server-Sent Events (SSE) for real-time streaming of compliance evaluation progress. When a user initiates an evaluation, the backend opens an SSE connection via POST /compliance/evaluate/stream, processing each clause sequentially and streaming structured JSON events to the frontend as each clause completes.</w:t>
      </w:r>
    </w:p>
    <w:p>
      <w:pPr>
        <w:spacing w:after="120" w:line="360" w:lineRule="auto"/>
        <w:jc w:val="both"/>
      </w:pPr>
      <w:r>
        <w:rPr>
          <w:rFonts w:ascii="Times New Roman" w:hAnsi="Times New Roman"/>
          <w:b w:val="0"/>
          <w:i w:val="0"/>
          <w:sz w:val="24"/>
        </w:rPr>
        <w:t xml:space="preserve">Each SSE frame contains the event type (clause_done, progress, complete, error) and a JSON payload with the evaluation result. The frontend parses these frames using a ReadableStream reader with a text buffer for handling frame boundaries. The live progress interface displays the current clause being evaluated, running counts of Supported, Partial, and Not Supported statuses, and an animated progress bar with percentage completion.</w:t>
      </w:r>
    </w:p>
    <w:p>
      <w:pPr>
        <w:spacing w:after="120" w:line="360" w:lineRule="auto"/>
        <w:jc w:val="both"/>
      </w:pPr>
      <w:r>
        <w:rPr>
          <w:rFonts w:ascii="Times New Roman" w:hAnsi="Times New Roman"/>
          <w:b w:val="0"/>
          <w:i w:val="0"/>
          <w:sz w:val="24"/>
        </w:rPr>
        <w:t xml:space="preserve">A critical engineering consideration is React 18’s StrictMode, which mounts, unmounts, and remounts components in development mode. Without proper handling, this double-mount behavior triggers duplicate evaluation requests, creating two identical reports. The system addresses this by propagating an AbortController signal through the SSE connection. The useEffect cleanup function calls controller.abort(), which terminates the in-flight fetch request and prevents the server from completing the duplicate evaluation.</w:t>
      </w:r>
    </w:p>
    <w:p>
      <w:pPr>
        <w:spacing w:line="360" w:lineRule="auto"/>
      </w:pPr>
    </w:p>
    <w:p>
      <w:pPr>
        <w:pStyle w:val="Heading2"/>
        <w:spacing w:line="360" w:lineRule="auto"/>
        <w:jc w:val="left"/>
      </w:pPr>
      <w:r>
        <w:rPr>
          <w:rFonts w:ascii="Times New Roman" w:hAnsi="Times New Roman"/>
          <w:b/>
          <w:color w:val="000000"/>
          <w:sz w:val="28"/>
        </w:rPr>
        <w:t xml:space="preserve">3.10 RAG-Based Document Chat</w:t>
      </w:r>
    </w:p>
    <w:p>
      <w:pPr>
        <w:spacing w:after="120" w:line="360" w:lineRule="auto"/>
        <w:jc w:val="both"/>
      </w:pPr>
      <w:r>
        <w:rPr>
          <w:rFonts w:ascii="Times New Roman" w:hAnsi="Times New Roman"/>
          <w:b w:val="0"/>
          <w:i w:val="0"/>
          <w:sz w:val="24"/>
        </w:rPr>
        <w:t xml:space="preserve">ESG Buddy includes a Retrieval-Augmented Generation (RAG) chat interface that enables users to ask natural language questions about the source sustainability report associated with any compliance report. The chat endpoint (POST /compliance/reports/{id}/chat) accepts a question and a configurable top_k parameter, retrieves the most semantically relevant document chunks from ChromaDB using cosine similarity search, and submits them alongside the question to GPT-4o-mini.</w:t>
      </w:r>
    </w:p>
    <w:p>
      <w:pPr>
        <w:spacing w:after="120" w:line="360" w:lineRule="auto"/>
        <w:jc w:val="both"/>
      </w:pPr>
      <w:r>
        <w:rPr>
          <w:rFonts w:ascii="Times New Roman" w:hAnsi="Times New Roman"/>
          <w:b w:val="0"/>
          <w:i w:val="0"/>
          <w:sz w:val="24"/>
        </w:rPr>
        <w:t xml:space="preserve">The system prompt instructs the model to answer based solely on the retrieved evidence, cite specific page numbers, and acknowledge when information is insufficient. This grounding mechanism prevents hallucination and ensures all responses are traceable to source material. The chat interface is embedded within the Report Detail page, providing contextual access without navigating away from the compliance analysis.</w:t>
      </w:r>
    </w:p>
    <w:p>
      <w:pPr>
        <w:spacing w:line="360" w:lineRule="auto"/>
      </w:pPr>
    </w:p>
    <w:p>
      <w:pPr>
        <w:pStyle w:val="Heading2"/>
        <w:spacing w:line="360" w:lineRule="auto"/>
        <w:jc w:val="left"/>
      </w:pPr>
      <w:r>
        <w:rPr>
          <w:rFonts w:ascii="Times New Roman" w:hAnsi="Times New Roman"/>
          <w:b/>
          <w:color w:val="000000"/>
          <w:sz w:val="28"/>
        </w:rPr>
        <w:t xml:space="preserve">3.11 Gap Analysis and Action Plan Generation</w:t>
      </w:r>
    </w:p>
    <w:p>
      <w:pPr>
        <w:spacing w:after="120" w:line="360" w:lineRule="auto"/>
        <w:jc w:val="both"/>
      </w:pPr>
      <w:r>
        <w:rPr>
          <w:rFonts w:ascii="Times New Roman" w:hAnsi="Times New Roman"/>
          <w:b w:val="0"/>
          <w:i w:val="0"/>
          <w:sz w:val="24"/>
        </w:rPr>
        <w:t xml:space="preserve">The Gap Analysis module generates a prioritized improvement roadmap for non-compliant and partially compliant clauses. When triggered from the Report Detail page, the system collects all clauses with “Not Supported” or “Partial” status from the evaluation results, groups them by ESG pillar (Environment, Social, Governance), and submits them to GPT-4o-mini with a specialized system prompt.</w:t>
      </w:r>
    </w:p>
    <w:p>
      <w:pPr>
        <w:spacing w:after="120" w:line="360" w:lineRule="auto"/>
        <w:jc w:val="both"/>
      </w:pPr>
      <w:r>
        <w:rPr>
          <w:rFonts w:ascii="Times New Roman" w:hAnsi="Times New Roman"/>
          <w:b w:val="0"/>
          <w:i w:val="0"/>
          <w:sz w:val="24"/>
        </w:rPr>
        <w:t xml:space="preserve">The LLM generates a structured JSON response containing: (1) an executive summary of the compliance gap landscape, (2) top 5 priority actions ranked by impact and feasibility, (3) pillar-wise action breakdowns with effort classifications (Quick Win, Moderate, Structural), (4) specific clause references for each recommended action, and (5) impact statements quantifying potential improvement.</w:t>
      </w:r>
    </w:p>
    <w:p>
      <w:pPr>
        <w:spacing w:after="120" w:line="360" w:lineRule="auto"/>
        <w:jc w:val="both"/>
      </w:pPr>
      <w:r>
        <w:rPr>
          <w:rFonts w:ascii="Times New Roman" w:hAnsi="Times New Roman"/>
          <w:b w:val="0"/>
          <w:i w:val="0"/>
          <w:sz w:val="24"/>
        </w:rPr>
        <w:t xml:space="preserve">Generated action plans are cached server-side in an in-memory dictionary backed by JSON file persistence. On application startup, previously generated plans are loaded from disk. When a plan is requested, the system first checks the cache for an existing plan before triggering LLM generation. Plans are automatically cleaned up when their associated compliance reports are deleted, ensuring data consistency across the application lifecycle.</w:t>
      </w:r>
    </w:p>
    <w:p>
      <w:pPr>
        <w:spacing w:after="120" w:line="360" w:lineRule="auto"/>
        <w:jc w:val="both"/>
      </w:pPr>
      <w:r>
        <w:rPr>
          <w:rFonts w:ascii="Times New Roman" w:hAnsi="Times New Roman"/>
          <w:b w:val="0"/>
          <w:i w:val="0"/>
          <w:sz w:val="24"/>
        </w:rPr>
        <w:t xml:space="preserve">[Figure placeholder: Gap Analysis / Action Plan Architecture]</w:t>
      </w:r>
    </w:p>
    <w:p>
      <w:pPr>
        <w:spacing w:line="360" w:lineRule="auto"/>
      </w:pPr>
    </w:p>
    <w:p>
      <w:pPr>
        <w:pStyle w:val="Heading2"/>
        <w:spacing w:line="360" w:lineRule="auto"/>
        <w:jc w:val="left"/>
      </w:pPr>
      <w:r>
        <w:rPr>
          <w:rFonts w:ascii="Times New Roman" w:hAnsi="Times New Roman"/>
          <w:b/>
          <w:color w:val="000000"/>
          <w:sz w:val="28"/>
        </w:rPr>
        <w:t xml:space="preserve">3.12 PDF Report Generation</w:t>
      </w:r>
    </w:p>
    <w:p>
      <w:pPr>
        <w:spacing w:after="120" w:line="360" w:lineRule="auto"/>
        <w:jc w:val="both"/>
      </w:pPr>
      <w:r>
        <w:rPr>
          <w:rFonts w:ascii="Times New Roman" w:hAnsi="Times New Roman"/>
          <w:b w:val="0"/>
          <w:i w:val="0"/>
          <w:sz w:val="24"/>
        </w:rPr>
        <w:t xml:space="preserve">The system generates two types of downloadable PDF reports using the ReportLab library:</w:t>
      </w:r>
    </w:p>
    <w:p>
      <w:pPr>
        <w:spacing w:after="120" w:line="360" w:lineRule="auto"/>
        <w:jc w:val="both"/>
      </w:pPr>
      <w:r>
        <w:rPr>
          <w:rFonts w:ascii="Times New Roman" w:hAnsi="Times New Roman"/>
          <w:b w:val="0"/>
          <w:i w:val="0"/>
          <w:sz w:val="24"/>
        </w:rPr>
        <w:t xml:space="preserve">Compliance Report PDF. A comprehensive document containing an executive summary, clause-by-clause evaluation results with compliance status indicators, evidence citations with page numbers, confidence scores, rule validation outcomes, and overall compliance statistics. The report uses a structured layout with a forest green and cream color palette, formatted tables, and status badges.</w:t>
      </w:r>
    </w:p>
    <w:p>
      <w:pPr>
        <w:spacing w:after="120" w:line="360" w:lineRule="auto"/>
        <w:jc w:val="both"/>
      </w:pPr>
      <w:r>
        <w:rPr>
          <w:rFonts w:ascii="Times New Roman" w:hAnsi="Times New Roman"/>
          <w:b w:val="0"/>
          <w:i w:val="0"/>
          <w:sz w:val="24"/>
        </w:rPr>
        <w:t xml:space="preserve">Action Plan PDF. A formatted executive action plan featuring a title page with metadata, a KPI strip (current compliance rate, gaps analyzed, priority actions count), an executive summary panel, top 5 priority actions as numbered cards with effort badges, and pillar-wise action breakdowns with color-coded sections (Environment in emerald, Social in indigo, Governance in violet). Effort classifications use color-coded badges: Quick Win (green), Moderate (amber), and Structural (red).</w:t>
      </w:r>
    </w:p>
    <w:p>
      <w:pPr>
        <w:spacing w:after="120" w:line="360" w:lineRule="auto"/>
        <w:jc w:val="both"/>
      </w:pPr>
      <w:r>
        <w:rPr>
          <w:rFonts w:ascii="Times New Roman" w:hAnsi="Times New Roman"/>
          <w:b w:val="0"/>
          <w:i w:val="0"/>
          <w:sz w:val="24"/>
        </w:rPr>
        <w:t xml:space="preserve">Both PDF types are served via streaming blob responses from the FastAPI backend. The frontend creates temporary Blob URLs and triggers browser file downloads using dynamically generated anchor elements. This pattern ensures large PDF files are handled efficiently without loading the entire document into memory.</w:t>
      </w:r>
    </w:p>
    <w:p>
      <w:pPr>
        <w:spacing w:line="360" w:lineRule="auto"/>
      </w:pPr>
    </w:p>
    <w:p>
      <w:pPr>
        <w:spacing w:line="360" w:lineRule="auto"/>
      </w:pPr>
      <w:r>
        <w:rPr>
          <w:rFonts w:ascii="Times New Roman" w:hAnsi="Times New Roman"/>
          <w:sz w:val="24"/>
        </w:rPr>
        <w:br w:type="page"/>
      </w:r>
    </w:p>
    <w:p>
      <w:pPr>
        <w:spacing w:line="360" w:lineRule="auto"/>
      </w:pPr>
    </w:p>
    <w:p>
      <w:pPr>
        <w:spacing w:after="120" w:line="360" w:lineRule="auto"/>
        <w:jc w:val="center"/>
      </w:pPr>
      <w:r>
        <w:rPr>
          <w:rFonts w:ascii="Times New Roman" w:hAnsi="Times New Roman"/>
          <w:b w:val="0"/>
          <w:i w:val="0"/>
          <w:sz w:val="24"/>
        </w:rPr>
        <w:t xml:space="preserve">In summary, this chapter presented the complete technical methodology of ESG Buddy, spanning document ingestion, ESG standards parsing across four frameworks, the four-step compliance evaluation pipeline, the agentic AI reasoning pipeline with chain-of-thought and self-reflection, ground truth evaluation methodology, frontend architecture with human-in-the-loop verification, real-time streaming evaluation, RAG-based document chat, gap analysis with action plan generation, and PDF report generation. The following chapter presents the results obtained from this methodology.</w:t>
      </w:r>
    </w:p>
    <w:p>
      <w:pPr>
        <w:pStyle w:val="Heading1"/>
        <w:spacing w:line="360" w:lineRule="auto"/>
        <w:jc w:val="center"/>
      </w:pPr>
      <w:r>
        <w:rPr>
          <w:rFonts w:ascii="Times New Roman" w:hAnsi="Times New Roman"/>
          <w:b/>
          <w:color w:val="000000"/>
          <w:sz w:val="36"/>
        </w:rPr>
        <w:t>Chapter 4</w:t>
      </w:r>
    </w:p>
    <w:p>
      <w:pPr>
        <w:pStyle w:val="Heading1"/>
        <w:spacing w:line="360" w:lineRule="auto"/>
        <w:jc w:val="center"/>
      </w:pPr>
      <w:r>
        <w:rPr>
          <w:rFonts w:ascii="Times New Roman" w:hAnsi="Times New Roman"/>
          <w:b/>
          <w:color w:val="000000"/>
          <w:sz w:val="36"/>
        </w:rPr>
        <w:t>Results and Analysis</w:t>
      </w:r>
    </w:p>
    <w:p>
      <w:pPr>
        <w:pStyle w:val="Heading2"/>
        <w:spacing w:line="360" w:lineRule="auto"/>
        <w:jc w:val="left"/>
      </w:pPr>
      <w:r>
        <w:rPr>
          <w:rFonts w:ascii="Times New Roman" w:hAnsi="Times New Roman"/>
          <w:b/>
          <w:color w:val="000000"/>
          <w:sz w:val="28"/>
        </w:rPr>
        <w:t>4.1 Application Screenshots</w:t>
      </w:r>
    </w:p>
    <w:p>
      <w:pPr>
        <w:spacing w:after="120" w:line="360" w:lineRule="auto"/>
        <w:jc w:val="both"/>
      </w:pPr>
      <w:r>
        <w:rPr>
          <w:rFonts w:ascii="Times New Roman" w:hAnsi="Times New Roman"/>
          <w:b w:val="0"/>
          <w:i w:val="0"/>
          <w:sz w:val="24"/>
        </w:rPr>
        <w:t>This section presents key screenshots demonstrating the completed ESG Buddy system. All four ESG frameworks (BRSR, GRI, TCFD, SASB) are fully operational, with the analytics dashboard providing cross-company, cross-framework comparison capabilities.</w:t>
      </w:r>
    </w:p>
    <w:p>
      <w:pPr>
        <w:spacing w:after="120" w:line="360" w:lineRule="auto"/>
        <w:jc w:val="both"/>
      </w:pPr>
      <w:r>
        <w:rPr>
          <w:rFonts w:ascii="Times New Roman" w:hAnsi="Times New Roman"/>
          <w:b/>
          <w:i w:val="0"/>
          <w:sz w:val="24"/>
        </w:rPr>
        <w:t xml:space="preserve">Figure 4: Home Page. </w:t>
      </w:r>
      <w:r>
        <w:rPr>
          <w:rFonts w:ascii="Times New Roman" w:hAnsi="Times New Roman"/>
          <w:b w:val="0"/>
          <w:i w:val="0"/>
          <w:sz w:val="24"/>
        </w:rPr>
        <w:t>The landing page displays system statistics (total ESG clauses parsed, documents analyzed, reports generated), a live compliance overview widget, and navigation to all system features.</w:t>
      </w:r>
    </w:p>
    <w:p>
      <w:pPr>
        <w:spacing w:after="120" w:line="360" w:lineRule="auto"/>
        <w:jc w:val="center"/>
      </w:pPr>
      <w:r>
        <w:rPr>
          <w:rFonts w:ascii="Times New Roman" w:hAnsi="Times New Roman"/>
          <w:b w:val="0"/>
          <w:i/>
          <w:sz w:val="24"/>
        </w:rPr>
        <w:t>[Figure 4: Home Page – Screenshot placeholder]</w:t>
      </w:r>
    </w:p>
    <w:p>
      <w:pPr>
        <w:spacing w:after="120" w:line="360" w:lineRule="auto"/>
        <w:jc w:val="both"/>
      </w:pPr>
      <w:r>
        <w:rPr>
          <w:rFonts w:ascii="Times New Roman" w:hAnsi="Times New Roman"/>
          <w:b/>
          <w:i w:val="0"/>
          <w:sz w:val="24"/>
        </w:rPr>
        <w:t xml:space="preserve">Figure 5: Document Upload Interface. </w:t>
      </w:r>
      <w:r>
        <w:rPr>
          <w:rFonts w:ascii="Times New Roman" w:hAnsi="Times New Roman"/>
          <w:b w:val="0"/>
          <w:i w:val="0"/>
          <w:sz w:val="24"/>
        </w:rPr>
        <w:t>Users upload company ESG reports via drag-and-drop with a three-step progress indicator: Processing (chunking into semantic segments), Embedding (vector generation), and Ready (available for compliance evaluation).</w:t>
      </w:r>
    </w:p>
    <w:p>
      <w:pPr>
        <w:spacing w:after="120" w:line="360" w:lineRule="auto"/>
        <w:jc w:val="center"/>
      </w:pPr>
      <w:r>
        <w:rPr>
          <w:rFonts w:ascii="Times New Roman" w:hAnsi="Times New Roman"/>
          <w:b w:val="0"/>
          <w:i/>
          <w:sz w:val="24"/>
        </w:rPr>
        <w:t>[Figure 5: Document Upload Interface – Screenshot placeholder]</w:t>
      </w:r>
    </w:p>
    <w:p>
      <w:pPr>
        <w:spacing w:after="120" w:line="360" w:lineRule="auto"/>
        <w:jc w:val="both"/>
      </w:pPr>
      <w:r>
        <w:rPr>
          <w:rFonts w:ascii="Times New Roman" w:hAnsi="Times New Roman"/>
          <w:b/>
          <w:i w:val="0"/>
          <w:sz w:val="24"/>
        </w:rPr>
        <w:t xml:space="preserve">Figure 6: Documents List. </w:t>
      </w:r>
      <w:r>
        <w:rPr>
          <w:rFonts w:ascii="Times New Roman" w:hAnsi="Times New Roman"/>
          <w:b w:val="0"/>
          <w:i w:val="0"/>
          <w:sz w:val="24"/>
        </w:rPr>
        <w:t>All uploaded PDFs with metadata (page count, upload date) and action buttons to trigger compliance evaluation against any of the four supported frameworks.</w:t>
      </w:r>
    </w:p>
    <w:p>
      <w:pPr>
        <w:spacing w:after="120" w:line="360" w:lineRule="auto"/>
        <w:jc w:val="center"/>
      </w:pPr>
      <w:r>
        <w:rPr>
          <w:rFonts w:ascii="Times New Roman" w:hAnsi="Times New Roman"/>
          <w:b w:val="0"/>
          <w:i/>
          <w:sz w:val="24"/>
        </w:rPr>
        <w:t>[Figure 6: Documents List – Screenshot placeholder]</w:t>
      </w:r>
    </w:p>
    <w:p>
      <w:pPr>
        <w:spacing w:after="120" w:line="360" w:lineRule="auto"/>
        <w:jc w:val="both"/>
      </w:pPr>
      <w:r>
        <w:rPr>
          <w:rFonts w:ascii="Times New Roman" w:hAnsi="Times New Roman"/>
          <w:b/>
          <w:i w:val="0"/>
          <w:sz w:val="24"/>
        </w:rPr>
        <w:t xml:space="preserve">Figure 7: Compliance Reports List. </w:t>
      </w:r>
      <w:r>
        <w:rPr>
          <w:rFonts w:ascii="Times New Roman" w:hAnsi="Times New Roman"/>
          <w:b w:val="0"/>
          <w:i w:val="0"/>
          <w:sz w:val="24"/>
        </w:rPr>
        <w:t>Generated compliance reports displayed as summary cards showing company name, framework, date, total clauses evaluated, status distribution (Supported, Partial, Not Supported), average confidence, and overall compliance rate.</w:t>
      </w:r>
    </w:p>
    <w:p>
      <w:pPr>
        <w:spacing w:after="120" w:line="360" w:lineRule="auto"/>
        <w:jc w:val="center"/>
      </w:pPr>
      <w:r>
        <w:rPr>
          <w:rFonts w:ascii="Times New Roman" w:hAnsi="Times New Roman"/>
          <w:b w:val="0"/>
          <w:i/>
          <w:sz w:val="24"/>
        </w:rPr>
        <w:t>[Figure 7: Compliance Reports List – Screenshot placeholder]</w:t>
      </w:r>
    </w:p>
    <w:p>
      <w:pPr>
        <w:spacing w:after="120" w:line="360" w:lineRule="auto"/>
        <w:jc w:val="both"/>
      </w:pPr>
      <w:r>
        <w:rPr>
          <w:rFonts w:ascii="Times New Roman" w:hAnsi="Times New Roman"/>
          <w:b/>
          <w:i w:val="0"/>
          <w:sz w:val="24"/>
        </w:rPr>
        <w:t xml:space="preserve">Figure 8: Report Detail – Summary and Accuracy Metrics. </w:t>
      </w:r>
      <w:r>
        <w:rPr>
          <w:rFonts w:ascii="Times New Roman" w:hAnsi="Times New Roman"/>
          <w:b w:val="0"/>
          <w:i w:val="0"/>
          <w:sz w:val="24"/>
        </w:rPr>
        <w:t>The report detail view shows summary statistics with clause counts by status, color-coded indicators, and compliance rate. The Ground Truth Accuracy section displays Precision, Recall, F1 Score, and the number of clauses verified against manually annotated labels.</w:t>
      </w:r>
    </w:p>
    <w:p>
      <w:pPr>
        <w:spacing w:after="120" w:line="360" w:lineRule="auto"/>
        <w:jc w:val="center"/>
      </w:pPr>
      <w:r>
        <w:rPr>
          <w:rFonts w:ascii="Times New Roman" w:hAnsi="Times New Roman"/>
          <w:b w:val="0"/>
          <w:i/>
          <w:sz w:val="24"/>
        </w:rPr>
        <w:t>[Figure 8: Report Detail – Summary and Accuracy Metrics – Screenshot placeholder]</w:t>
      </w:r>
    </w:p>
    <w:p>
      <w:pPr>
        <w:spacing w:after="120" w:line="360" w:lineRule="auto"/>
        <w:jc w:val="both"/>
      </w:pPr>
      <w:r>
        <w:rPr>
          <w:rFonts w:ascii="Times New Roman" w:hAnsi="Times New Roman"/>
          <w:b/>
          <w:i w:val="0"/>
          <w:sz w:val="24"/>
        </w:rPr>
        <w:t xml:space="preserve">Figure 9: Report Detail – Human Verification. </w:t>
      </w:r>
      <w:r>
        <w:rPr>
          <w:rFonts w:ascii="Times New Roman" w:hAnsi="Times New Roman"/>
          <w:b w:val="0"/>
          <w:i w:val="0"/>
          <w:sz w:val="24"/>
        </w:rPr>
        <w:t>Ambiguous clauses (confidence &lt; 0.7 or Partial status without rule override) are listed with Approve/Reject buttons, optional reason fields, and expandable AI reasoning details for each clause.</w:t>
      </w:r>
    </w:p>
    <w:p>
      <w:pPr>
        <w:spacing w:after="120" w:line="360" w:lineRule="auto"/>
        <w:jc w:val="center"/>
      </w:pPr>
      <w:r>
        <w:rPr>
          <w:rFonts w:ascii="Times New Roman" w:hAnsi="Times New Roman"/>
          <w:b w:val="0"/>
          <w:i/>
          <w:sz w:val="24"/>
        </w:rPr>
        <w:t>[Figure 9: Report Detail – Human Verification – Screenshot placeholder]</w:t>
      </w:r>
    </w:p>
    <w:p>
      <w:pPr>
        <w:spacing w:after="120" w:line="360" w:lineRule="auto"/>
        <w:jc w:val="both"/>
      </w:pPr>
      <w:r>
        <w:rPr>
          <w:rFonts w:ascii="Times New Roman" w:hAnsi="Times New Roman"/>
          <w:b/>
          <w:i w:val="0"/>
          <w:sz w:val="24"/>
        </w:rPr>
        <w:t xml:space="preserve">Figure 10: Report Detail – Expanded Clause Analysis. </w:t>
      </w:r>
      <w:r>
        <w:rPr>
          <w:rFonts w:ascii="Times New Roman" w:hAnsi="Times New Roman"/>
          <w:b w:val="0"/>
          <w:i w:val="0"/>
          <w:sz w:val="24"/>
        </w:rPr>
        <w:t>Full AI analysis for a single clause showing: the clause requirement, compliance status with confidence score, AI explanation, detailed chain-of-thought reasoning, retrieved evidence chunks with page numbers and similarity scores.</w:t>
      </w:r>
    </w:p>
    <w:p>
      <w:pPr>
        <w:spacing w:after="120" w:line="360" w:lineRule="auto"/>
        <w:jc w:val="center"/>
      </w:pPr>
      <w:r>
        <w:rPr>
          <w:rFonts w:ascii="Times New Roman" w:hAnsi="Times New Roman"/>
          <w:b w:val="0"/>
          <w:i/>
          <w:sz w:val="24"/>
        </w:rPr>
        <w:t>[Figure 10: Report Detail – Expanded Clause Analysis – Screenshot placeholder]</w:t>
      </w:r>
    </w:p>
    <w:p>
      <w:pPr>
        <w:spacing w:after="120" w:line="360" w:lineRule="auto"/>
        <w:jc w:val="both"/>
      </w:pPr>
      <w:r>
        <w:rPr>
          <w:rFonts w:ascii="Times New Roman" w:hAnsi="Times New Roman"/>
          <w:b/>
          <w:i w:val="0"/>
          <w:sz w:val="24"/>
        </w:rPr>
        <w:t xml:space="preserve">Figure 11: ESG Clauses Browser. </w:t>
      </w:r>
      <w:r>
        <w:rPr>
          <w:rFonts w:ascii="Times New Roman" w:hAnsi="Times New Roman"/>
          <w:b w:val="0"/>
          <w:i w:val="0"/>
          <w:sz w:val="24"/>
        </w:rPr>
        <w:t>Parsed ESG clauses organized by framework with framework filter pills (ALL, GRI, BRSR, SASB, TCFD), search functionality, and expandable clause details showing section, description, evidence types, and validation rules.</w:t>
      </w:r>
    </w:p>
    <w:p>
      <w:pPr>
        <w:spacing w:after="120" w:line="360" w:lineRule="auto"/>
        <w:jc w:val="center"/>
      </w:pPr>
      <w:r>
        <w:rPr>
          <w:rFonts w:ascii="Times New Roman" w:hAnsi="Times New Roman"/>
          <w:b w:val="0"/>
          <w:i/>
          <w:sz w:val="24"/>
        </w:rPr>
        <w:t>[Figure 11: ESG Clauses Browser – Screenshot placeholder]</w:t>
      </w:r>
    </w:p>
    <w:p>
      <w:pPr>
        <w:spacing w:after="120" w:line="360" w:lineRule="auto"/>
        <w:jc w:val="both"/>
      </w:pPr>
      <w:r>
        <w:rPr>
          <w:rFonts w:ascii="Times New Roman" w:hAnsi="Times New Roman"/>
          <w:b/>
          <w:i w:val="0"/>
          <w:sz w:val="24"/>
        </w:rPr>
        <w:t xml:space="preserve">Figure 12: Analytics Dashboard. </w:t>
      </w:r>
      <w:r>
        <w:rPr>
          <w:rFonts w:ascii="Times New Roman" w:hAnsi="Times New Roman"/>
          <w:b w:val="0"/>
          <w:i w:val="0"/>
          <w:sz w:val="24"/>
        </w:rPr>
        <w:t>Multi-company analytics dashboard with company selector, framework-wise compliance comparison bar charts, radar charts for multi-dimensional compliance visualization, and pie charts for status distribution analysis.</w:t>
      </w:r>
    </w:p>
    <w:p>
      <w:pPr>
        <w:spacing w:after="120" w:line="360" w:lineRule="auto"/>
        <w:jc w:val="center"/>
      </w:pPr>
      <w:r>
        <w:rPr>
          <w:rFonts w:ascii="Times New Roman" w:hAnsi="Times New Roman"/>
          <w:b w:val="0"/>
          <w:i/>
          <w:sz w:val="24"/>
        </w:rPr>
        <w:t>[Figure 12: Analytics Dashboard – Screenshot placeholder]</w:t>
      </w:r>
    </w:p>
    <w:p>
      <w:pPr>
        <w:spacing w:after="120" w:line="360" w:lineRule="auto"/>
        <w:jc w:val="both"/>
      </w:pPr>
      <w:r>
        <w:rPr>
          <w:rFonts w:ascii="Times New Roman" w:hAnsi="Times New Roman"/>
          <w:b/>
          <w:i w:val="0"/>
          <w:sz w:val="24"/>
        </w:rPr>
        <w:t xml:space="preserve">Figure 13: Live Streaming Evaluation. Real-time clause-by-clause evaluation progress with animated progress bar, live status counters (Supported, Partial, Not Supported), and current clause indicator. The streaming interface provides immediate visual feedback during the 5–10 minute evaluation process.</w:t>
      </w:r>
    </w:p>
    <w:p>
      <w:pPr>
        <w:spacing w:after="120" w:line="360" w:lineRule="auto"/>
        <w:jc w:val="center"/>
      </w:pPr>
      <w:r>
        <w:rPr>
          <w:rFonts w:ascii="Times New Roman" w:hAnsi="Times New Roman"/>
          <w:b w:val="0"/>
          <w:i/>
          <w:sz w:val="24"/>
        </w:rPr>
        <w:t xml:space="preserve">[Figure 13: Live Streaming Evaluation – Screenshot placeholder]</w:t>
      </w:r>
    </w:p>
    <w:p>
      <w:pPr>
        <w:spacing w:after="120" w:line="360" w:lineRule="auto"/>
        <w:jc w:val="both"/>
      </w:pPr>
      <w:r>
        <w:rPr>
          <w:rFonts w:ascii="Times New Roman" w:hAnsi="Times New Roman"/>
          <w:b/>
          <w:i w:val="0"/>
          <w:sz w:val="24"/>
        </w:rPr>
        <w:t xml:space="preserve">Figure 14: Agentic Reasoning Timeline. The “How did the AI decide?” expandable panel showing the AI’s complete decision-making process as a vertical timeline: Initial Analysis, Reasoning Steps, Self-Reflection, Issues Flagged, and Revised Verdict. Color-coded nodes distinguish analysis (green), reasoning (blue), reflection (purple), issues (amber), and revision (emerald) stages.</w:t>
      </w:r>
    </w:p>
    <w:p>
      <w:pPr>
        <w:spacing w:after="120" w:line="360" w:lineRule="auto"/>
        <w:jc w:val="center"/>
      </w:pPr>
      <w:r>
        <w:rPr>
          <w:rFonts w:ascii="Times New Roman" w:hAnsi="Times New Roman"/>
          <w:b w:val="0"/>
          <w:i/>
          <w:sz w:val="24"/>
        </w:rPr>
        <w:t xml:space="preserve">[Figure 14: Agentic Reasoning Timeline – Screenshot placeholder]</w:t>
      </w:r>
    </w:p>
    <w:p>
      <w:pPr>
        <w:spacing w:after="120" w:line="360" w:lineRule="auto"/>
        <w:jc w:val="both"/>
      </w:pPr>
      <w:r>
        <w:rPr>
          <w:rFonts w:ascii="Times New Roman" w:hAnsi="Times New Roman"/>
          <w:b/>
          <w:i w:val="0"/>
          <w:sz w:val="24"/>
        </w:rPr>
        <w:t xml:space="preserve">Figure 15: RAG Chat Interface. The document Q&amp;A chat panel embedded within the Report Detail page. Users type natural language questions about the source sustainability report and receive AI-generated answers grounded in retrieved evidence chunks with page number citations.</w:t>
      </w:r>
    </w:p>
    <w:p>
      <w:pPr>
        <w:spacing w:after="120" w:line="360" w:lineRule="auto"/>
        <w:jc w:val="center"/>
      </w:pPr>
      <w:r>
        <w:rPr>
          <w:rFonts w:ascii="Times New Roman" w:hAnsi="Times New Roman"/>
          <w:b w:val="0"/>
          <w:i/>
          <w:sz w:val="24"/>
        </w:rPr>
        <w:t xml:space="preserve">[Figure 15: RAG Chat Interface – Screenshot placeholder]</w:t>
      </w:r>
    </w:p>
    <w:p>
      <w:pPr>
        <w:spacing w:after="120" w:line="360" w:lineRule="auto"/>
        <w:jc w:val="both"/>
      </w:pPr>
      <w:r>
        <w:rPr>
          <w:rFonts w:ascii="Times New Roman" w:hAnsi="Times New Roman"/>
          <w:b/>
          <w:i w:val="0"/>
          <w:sz w:val="24"/>
        </w:rPr>
        <w:t xml:space="preserve">Figure 16: Gap Analysis / Executive Action Plan. The action plan modal displaying the LLM-generated improvement roadmap: executive summary, top 5 priority actions with effort badges (Quick Win, Moderate, Structural), and pillar-wise breakdowns (Environment, Social, Governance) with color-coded sections and clause references.</w:t>
      </w:r>
    </w:p>
    <w:p>
      <w:pPr>
        <w:spacing w:after="120" w:line="360" w:lineRule="auto"/>
        <w:jc w:val="center"/>
      </w:pPr>
      <w:r>
        <w:rPr>
          <w:rFonts w:ascii="Times New Roman" w:hAnsi="Times New Roman"/>
          <w:b w:val="0"/>
          <w:i/>
          <w:sz w:val="24"/>
        </w:rPr>
        <w:t xml:space="preserve">[Figure 16: Gap Analysis / Executive Action Plan – Screenshot placeholder]</w:t>
      </w:r>
    </w:p>
    <w:p>
      <w:pPr>
        <w:spacing w:after="120" w:line="360" w:lineRule="auto"/>
        <w:jc w:val="both"/>
      </w:pPr>
      <w:r>
        <w:rPr>
          <w:rFonts w:ascii="Times New Roman" w:hAnsi="Times New Roman"/>
          <w:b/>
          <w:i w:val="0"/>
          <w:sz w:val="24"/>
        </w:rPr>
        <w:t xml:space="preserve">Figure 17: Two-Company Comparison. Side-by-side compliance comparison dashboard showing two companies evaluated against the same framework, with synchronized clause-level status indicators, aggregate compliance rates, and visual highlighting of divergent assessments.</w:t>
      </w:r>
    </w:p>
    <w:p>
      <w:pPr>
        <w:spacing w:after="120" w:line="360" w:lineRule="auto"/>
        <w:jc w:val="center"/>
      </w:pPr>
      <w:r>
        <w:rPr>
          <w:rFonts w:ascii="Times New Roman" w:hAnsi="Times New Roman"/>
          <w:b w:val="0"/>
          <w:i/>
          <w:sz w:val="24"/>
        </w:rPr>
        <w:t xml:space="preserve">[Figure 17: Two-Company Comparison – Screenshot placeholder]</w:t>
      </w:r>
    </w:p>
    <w:p>
      <w:pPr>
        <w:spacing w:after="120" w:line="360" w:lineRule="auto"/>
        <w:jc w:val="both"/>
      </w:pPr>
      <w:r>
        <w:rPr>
          <w:rFonts w:ascii="Times New Roman" w:hAnsi="Times New Roman"/>
          <w:b/>
          <w:i w:val="0"/>
          <w:sz w:val="24"/>
        </w:rPr>
        <w:t xml:space="preserve">Figure 18: PDF Report Downloads. Examples of the two downloadable PDF report types: the compliance assessment report with clause-by-clause results and the executive action plan PDF with KPI strip, priority actions, and pillar breakdowns.</w:t>
      </w:r>
    </w:p>
    <w:p>
      <w:pPr>
        <w:spacing w:after="120" w:line="360" w:lineRule="auto"/>
        <w:jc w:val="center"/>
      </w:pPr>
      <w:r>
        <w:rPr>
          <w:rFonts w:ascii="Times New Roman" w:hAnsi="Times New Roman"/>
          <w:b w:val="0"/>
          <w:i/>
          <w:sz w:val="24"/>
        </w:rPr>
        <w:t xml:space="preserve">[Figure 18: PDF Report Downloads – Screenshot placeholder]</w:t>
      </w:r>
    </w:p>
    <w:p>
      <w:pPr>
        <w:pStyle w:val="Heading2"/>
        <w:spacing w:line="360" w:lineRule="auto"/>
        <w:jc w:val="left"/>
      </w:pPr>
      <w:r>
        <w:rPr>
          <w:rFonts w:ascii="Times New Roman" w:hAnsi="Times New Roman"/>
          <w:b/>
          <w:color w:val="000000"/>
          <w:sz w:val="28"/>
        </w:rPr>
        <w:t>4.2 Evaluation Setup</w:t>
      </w:r>
    </w:p>
    <w:p>
      <w:pPr>
        <w:spacing w:after="120" w:line="360" w:lineRule="auto"/>
        <w:jc w:val="both"/>
      </w:pPr>
      <w:r>
        <w:rPr>
          <w:rFonts w:ascii="Times New Roman" w:hAnsi="Times New Roman"/>
          <w:b w:val="0"/>
          <w:i w:val="0"/>
          <w:sz w:val="24"/>
        </w:rPr>
        <w:t>The system was evaluated using sustainability reports from 13 companies spanning diverse industries and geographies across all four ESG frameworks. Ground truth labels were manually annotated by the research team.</w:t>
      </w:r>
    </w:p>
    <w:tbl>
      <w:tblPr>
        <w:tblStyle w:val="TableGrid"/>
        <w:tblW w:type="auto" w:w="0"/>
        <w:jc w:val="center"/>
        <w:tblLook w:firstColumn="1" w:firstRow="1" w:lastColumn="0" w:lastRow="0" w:noHBand="0" w:noVBand="1" w:val="04A0"/>
      </w:tblPr>
      <w:tblGrid>
        <w:gridCol w:w="2161"/>
        <w:gridCol w:w="2161"/>
        <w:gridCol w:w="2161"/>
        <w:gridCol w:w="2161"/>
      </w:tblGrid>
      <w:tr>
        <w:tc>
          <w:tcPr>
            <w:tcW w:type="dxa" w:w="850"/>
            <w:shd w:fill="D9E2F3"/>
          </w:tcPr>
          <w:p>
            <w:pPr>
              <w:jc w:val="center"/>
            </w:pPr>
            <w:r>
              <w:rPr>
                <w:rFonts w:ascii="Times New Roman" w:hAnsi="Times New Roman"/>
                <w:b/>
                <w:sz w:val="20"/>
              </w:rPr>
              <w:t>Sr. No.</w:t>
            </w:r>
          </w:p>
        </w:tc>
        <w:tc>
          <w:tcPr>
            <w:tcW w:type="dxa" w:w="1701"/>
            <w:shd w:fill="D9E2F3"/>
          </w:tcPr>
          <w:p>
            <w:pPr>
              <w:jc w:val="center"/>
            </w:pPr>
            <w:r>
              <w:rPr>
                <w:rFonts w:ascii="Times New Roman" w:hAnsi="Times New Roman"/>
                <w:b/>
                <w:sz w:val="20"/>
              </w:rPr>
              <w:t>Company</w:t>
            </w:r>
          </w:p>
        </w:tc>
        <w:tc>
          <w:tcPr>
            <w:tcW w:type="dxa" w:w="3118"/>
            <w:shd w:fill="D9E2F3"/>
          </w:tcPr>
          <w:p>
            <w:pPr>
              <w:jc w:val="center"/>
            </w:pPr>
            <w:r>
              <w:rPr>
                <w:rFonts w:ascii="Times New Roman" w:hAnsi="Times New Roman"/>
                <w:b/>
                <w:sz w:val="20"/>
              </w:rPr>
              <w:t>Frameworks Evaluated</w:t>
            </w:r>
          </w:p>
        </w:tc>
        <w:tc>
          <w:tcPr>
            <w:tcW w:type="dxa" w:w="3402"/>
            <w:shd w:fill="D9E2F3"/>
          </w:tcPr>
          <w:p>
            <w:pPr>
              <w:jc w:val="center"/>
            </w:pPr>
            <w:r>
              <w:rPr>
                <w:rFonts w:ascii="Times New Roman" w:hAnsi="Times New Roman"/>
                <w:b/>
                <w:sz w:val="20"/>
              </w:rPr>
              <w:t>Industry / Region</w:t>
            </w:r>
          </w:p>
        </w:tc>
      </w:tr>
      <w:tr>
        <w:tc>
          <w:tcPr>
            <w:tcW w:type="dxa" w:w="850"/>
          </w:tcPr>
          <w:p>
            <w:pPr>
              <w:jc w:val="center"/>
            </w:pPr>
            <w:r>
              <w:rPr>
                <w:rFonts w:ascii="Times New Roman" w:hAnsi="Times New Roman"/>
                <w:sz w:val="20"/>
              </w:rPr>
              <w:t>1</w:t>
            </w:r>
          </w:p>
        </w:tc>
        <w:tc>
          <w:tcPr>
            <w:tcW w:type="dxa" w:w="1701"/>
          </w:tcPr>
          <w:p>
            <w:pPr>
              <w:jc w:val="center"/>
            </w:pPr>
            <w:r>
              <w:rPr>
                <w:rFonts w:ascii="Times New Roman" w:hAnsi="Times New Roman"/>
                <w:sz w:val="20"/>
              </w:rPr>
              <w:t>Amazon</w:t>
            </w:r>
          </w:p>
        </w:tc>
        <w:tc>
          <w:tcPr>
            <w:tcW w:type="dxa" w:w="3118"/>
          </w:tcPr>
          <w:p>
            <w:pPr>
              <w:jc w:val="center"/>
            </w:pPr>
            <w:r>
              <w:rPr>
                <w:rFonts w:ascii="Times New Roman" w:hAnsi="Times New Roman"/>
                <w:sz w:val="20"/>
              </w:rPr>
              <w:t>BRSR, GRI, TCFD, SASB</w:t>
            </w:r>
          </w:p>
        </w:tc>
        <w:tc>
          <w:tcPr>
            <w:tcW w:type="dxa" w:w="3402"/>
          </w:tcPr>
          <w:p>
            <w:pPr>
              <w:jc w:val="center"/>
            </w:pPr>
            <w:r>
              <w:rPr>
                <w:rFonts w:ascii="Times New Roman" w:hAnsi="Times New Roman"/>
                <w:sz w:val="20"/>
              </w:rPr>
              <w:t>Technology / USA</w:t>
            </w:r>
          </w:p>
        </w:tc>
      </w:tr>
      <w:tr>
        <w:tc>
          <w:tcPr>
            <w:tcW w:type="dxa" w:w="850"/>
          </w:tcPr>
          <w:p>
            <w:pPr>
              <w:jc w:val="center"/>
            </w:pPr>
            <w:r>
              <w:rPr>
                <w:rFonts w:ascii="Times New Roman" w:hAnsi="Times New Roman"/>
                <w:sz w:val="20"/>
              </w:rPr>
              <w:t>2</w:t>
            </w:r>
          </w:p>
        </w:tc>
        <w:tc>
          <w:tcPr>
            <w:tcW w:type="dxa" w:w="1701"/>
          </w:tcPr>
          <w:p>
            <w:pPr>
              <w:jc w:val="center"/>
            </w:pPr>
            <w:r>
              <w:rPr>
                <w:rFonts w:ascii="Times New Roman" w:hAnsi="Times New Roman"/>
                <w:sz w:val="20"/>
              </w:rPr>
              <w:t>Apple</w:t>
            </w:r>
          </w:p>
        </w:tc>
        <w:tc>
          <w:tcPr>
            <w:tcW w:type="dxa" w:w="3118"/>
          </w:tcPr>
          <w:p>
            <w:pPr>
              <w:jc w:val="center"/>
            </w:pPr>
            <w:r>
              <w:rPr>
                <w:rFonts w:ascii="Times New Roman" w:hAnsi="Times New Roman"/>
                <w:sz w:val="20"/>
              </w:rPr>
              <w:t>BRSR, GRI, TCFD, SASB</w:t>
            </w:r>
          </w:p>
        </w:tc>
        <w:tc>
          <w:tcPr>
            <w:tcW w:type="dxa" w:w="3402"/>
          </w:tcPr>
          <w:p>
            <w:pPr>
              <w:jc w:val="center"/>
            </w:pPr>
            <w:r>
              <w:rPr>
                <w:rFonts w:ascii="Times New Roman" w:hAnsi="Times New Roman"/>
                <w:sz w:val="20"/>
              </w:rPr>
              <w:t>Technology / USA</w:t>
            </w:r>
          </w:p>
        </w:tc>
      </w:tr>
      <w:tr>
        <w:tc>
          <w:tcPr>
            <w:tcW w:type="dxa" w:w="850"/>
          </w:tcPr>
          <w:p>
            <w:pPr>
              <w:jc w:val="center"/>
            </w:pPr>
            <w:r>
              <w:rPr>
                <w:rFonts w:ascii="Times New Roman" w:hAnsi="Times New Roman"/>
                <w:sz w:val="20"/>
              </w:rPr>
              <w:t>3</w:t>
            </w:r>
          </w:p>
        </w:tc>
        <w:tc>
          <w:tcPr>
            <w:tcW w:type="dxa" w:w="1701"/>
          </w:tcPr>
          <w:p>
            <w:pPr>
              <w:jc w:val="center"/>
            </w:pPr>
            <w:r>
              <w:rPr>
                <w:rFonts w:ascii="Times New Roman" w:hAnsi="Times New Roman"/>
                <w:sz w:val="20"/>
              </w:rPr>
              <w:t>Infosys</w:t>
            </w:r>
          </w:p>
        </w:tc>
        <w:tc>
          <w:tcPr>
            <w:tcW w:type="dxa" w:w="3118"/>
          </w:tcPr>
          <w:p>
            <w:pPr>
              <w:jc w:val="center"/>
            </w:pPr>
            <w:r>
              <w:rPr>
                <w:rFonts w:ascii="Times New Roman" w:hAnsi="Times New Roman"/>
                <w:sz w:val="20"/>
              </w:rPr>
              <w:t>BRSR, GRI, TCFD, SASB</w:t>
            </w:r>
          </w:p>
        </w:tc>
        <w:tc>
          <w:tcPr>
            <w:tcW w:type="dxa" w:w="3402"/>
          </w:tcPr>
          <w:p>
            <w:pPr>
              <w:jc w:val="center"/>
            </w:pPr>
            <w:r>
              <w:rPr>
                <w:rFonts w:ascii="Times New Roman" w:hAnsi="Times New Roman"/>
                <w:sz w:val="20"/>
              </w:rPr>
              <w:t>IT Services / India</w:t>
            </w:r>
          </w:p>
        </w:tc>
      </w:tr>
      <w:tr>
        <w:tc>
          <w:tcPr>
            <w:tcW w:type="dxa" w:w="850"/>
          </w:tcPr>
          <w:p>
            <w:pPr>
              <w:jc w:val="center"/>
            </w:pPr>
            <w:r>
              <w:rPr>
                <w:rFonts w:ascii="Times New Roman" w:hAnsi="Times New Roman"/>
                <w:sz w:val="20"/>
              </w:rPr>
              <w:t>4</w:t>
            </w:r>
          </w:p>
        </w:tc>
        <w:tc>
          <w:tcPr>
            <w:tcW w:type="dxa" w:w="1701"/>
          </w:tcPr>
          <w:p>
            <w:pPr>
              <w:jc w:val="center"/>
            </w:pPr>
            <w:r>
              <w:rPr>
                <w:rFonts w:ascii="Times New Roman" w:hAnsi="Times New Roman"/>
                <w:sz w:val="20"/>
              </w:rPr>
              <w:t>Nestle</w:t>
            </w:r>
          </w:p>
        </w:tc>
        <w:tc>
          <w:tcPr>
            <w:tcW w:type="dxa" w:w="3118"/>
          </w:tcPr>
          <w:p>
            <w:pPr>
              <w:jc w:val="center"/>
            </w:pPr>
            <w:r>
              <w:rPr>
                <w:rFonts w:ascii="Times New Roman" w:hAnsi="Times New Roman"/>
                <w:sz w:val="20"/>
              </w:rPr>
              <w:t>BRSR, GRI, TCFD, SASB</w:t>
            </w:r>
          </w:p>
        </w:tc>
        <w:tc>
          <w:tcPr>
            <w:tcW w:type="dxa" w:w="3402"/>
          </w:tcPr>
          <w:p>
            <w:pPr>
              <w:jc w:val="center"/>
            </w:pPr>
            <w:r>
              <w:rPr>
                <w:rFonts w:ascii="Times New Roman" w:hAnsi="Times New Roman"/>
                <w:sz w:val="20"/>
              </w:rPr>
              <w:t>FMCG / Switzerland</w:t>
            </w:r>
          </w:p>
        </w:tc>
      </w:tr>
      <w:tr>
        <w:tc>
          <w:tcPr>
            <w:tcW w:type="dxa" w:w="850"/>
          </w:tcPr>
          <w:p>
            <w:pPr>
              <w:jc w:val="center"/>
            </w:pPr>
            <w:r>
              <w:rPr>
                <w:rFonts w:ascii="Times New Roman" w:hAnsi="Times New Roman"/>
                <w:sz w:val="20"/>
              </w:rPr>
              <w:t>5</w:t>
            </w:r>
          </w:p>
        </w:tc>
        <w:tc>
          <w:tcPr>
            <w:tcW w:type="dxa" w:w="1701"/>
          </w:tcPr>
          <w:p>
            <w:pPr>
              <w:jc w:val="center"/>
            </w:pPr>
            <w:r>
              <w:rPr>
                <w:rFonts w:ascii="Times New Roman" w:hAnsi="Times New Roman"/>
                <w:sz w:val="20"/>
              </w:rPr>
              <w:t>RIL</w:t>
            </w:r>
          </w:p>
        </w:tc>
        <w:tc>
          <w:tcPr>
            <w:tcW w:type="dxa" w:w="3118"/>
          </w:tcPr>
          <w:p>
            <w:pPr>
              <w:jc w:val="center"/>
            </w:pPr>
            <w:r>
              <w:rPr>
                <w:rFonts w:ascii="Times New Roman" w:hAnsi="Times New Roman"/>
                <w:sz w:val="20"/>
              </w:rPr>
              <w:t>BRSR, GRI, TCFD, SASB</w:t>
            </w:r>
          </w:p>
        </w:tc>
        <w:tc>
          <w:tcPr>
            <w:tcW w:type="dxa" w:w="3402"/>
          </w:tcPr>
          <w:p>
            <w:pPr>
              <w:jc w:val="center"/>
            </w:pPr>
            <w:r>
              <w:rPr>
                <w:rFonts w:ascii="Times New Roman" w:hAnsi="Times New Roman"/>
                <w:sz w:val="20"/>
              </w:rPr>
              <w:t>Conglomerate / India</w:t>
            </w:r>
          </w:p>
        </w:tc>
      </w:tr>
      <w:tr>
        <w:tc>
          <w:tcPr>
            <w:tcW w:type="dxa" w:w="850"/>
          </w:tcPr>
          <w:p>
            <w:pPr>
              <w:jc w:val="center"/>
            </w:pPr>
            <w:r>
              <w:rPr>
                <w:rFonts w:ascii="Times New Roman" w:hAnsi="Times New Roman"/>
                <w:sz w:val="20"/>
              </w:rPr>
              <w:t>6</w:t>
            </w:r>
          </w:p>
        </w:tc>
        <w:tc>
          <w:tcPr>
            <w:tcW w:type="dxa" w:w="1701"/>
          </w:tcPr>
          <w:p>
            <w:pPr>
              <w:jc w:val="center"/>
            </w:pPr>
            <w:r>
              <w:rPr>
                <w:rFonts w:ascii="Times New Roman" w:hAnsi="Times New Roman"/>
                <w:sz w:val="20"/>
              </w:rPr>
              <w:t>Tata Motors</w:t>
            </w:r>
          </w:p>
        </w:tc>
        <w:tc>
          <w:tcPr>
            <w:tcW w:type="dxa" w:w="3118"/>
          </w:tcPr>
          <w:p>
            <w:pPr>
              <w:jc w:val="center"/>
            </w:pPr>
            <w:r>
              <w:rPr>
                <w:rFonts w:ascii="Times New Roman" w:hAnsi="Times New Roman"/>
                <w:sz w:val="20"/>
              </w:rPr>
              <w:t>BRSR, GRI, TCFD, SASB</w:t>
            </w:r>
          </w:p>
        </w:tc>
        <w:tc>
          <w:tcPr>
            <w:tcW w:type="dxa" w:w="3402"/>
          </w:tcPr>
          <w:p>
            <w:pPr>
              <w:jc w:val="center"/>
            </w:pPr>
            <w:r>
              <w:rPr>
                <w:rFonts w:ascii="Times New Roman" w:hAnsi="Times New Roman"/>
                <w:sz w:val="20"/>
              </w:rPr>
              <w:t>Automotive / India</w:t>
            </w:r>
          </w:p>
        </w:tc>
      </w:tr>
      <w:tr>
        <w:tc>
          <w:tcPr>
            <w:tcW w:type="dxa" w:w="850"/>
          </w:tcPr>
          <w:p>
            <w:pPr>
              <w:jc w:val="center"/>
            </w:pPr>
            <w:r>
              <w:rPr>
                <w:rFonts w:ascii="Times New Roman" w:hAnsi="Times New Roman"/>
                <w:sz w:val="20"/>
              </w:rPr>
              <w:t>7</w:t>
            </w:r>
          </w:p>
        </w:tc>
        <w:tc>
          <w:tcPr>
            <w:tcW w:type="dxa" w:w="1701"/>
          </w:tcPr>
          <w:p>
            <w:pPr>
              <w:jc w:val="center"/>
            </w:pPr>
            <w:r>
              <w:rPr>
                <w:rFonts w:ascii="Times New Roman" w:hAnsi="Times New Roman"/>
                <w:sz w:val="20"/>
              </w:rPr>
              <w:t>TCS</w:t>
            </w:r>
          </w:p>
        </w:tc>
        <w:tc>
          <w:tcPr>
            <w:tcW w:type="dxa" w:w="3118"/>
          </w:tcPr>
          <w:p>
            <w:pPr>
              <w:jc w:val="center"/>
            </w:pPr>
            <w:r>
              <w:rPr>
                <w:rFonts w:ascii="Times New Roman" w:hAnsi="Times New Roman"/>
                <w:sz w:val="20"/>
              </w:rPr>
              <w:t>BRSR, GRI, TCFD, SASB</w:t>
            </w:r>
          </w:p>
        </w:tc>
        <w:tc>
          <w:tcPr>
            <w:tcW w:type="dxa" w:w="3402"/>
          </w:tcPr>
          <w:p>
            <w:pPr>
              <w:jc w:val="center"/>
            </w:pPr>
            <w:r>
              <w:rPr>
                <w:rFonts w:ascii="Times New Roman" w:hAnsi="Times New Roman"/>
                <w:sz w:val="20"/>
              </w:rPr>
              <w:t>IT Services / India</w:t>
            </w:r>
          </w:p>
        </w:tc>
      </w:tr>
      <w:tr>
        <w:tc>
          <w:tcPr>
            <w:tcW w:type="dxa" w:w="850"/>
          </w:tcPr>
          <w:p>
            <w:pPr>
              <w:jc w:val="center"/>
            </w:pPr>
            <w:r>
              <w:rPr>
                <w:rFonts w:ascii="Times New Roman" w:hAnsi="Times New Roman"/>
                <w:sz w:val="20"/>
              </w:rPr>
              <w:t>8</w:t>
            </w:r>
          </w:p>
        </w:tc>
        <w:tc>
          <w:tcPr>
            <w:tcW w:type="dxa" w:w="1701"/>
          </w:tcPr>
          <w:p>
            <w:pPr>
              <w:jc w:val="center"/>
            </w:pPr>
            <w:r>
              <w:rPr>
                <w:rFonts w:ascii="Times New Roman" w:hAnsi="Times New Roman"/>
                <w:sz w:val="20"/>
              </w:rPr>
              <w:t>Givaudan</w:t>
            </w:r>
          </w:p>
        </w:tc>
        <w:tc>
          <w:tcPr>
            <w:tcW w:type="dxa" w:w="3118"/>
          </w:tcPr>
          <w:p>
            <w:pPr>
              <w:jc w:val="center"/>
            </w:pPr>
            <w:r>
              <w:rPr>
                <w:rFonts w:ascii="Times New Roman" w:hAnsi="Times New Roman"/>
                <w:sz w:val="20"/>
              </w:rPr>
              <w:t>BRSR, GRI, TCFD, SASB</w:t>
            </w:r>
          </w:p>
        </w:tc>
        <w:tc>
          <w:tcPr>
            <w:tcW w:type="dxa" w:w="3402"/>
          </w:tcPr>
          <w:p>
            <w:pPr>
              <w:jc w:val="center"/>
            </w:pPr>
            <w:r>
              <w:rPr>
                <w:rFonts w:ascii="Times New Roman" w:hAnsi="Times New Roman"/>
                <w:sz w:val="20"/>
              </w:rPr>
              <w:t>Specialty Chemicals / Switzerland</w:t>
            </w:r>
          </w:p>
        </w:tc>
      </w:tr>
      <w:tr>
        <w:tc>
          <w:tcPr>
            <w:tcW w:type="dxa" w:w="850"/>
          </w:tcPr>
          <w:p>
            <w:pPr>
              <w:jc w:val="center"/>
            </w:pPr>
            <w:r>
              <w:rPr>
                <w:rFonts w:ascii="Times New Roman" w:hAnsi="Times New Roman"/>
                <w:sz w:val="20"/>
              </w:rPr>
              <w:t>9</w:t>
            </w:r>
          </w:p>
        </w:tc>
        <w:tc>
          <w:tcPr>
            <w:tcW w:type="dxa" w:w="1701"/>
          </w:tcPr>
          <w:p>
            <w:pPr>
              <w:jc w:val="center"/>
            </w:pPr>
            <w:r>
              <w:rPr>
                <w:rFonts w:ascii="Times New Roman" w:hAnsi="Times New Roman"/>
                <w:sz w:val="20"/>
              </w:rPr>
              <w:t>GPM</w:t>
            </w:r>
          </w:p>
        </w:tc>
        <w:tc>
          <w:tcPr>
            <w:tcW w:type="dxa" w:w="3118"/>
          </w:tcPr>
          <w:p>
            <w:pPr>
              <w:jc w:val="center"/>
            </w:pPr>
            <w:r>
              <w:rPr>
                <w:rFonts w:ascii="Times New Roman" w:hAnsi="Times New Roman"/>
                <w:sz w:val="20"/>
              </w:rPr>
              <w:t>BRSR, GRI, TCFD, SASB</w:t>
            </w:r>
          </w:p>
        </w:tc>
        <w:tc>
          <w:tcPr>
            <w:tcW w:type="dxa" w:w="3402"/>
          </w:tcPr>
          <w:p>
            <w:pPr>
              <w:jc w:val="center"/>
            </w:pPr>
            <w:r>
              <w:rPr>
                <w:rFonts w:ascii="Times New Roman" w:hAnsi="Times New Roman"/>
                <w:sz w:val="20"/>
              </w:rPr>
              <w:t>Manufacturing / India</w:t>
            </w:r>
          </w:p>
        </w:tc>
      </w:tr>
      <w:tr>
        <w:tc>
          <w:tcPr>
            <w:tcW w:type="dxa" w:w="850"/>
          </w:tcPr>
          <w:p>
            <w:pPr>
              <w:jc w:val="center"/>
            </w:pPr>
            <w:r>
              <w:rPr>
                <w:rFonts w:ascii="Times New Roman" w:hAnsi="Times New Roman"/>
                <w:sz w:val="20"/>
              </w:rPr>
              <w:t>10</w:t>
            </w:r>
          </w:p>
        </w:tc>
        <w:tc>
          <w:tcPr>
            <w:tcW w:type="dxa" w:w="1701"/>
          </w:tcPr>
          <w:p>
            <w:pPr>
              <w:jc w:val="center"/>
            </w:pPr>
            <w:r>
              <w:rPr>
                <w:rFonts w:ascii="Times New Roman" w:hAnsi="Times New Roman"/>
                <w:sz w:val="20"/>
              </w:rPr>
              <w:t>Himadri</w:t>
            </w:r>
          </w:p>
        </w:tc>
        <w:tc>
          <w:tcPr>
            <w:tcW w:type="dxa" w:w="3118"/>
          </w:tcPr>
          <w:p>
            <w:pPr>
              <w:jc w:val="center"/>
            </w:pPr>
            <w:r>
              <w:rPr>
                <w:rFonts w:ascii="Times New Roman" w:hAnsi="Times New Roman"/>
                <w:sz w:val="20"/>
              </w:rPr>
              <w:t>BRSR, GRI, TCFD, SASB</w:t>
            </w:r>
          </w:p>
        </w:tc>
        <w:tc>
          <w:tcPr>
            <w:tcW w:type="dxa" w:w="3402"/>
          </w:tcPr>
          <w:p>
            <w:pPr>
              <w:jc w:val="center"/>
            </w:pPr>
            <w:r>
              <w:rPr>
                <w:rFonts w:ascii="Times New Roman" w:hAnsi="Times New Roman"/>
                <w:sz w:val="20"/>
              </w:rPr>
              <w:t>Specialty Chemicals / India</w:t>
            </w:r>
          </w:p>
        </w:tc>
      </w:tr>
      <w:tr>
        <w:tc>
          <w:tcPr>
            <w:tcW w:type="dxa" w:w="850"/>
          </w:tcPr>
          <w:p>
            <w:pPr>
              <w:jc w:val="center"/>
            </w:pPr>
            <w:r>
              <w:rPr>
                <w:rFonts w:ascii="Times New Roman" w:hAnsi="Times New Roman"/>
                <w:sz w:val="20"/>
              </w:rPr>
              <w:t>11</w:t>
            </w:r>
          </w:p>
        </w:tc>
        <w:tc>
          <w:tcPr>
            <w:tcW w:type="dxa" w:w="1701"/>
          </w:tcPr>
          <w:p>
            <w:pPr>
              <w:jc w:val="center"/>
            </w:pPr>
            <w:r>
              <w:rPr>
                <w:rFonts w:ascii="Times New Roman" w:hAnsi="Times New Roman"/>
                <w:sz w:val="20"/>
              </w:rPr>
              <w:t>NYK</w:t>
            </w:r>
          </w:p>
        </w:tc>
        <w:tc>
          <w:tcPr>
            <w:tcW w:type="dxa" w:w="3118"/>
          </w:tcPr>
          <w:p>
            <w:pPr>
              <w:jc w:val="center"/>
            </w:pPr>
            <w:r>
              <w:rPr>
                <w:rFonts w:ascii="Times New Roman" w:hAnsi="Times New Roman"/>
                <w:sz w:val="20"/>
              </w:rPr>
              <w:t>BRSR, GRI, TCFD, SASB</w:t>
            </w:r>
          </w:p>
        </w:tc>
        <w:tc>
          <w:tcPr>
            <w:tcW w:type="dxa" w:w="3402"/>
          </w:tcPr>
          <w:p>
            <w:pPr>
              <w:jc w:val="center"/>
            </w:pPr>
            <w:r>
              <w:rPr>
                <w:rFonts w:ascii="Times New Roman" w:hAnsi="Times New Roman"/>
                <w:sz w:val="20"/>
              </w:rPr>
              <w:t>Shipping / Japan</w:t>
            </w:r>
          </w:p>
        </w:tc>
      </w:tr>
      <w:tr>
        <w:tc>
          <w:tcPr>
            <w:tcW w:type="dxa" w:w="850"/>
          </w:tcPr>
          <w:p>
            <w:pPr>
              <w:jc w:val="center"/>
            </w:pPr>
            <w:r>
              <w:rPr>
                <w:rFonts w:ascii="Times New Roman" w:hAnsi="Times New Roman"/>
                <w:sz w:val="20"/>
              </w:rPr>
              <w:t>12</w:t>
            </w:r>
          </w:p>
        </w:tc>
        <w:tc>
          <w:tcPr>
            <w:tcW w:type="dxa" w:w="1701"/>
          </w:tcPr>
          <w:p>
            <w:pPr>
              <w:jc w:val="center"/>
            </w:pPr>
            <w:r>
              <w:rPr>
                <w:rFonts w:ascii="Times New Roman" w:hAnsi="Times New Roman"/>
                <w:sz w:val="20"/>
              </w:rPr>
              <w:t>Sasken</w:t>
            </w:r>
          </w:p>
        </w:tc>
        <w:tc>
          <w:tcPr>
            <w:tcW w:type="dxa" w:w="3118"/>
          </w:tcPr>
          <w:p>
            <w:pPr>
              <w:jc w:val="center"/>
            </w:pPr>
            <w:r>
              <w:rPr>
                <w:rFonts w:ascii="Times New Roman" w:hAnsi="Times New Roman"/>
                <w:sz w:val="20"/>
              </w:rPr>
              <w:t>BRSR, GRI, TCFD, SASB</w:t>
            </w:r>
          </w:p>
        </w:tc>
        <w:tc>
          <w:tcPr>
            <w:tcW w:type="dxa" w:w="3402"/>
          </w:tcPr>
          <w:p>
            <w:pPr>
              <w:jc w:val="center"/>
            </w:pPr>
            <w:r>
              <w:rPr>
                <w:rFonts w:ascii="Times New Roman" w:hAnsi="Times New Roman"/>
                <w:sz w:val="20"/>
              </w:rPr>
              <w:t>Technology / India</w:t>
            </w:r>
          </w:p>
        </w:tc>
      </w:tr>
      <w:tr>
        <w:tc>
          <w:tcPr>
            <w:tcW w:type="dxa" w:w="850"/>
          </w:tcPr>
          <w:p>
            <w:pPr>
              <w:jc w:val="center"/>
            </w:pPr>
            <w:r>
              <w:rPr>
                <w:rFonts w:ascii="Times New Roman" w:hAnsi="Times New Roman"/>
                <w:sz w:val="20"/>
              </w:rPr>
              <w:t>13</w:t>
            </w:r>
          </w:p>
        </w:tc>
        <w:tc>
          <w:tcPr>
            <w:tcW w:type="dxa" w:w="1701"/>
          </w:tcPr>
          <w:p>
            <w:pPr>
              <w:jc w:val="center"/>
            </w:pPr>
            <w:r>
              <w:rPr>
                <w:rFonts w:ascii="Times New Roman" w:hAnsi="Times New Roman"/>
                <w:sz w:val="20"/>
              </w:rPr>
              <w:t>Unilever</w:t>
            </w:r>
          </w:p>
        </w:tc>
        <w:tc>
          <w:tcPr>
            <w:tcW w:type="dxa" w:w="3118"/>
          </w:tcPr>
          <w:p>
            <w:pPr>
              <w:jc w:val="center"/>
            </w:pPr>
            <w:r>
              <w:rPr>
                <w:rFonts w:ascii="Times New Roman" w:hAnsi="Times New Roman"/>
                <w:sz w:val="20"/>
              </w:rPr>
              <w:t>BRSR, GRI, TCFD, SASB</w:t>
            </w:r>
          </w:p>
        </w:tc>
        <w:tc>
          <w:tcPr>
            <w:tcW w:type="dxa" w:w="3402"/>
          </w:tcPr>
          <w:p>
            <w:pPr>
              <w:jc w:val="center"/>
            </w:pPr>
            <w:r>
              <w:rPr>
                <w:rFonts w:ascii="Times New Roman" w:hAnsi="Times New Roman"/>
                <w:sz w:val="20"/>
              </w:rPr>
              <w:t>FMCG / UK/Netherlands</w:t>
            </w:r>
          </w:p>
        </w:tc>
      </w:tr>
    </w:tbl>
    <w:p>
      <w:pPr>
        <w:spacing w:line="360" w:lineRule="auto"/>
      </w:pPr>
    </w:p>
    <w:p>
      <w:pPr>
        <w:spacing w:after="120" w:line="360" w:lineRule="auto"/>
        <w:jc w:val="center"/>
      </w:pPr>
      <w:r>
        <w:rPr>
          <w:rFonts w:ascii="Times New Roman" w:hAnsi="Times New Roman"/>
          <w:b/>
          <w:i w:val="0"/>
          <w:sz w:val="24"/>
        </w:rPr>
        <w:t>Table 7: Dataset Summary – Companies Evaluated</w:t>
      </w:r>
    </w:p>
    <w:p>
      <w:pPr>
        <w:pStyle w:val="Heading2"/>
        <w:spacing w:line="360" w:lineRule="auto"/>
        <w:jc w:val="left"/>
      </w:pPr>
      <w:r>
        <w:rPr>
          <w:rFonts w:ascii="Times New Roman" w:hAnsi="Times New Roman"/>
          <w:b/>
          <w:color w:val="000000"/>
          <w:sz w:val="28"/>
        </w:rPr>
        <w:t>4.3 Accuracy Results</w:t>
      </w:r>
    </w:p>
    <w:p>
      <w:pPr>
        <w:spacing w:after="120" w:line="360" w:lineRule="auto"/>
        <w:jc w:val="both"/>
      </w:pPr>
      <w:r>
        <w:rPr>
          <w:rFonts w:ascii="Times New Roman" w:hAnsi="Times New Roman"/>
          <w:b w:val="0"/>
          <w:i w:val="0"/>
          <w:sz w:val="24"/>
        </w:rPr>
        <w:t>Table 8 presents the framework-wise accuracy metrics obtained from the evaluation against human-annotated ground truth labels.</w:t>
      </w:r>
    </w:p>
    <w:tbl>
      <w:tblPr>
        <w:tblStyle w:val="TableGrid"/>
        <w:tblW w:type="auto" w:w="0"/>
        <w:jc w:val="center"/>
        <w:tblLook w:firstColumn="1" w:firstRow="1" w:lastColumn="0" w:lastRow="0" w:noHBand="0" w:noVBand="1" w:val="04A0"/>
      </w:tblPr>
      <w:tblGrid>
        <w:gridCol w:w="1441"/>
        <w:gridCol w:w="1441"/>
        <w:gridCol w:w="1441"/>
        <w:gridCol w:w="1441"/>
        <w:gridCol w:w="1441"/>
        <w:gridCol w:w="1441"/>
      </w:tblGrid>
      <w:tr>
        <w:tc>
          <w:tcPr>
            <w:tcW w:type="dxa" w:w="2268"/>
            <w:shd w:fill="D9E2F3"/>
          </w:tcPr>
          <w:p>
            <w:pPr>
              <w:jc w:val="center"/>
            </w:pPr>
            <w:r>
              <w:rPr>
                <w:rFonts w:ascii="Times New Roman" w:hAnsi="Times New Roman"/>
                <w:b/>
                <w:sz w:val="20"/>
              </w:rPr>
              <w:t>Metric (%)</w:t>
            </w:r>
          </w:p>
        </w:tc>
        <w:tc>
          <w:tcPr>
            <w:tcW w:type="dxa" w:w="1417"/>
            <w:shd w:fill="D9E2F3"/>
          </w:tcPr>
          <w:p>
            <w:pPr>
              <w:jc w:val="center"/>
            </w:pPr>
            <w:r>
              <w:rPr>
                <w:rFonts w:ascii="Times New Roman" w:hAnsi="Times New Roman"/>
                <w:b/>
                <w:sz w:val="20"/>
              </w:rPr>
              <w:t>BRSR</w:t>
            </w:r>
          </w:p>
        </w:tc>
        <w:tc>
          <w:tcPr>
            <w:tcW w:type="dxa" w:w="1417"/>
            <w:shd w:fill="D9E2F3"/>
          </w:tcPr>
          <w:p>
            <w:pPr>
              <w:jc w:val="center"/>
            </w:pPr>
            <w:r>
              <w:rPr>
                <w:rFonts w:ascii="Times New Roman" w:hAnsi="Times New Roman"/>
                <w:b/>
                <w:sz w:val="20"/>
              </w:rPr>
              <w:t>GRI</w:t>
            </w:r>
          </w:p>
        </w:tc>
        <w:tc>
          <w:tcPr>
            <w:tcW w:type="dxa" w:w="1417"/>
            <w:shd w:fill="D9E2F3"/>
          </w:tcPr>
          <w:p>
            <w:pPr>
              <w:jc w:val="center"/>
            </w:pPr>
            <w:r>
              <w:rPr>
                <w:rFonts w:ascii="Times New Roman" w:hAnsi="Times New Roman"/>
                <w:b/>
                <w:sz w:val="20"/>
              </w:rPr>
              <w:t>TCFD</w:t>
            </w:r>
          </w:p>
        </w:tc>
        <w:tc>
          <w:tcPr>
            <w:tcW w:type="dxa" w:w="1417"/>
            <w:shd w:fill="D9E2F3"/>
          </w:tcPr>
          <w:p>
            <w:pPr>
              <w:jc w:val="center"/>
            </w:pPr>
            <w:r>
              <w:rPr>
                <w:rFonts w:ascii="Times New Roman" w:hAnsi="Times New Roman"/>
                <w:b/>
                <w:sz w:val="20"/>
              </w:rPr>
              <w:t>SASB</w:t>
            </w:r>
          </w:p>
        </w:tc>
        <w:tc>
          <w:tcPr>
            <w:tcW w:type="dxa" w:w="1417"/>
            <w:shd w:fill="D9E2F3"/>
          </w:tcPr>
          <w:p>
            <w:pPr>
              <w:jc w:val="center"/>
            </w:pPr>
            <w:r>
              <w:rPr>
                <w:rFonts w:ascii="Times New Roman" w:hAnsi="Times New Roman"/>
                <w:b/>
                <w:sz w:val="20"/>
              </w:rPr>
              <w:t>Overall</w:t>
            </w:r>
          </w:p>
        </w:tc>
      </w:tr>
      <w:tr>
        <w:tc>
          <w:tcPr>
            <w:tcW w:type="dxa" w:w="2268"/>
          </w:tcPr>
          <w:p>
            <w:pPr>
              <w:jc w:val="center"/>
            </w:pPr>
            <w:r>
              <w:rPr>
                <w:rFonts w:ascii="Times New Roman" w:hAnsi="Times New Roman"/>
                <w:sz w:val="20"/>
              </w:rPr>
              <w:t>LLM Precision</w:t>
            </w:r>
          </w:p>
        </w:tc>
        <w:tc>
          <w:tcPr>
            <w:tcW w:type="dxa" w:w="1417"/>
          </w:tcPr>
          <w:p>
            <w:pPr>
              <w:jc w:val="center"/>
            </w:pPr>
            <w:r>
              <w:rPr>
                <w:rFonts w:ascii="Times New Roman" w:hAnsi="Times New Roman"/>
                <w:sz w:val="20"/>
              </w:rPr>
              <w:t>88.2</w:t>
            </w:r>
          </w:p>
        </w:tc>
        <w:tc>
          <w:tcPr>
            <w:tcW w:type="dxa" w:w="1417"/>
          </w:tcPr>
          <w:p>
            <w:pPr>
              <w:jc w:val="center"/>
            </w:pPr>
            <w:r>
              <w:rPr>
                <w:rFonts w:ascii="Times New Roman" w:hAnsi="Times New Roman"/>
                <w:sz w:val="20"/>
              </w:rPr>
              <w:t>82.5</w:t>
            </w:r>
          </w:p>
        </w:tc>
        <w:tc>
          <w:tcPr>
            <w:tcW w:type="dxa" w:w="1417"/>
          </w:tcPr>
          <w:p>
            <w:pPr>
              <w:jc w:val="center"/>
            </w:pPr>
            <w:r>
              <w:rPr>
                <w:rFonts w:ascii="Times New Roman" w:hAnsi="Times New Roman"/>
                <w:sz w:val="20"/>
              </w:rPr>
              <w:t>78.4</w:t>
            </w:r>
          </w:p>
        </w:tc>
        <w:tc>
          <w:tcPr>
            <w:tcW w:type="dxa" w:w="1417"/>
          </w:tcPr>
          <w:p>
            <w:pPr>
              <w:jc w:val="center"/>
            </w:pPr>
            <w:r>
              <w:rPr>
                <w:rFonts w:ascii="Times New Roman" w:hAnsi="Times New Roman"/>
                <w:sz w:val="20"/>
              </w:rPr>
              <w:t>85.1</w:t>
            </w:r>
          </w:p>
        </w:tc>
        <w:tc>
          <w:tcPr>
            <w:tcW w:type="dxa" w:w="1417"/>
          </w:tcPr>
          <w:p>
            <w:pPr>
              <w:jc w:val="center"/>
            </w:pPr>
            <w:r>
              <w:rPr>
                <w:rFonts w:ascii="Times New Roman" w:hAnsi="Times New Roman"/>
                <w:sz w:val="20"/>
              </w:rPr>
              <w:t>83.6</w:t>
            </w:r>
          </w:p>
        </w:tc>
      </w:tr>
      <w:tr>
        <w:tc>
          <w:tcPr>
            <w:tcW w:type="dxa" w:w="2268"/>
          </w:tcPr>
          <w:p>
            <w:pPr>
              <w:jc w:val="center"/>
            </w:pPr>
            <w:r>
              <w:rPr>
                <w:rFonts w:ascii="Times New Roman" w:hAnsi="Times New Roman"/>
                <w:sz w:val="20"/>
              </w:rPr>
              <w:t>LLM Recall</w:t>
            </w:r>
          </w:p>
        </w:tc>
        <w:tc>
          <w:tcPr>
            <w:tcW w:type="dxa" w:w="1417"/>
          </w:tcPr>
          <w:p>
            <w:pPr>
              <w:jc w:val="center"/>
            </w:pPr>
            <w:r>
              <w:rPr>
                <w:rFonts w:ascii="Times New Roman" w:hAnsi="Times New Roman"/>
                <w:sz w:val="20"/>
              </w:rPr>
              <w:t>87.0</w:t>
            </w:r>
          </w:p>
        </w:tc>
        <w:tc>
          <w:tcPr>
            <w:tcW w:type="dxa" w:w="1417"/>
          </w:tcPr>
          <w:p>
            <w:pPr>
              <w:jc w:val="center"/>
            </w:pPr>
            <w:r>
              <w:rPr>
                <w:rFonts w:ascii="Times New Roman" w:hAnsi="Times New Roman"/>
                <w:sz w:val="20"/>
              </w:rPr>
              <w:t>81.3</w:t>
            </w:r>
          </w:p>
        </w:tc>
        <w:tc>
          <w:tcPr>
            <w:tcW w:type="dxa" w:w="1417"/>
          </w:tcPr>
          <w:p>
            <w:pPr>
              <w:jc w:val="center"/>
            </w:pPr>
            <w:r>
              <w:rPr>
                <w:rFonts w:ascii="Times New Roman" w:hAnsi="Times New Roman"/>
                <w:sz w:val="20"/>
              </w:rPr>
              <w:t>76.9</w:t>
            </w:r>
          </w:p>
        </w:tc>
        <w:tc>
          <w:tcPr>
            <w:tcW w:type="dxa" w:w="1417"/>
          </w:tcPr>
          <w:p>
            <w:pPr>
              <w:jc w:val="center"/>
            </w:pPr>
            <w:r>
              <w:rPr>
                <w:rFonts w:ascii="Times New Roman" w:hAnsi="Times New Roman"/>
                <w:sz w:val="20"/>
              </w:rPr>
              <w:t>83.7</w:t>
            </w:r>
          </w:p>
        </w:tc>
        <w:tc>
          <w:tcPr>
            <w:tcW w:type="dxa" w:w="1417"/>
          </w:tcPr>
          <w:p>
            <w:pPr>
              <w:jc w:val="center"/>
            </w:pPr>
            <w:r>
              <w:rPr>
                <w:rFonts w:ascii="Times New Roman" w:hAnsi="Times New Roman"/>
                <w:sz w:val="20"/>
              </w:rPr>
              <w:t>82.2</w:t>
            </w:r>
          </w:p>
        </w:tc>
      </w:tr>
      <w:tr>
        <w:tc>
          <w:tcPr>
            <w:tcW w:type="dxa" w:w="2268"/>
          </w:tcPr>
          <w:p>
            <w:pPr>
              <w:jc w:val="center"/>
            </w:pPr>
            <w:r>
              <w:rPr>
                <w:rFonts w:ascii="Times New Roman" w:hAnsi="Times New Roman"/>
                <w:sz w:val="20"/>
              </w:rPr>
              <w:t>LLM F1 Score</w:t>
            </w:r>
          </w:p>
        </w:tc>
        <w:tc>
          <w:tcPr>
            <w:tcW w:type="dxa" w:w="1417"/>
          </w:tcPr>
          <w:p>
            <w:pPr>
              <w:jc w:val="center"/>
            </w:pPr>
            <w:r>
              <w:rPr>
                <w:rFonts w:ascii="Times New Roman" w:hAnsi="Times New Roman"/>
                <w:sz w:val="20"/>
              </w:rPr>
              <w:t>87.6</w:t>
            </w:r>
          </w:p>
        </w:tc>
        <w:tc>
          <w:tcPr>
            <w:tcW w:type="dxa" w:w="1417"/>
          </w:tcPr>
          <w:p>
            <w:pPr>
              <w:jc w:val="center"/>
            </w:pPr>
            <w:r>
              <w:rPr>
                <w:rFonts w:ascii="Times New Roman" w:hAnsi="Times New Roman"/>
                <w:sz w:val="20"/>
              </w:rPr>
              <w:t>81.9</w:t>
            </w:r>
          </w:p>
        </w:tc>
        <w:tc>
          <w:tcPr>
            <w:tcW w:type="dxa" w:w="1417"/>
          </w:tcPr>
          <w:p>
            <w:pPr>
              <w:jc w:val="center"/>
            </w:pPr>
            <w:r>
              <w:rPr>
                <w:rFonts w:ascii="Times New Roman" w:hAnsi="Times New Roman"/>
                <w:sz w:val="20"/>
              </w:rPr>
              <w:t>77.6</w:t>
            </w:r>
          </w:p>
        </w:tc>
        <w:tc>
          <w:tcPr>
            <w:tcW w:type="dxa" w:w="1417"/>
          </w:tcPr>
          <w:p>
            <w:pPr>
              <w:jc w:val="center"/>
            </w:pPr>
            <w:r>
              <w:rPr>
                <w:rFonts w:ascii="Times New Roman" w:hAnsi="Times New Roman"/>
                <w:sz w:val="20"/>
              </w:rPr>
              <w:t>84.4</w:t>
            </w:r>
          </w:p>
        </w:tc>
        <w:tc>
          <w:tcPr>
            <w:tcW w:type="dxa" w:w="1417"/>
          </w:tcPr>
          <w:p>
            <w:pPr>
              <w:jc w:val="center"/>
            </w:pPr>
            <w:r>
              <w:rPr>
                <w:rFonts w:ascii="Times New Roman" w:hAnsi="Times New Roman"/>
                <w:sz w:val="20"/>
              </w:rPr>
              <w:t>82.9</w:t>
            </w:r>
          </w:p>
        </w:tc>
      </w:tr>
      <w:tr>
        <w:tc>
          <w:tcPr>
            <w:tcW w:type="dxa" w:w="2268"/>
          </w:tcPr>
          <w:p>
            <w:pPr>
              <w:jc w:val="center"/>
            </w:pPr>
            <w:r>
              <w:rPr>
                <w:rFonts w:ascii="Times New Roman" w:hAnsi="Times New Roman"/>
                <w:sz w:val="20"/>
              </w:rPr>
              <w:t>Status Match Accuracy</w:t>
            </w:r>
          </w:p>
        </w:tc>
        <w:tc>
          <w:tcPr>
            <w:tcW w:type="dxa" w:w="1417"/>
          </w:tcPr>
          <w:p>
            <w:pPr>
              <w:jc w:val="center"/>
            </w:pPr>
            <w:r>
              <w:rPr>
                <w:rFonts w:ascii="Times New Roman" w:hAnsi="Times New Roman"/>
                <w:sz w:val="20"/>
              </w:rPr>
              <w:t>85.3</w:t>
            </w:r>
          </w:p>
        </w:tc>
        <w:tc>
          <w:tcPr>
            <w:tcW w:type="dxa" w:w="1417"/>
          </w:tcPr>
          <w:p>
            <w:pPr>
              <w:jc w:val="center"/>
            </w:pPr>
            <w:r>
              <w:rPr>
                <w:rFonts w:ascii="Times New Roman" w:hAnsi="Times New Roman"/>
                <w:sz w:val="20"/>
              </w:rPr>
              <w:t>79.8</w:t>
            </w:r>
          </w:p>
        </w:tc>
        <w:tc>
          <w:tcPr>
            <w:tcW w:type="dxa" w:w="1417"/>
          </w:tcPr>
          <w:p>
            <w:pPr>
              <w:jc w:val="center"/>
            </w:pPr>
            <w:r>
              <w:rPr>
                <w:rFonts w:ascii="Times New Roman" w:hAnsi="Times New Roman"/>
                <w:sz w:val="20"/>
              </w:rPr>
              <w:t>75.2</w:t>
            </w:r>
          </w:p>
        </w:tc>
        <w:tc>
          <w:tcPr>
            <w:tcW w:type="dxa" w:w="1417"/>
          </w:tcPr>
          <w:p>
            <w:pPr>
              <w:jc w:val="center"/>
            </w:pPr>
            <w:r>
              <w:rPr>
                <w:rFonts w:ascii="Times New Roman" w:hAnsi="Times New Roman"/>
                <w:sz w:val="20"/>
              </w:rPr>
              <w:t>82.6</w:t>
            </w:r>
          </w:p>
        </w:tc>
        <w:tc>
          <w:tcPr>
            <w:tcW w:type="dxa" w:w="1417"/>
          </w:tcPr>
          <w:p>
            <w:pPr>
              <w:jc w:val="center"/>
            </w:pPr>
            <w:r>
              <w:rPr>
                <w:rFonts w:ascii="Times New Roman" w:hAnsi="Times New Roman"/>
                <w:sz w:val="20"/>
              </w:rPr>
              <w:t>80.7</w:t>
            </w:r>
          </w:p>
        </w:tc>
      </w:tr>
    </w:tbl>
    <w:p>
      <w:pPr>
        <w:spacing w:line="360" w:lineRule="auto"/>
      </w:pPr>
    </w:p>
    <w:p>
      <w:pPr>
        <w:spacing w:after="120" w:line="360" w:lineRule="auto"/>
        <w:jc w:val="center"/>
      </w:pPr>
      <w:r>
        <w:rPr>
          <w:rFonts w:ascii="Times New Roman" w:hAnsi="Times New Roman"/>
          <w:b/>
          <w:i w:val="0"/>
          <w:sz w:val="24"/>
        </w:rPr>
        <w:t>Table 8: Framework-Wise Accuracy Metrics</w:t>
      </w:r>
    </w:p>
    <w:p>
      <w:pPr>
        <w:spacing w:after="120" w:line="360" w:lineRule="auto"/>
        <w:jc w:val="both"/>
      </w:pPr>
      <w:r>
        <w:rPr>
          <w:rFonts w:ascii="Times New Roman" w:hAnsi="Times New Roman"/>
          <w:b w:val="0"/>
          <w:i w:val="0"/>
          <w:sz w:val="24"/>
        </w:rPr>
        <w:t>The results demonstrate consistently strong performance across all four frameworks, with overall LLM Precision of 83.6%, Recall of 82.2%, F1 Score of 82.9%, and Status Match Accuracy of 80.7%. All metrics fall within the 75–90% range, confirming the viability of the hybrid pipeline for automated ESG compliance verification.</w:t>
      </w:r>
    </w:p>
    <w:p>
      <w:pPr>
        <w:spacing w:after="120" w:line="360" w:lineRule="auto"/>
        <w:jc w:val="both"/>
      </w:pPr>
      <w:r>
        <w:rPr>
          <w:rFonts w:ascii="Times New Roman" w:hAnsi="Times New Roman"/>
          <w:b w:val="0"/>
          <w:i w:val="0"/>
          <w:sz w:val="24"/>
        </w:rPr>
        <w:t>Retrieval Recall@K performance averaged 78–84% across frameworks, indicating that the semantic retrieval component successfully identifies relevant evidence pages for approximately four out of five clauses. Rule Validation Precision exceeded 90% across all frameworks, indicating that rule-based overrides are overwhelmingly correct.</w:t>
      </w:r>
    </w:p>
    <w:p>
      <w:pPr>
        <w:pStyle w:val="Heading2"/>
        <w:spacing w:line="360" w:lineRule="auto"/>
        <w:jc w:val="left"/>
      </w:pPr>
      <w:r>
        <w:rPr>
          <w:rFonts w:ascii="Times New Roman" w:hAnsi="Times New Roman"/>
          <w:b/>
          <w:color w:val="000000"/>
          <w:sz w:val="28"/>
        </w:rPr>
        <w:t>4.4 Framework-Specific Analysis</w:t>
      </w:r>
    </w:p>
    <w:p>
      <w:pPr>
        <w:spacing w:after="120" w:line="360" w:lineRule="auto"/>
        <w:jc w:val="both"/>
      </w:pPr>
      <w:r>
        <w:rPr>
          <w:rFonts w:ascii="Times New Roman" w:hAnsi="Times New Roman"/>
          <w:b/>
          <w:i w:val="0"/>
          <w:sz w:val="24"/>
        </w:rPr>
        <w:t xml:space="preserve">BRSR (F1: 87.6%). </w:t>
      </w:r>
      <w:r>
        <w:rPr>
          <w:rFonts w:ascii="Times New Roman" w:hAnsi="Times New Roman"/>
          <w:b w:val="0"/>
          <w:i w:val="0"/>
          <w:sz w:val="24"/>
        </w:rPr>
        <w:t>Achieved the highest accuracy owing to the structured, standardized format mandated by SEBI. Indian regulatory disclosures follow predictable patterns with clearly delineated sections, making both retrieval and LLM evaluation more reliable. The BRSR prompt's focus on 'disclosure presence rather than fact verification' aligns well with how Indian companies structure their reports.</w:t>
      </w:r>
    </w:p>
    <w:p>
      <w:pPr>
        <w:spacing w:after="120" w:line="360" w:lineRule="auto"/>
        <w:jc w:val="both"/>
      </w:pPr>
      <w:r>
        <w:rPr>
          <w:rFonts w:ascii="Times New Roman" w:hAnsi="Times New Roman"/>
          <w:b/>
          <w:i w:val="0"/>
          <w:sz w:val="24"/>
        </w:rPr>
        <w:t xml:space="preserve">SASB (F1: 84.4%). </w:t>
      </w:r>
      <w:r>
        <w:rPr>
          <w:rFonts w:ascii="Times New Roman" w:hAnsi="Times New Roman"/>
          <w:b w:val="0"/>
          <w:i w:val="0"/>
          <w:sz w:val="24"/>
        </w:rPr>
        <w:t>Demonstrated the second-highest performance, benefiting from the lenient prompting strategy that prioritizes disclosure presence over strict metric matching. The hard rule that any thematically relevant evidence precludes a 'Not Supported' classification reduces false negatives for on-topic disclosures. The SASB confidence blending (0.82 × LLM + 0.18 × rules) appropriately trusts the LLM's thematic judgment.</w:t>
      </w:r>
    </w:p>
    <w:p>
      <w:pPr>
        <w:spacing w:after="120" w:line="360" w:lineRule="auto"/>
        <w:jc w:val="both"/>
      </w:pPr>
      <w:r>
        <w:rPr>
          <w:rFonts w:ascii="Times New Roman" w:hAnsi="Times New Roman"/>
          <w:b/>
          <w:i w:val="0"/>
          <w:sz w:val="24"/>
        </w:rPr>
        <w:t xml:space="preserve">GRI (F1: 81.9%). </w:t>
      </w:r>
      <w:r>
        <w:rPr>
          <w:rFonts w:ascii="Times New Roman" w:hAnsi="Times New Roman"/>
          <w:b w:val="0"/>
          <w:i w:val="0"/>
          <w:sz w:val="24"/>
        </w:rPr>
        <w:t>Yielded moderate performance, reflecting the broader scope and greater clause diversity of the GRI standard (approximately 120 clauses at standard scope). The diversity of required evidence types across GRI topic standards—ranging from quantitative emissions data (GRI 305) to qualitative governance descriptions (GRI 2)—introduces greater evaluation complexity. Scope filtering (core/standard/essential) helps focus evaluation on the most relevant clauses.</w:t>
      </w:r>
    </w:p>
    <w:p>
      <w:pPr>
        <w:spacing w:after="120" w:line="360" w:lineRule="auto"/>
        <w:jc w:val="both"/>
      </w:pPr>
      <w:r>
        <w:rPr>
          <w:rFonts w:ascii="Times New Roman" w:hAnsi="Times New Roman"/>
          <w:b/>
          <w:i w:val="0"/>
          <w:sz w:val="24"/>
        </w:rPr>
        <w:t xml:space="preserve">TCFD (F1: 77.6%). </w:t>
      </w:r>
      <w:r>
        <w:rPr>
          <w:rFonts w:ascii="Times New Roman" w:hAnsi="Times New Roman"/>
          <w:b w:val="0"/>
          <w:i w:val="0"/>
          <w:sz w:val="24"/>
        </w:rPr>
        <w:t>Presented the most challenging evaluation context, consistent with expectations. TCFD clauses require specific, substantive climate-related disclosures (scenario analysis, Scope 3 emissions methodology, climate risk integration into enterprise risk management), and the strict prompting philosophy penalizes generic or indirect climate language. The 11 core recommended disclosures plus sub-clauses demand a level of climate specificity that many companies' reports do not fully achieve.</w:t>
      </w:r>
    </w:p>
    <w:p>
      <w:pPr>
        <w:pStyle w:val="Heading2"/>
        <w:spacing w:line="360" w:lineRule="auto"/>
        <w:jc w:val="left"/>
      </w:pPr>
      <w:r>
        <w:rPr>
          <w:rFonts w:ascii="Times New Roman" w:hAnsi="Times New Roman"/>
          <w:b/>
          <w:color w:val="000000"/>
          <w:sz w:val="28"/>
        </w:rPr>
        <w:t>4.5 Agentic AI Impact</w:t>
      </w:r>
    </w:p>
    <w:p>
      <w:pPr>
        <w:spacing w:after="120" w:line="360" w:lineRule="auto"/>
        <w:jc w:val="both"/>
      </w:pPr>
      <w:r>
        <w:rPr>
          <w:rFonts w:ascii="Times New Roman" w:hAnsi="Times New Roman"/>
          <w:b w:val="0"/>
          <w:i w:val="0"/>
          <w:sz w:val="24"/>
        </w:rPr>
        <w:t>When the agentic pipeline was enabled, self-reflection identified issues in approximately 12–18% of clause evaluations, triggering revisions that adjusted compliance status or confidence scores. Qualitative analysis revealed that revisions most commonly addressed:</w:t>
      </w:r>
    </w:p>
    <w:p>
      <w:pPr>
        <w:pStyle w:val="ListBullet"/>
        <w:spacing w:after="60" w:line="360" w:lineRule="auto"/>
      </w:pPr>
      <w:r>
        <w:rPr>
          <w:rFonts w:ascii="Times New Roman" w:hAnsi="Times New Roman"/>
          <w:sz w:val="24"/>
        </w:rPr>
        <w:t>Overconfidence in cases where evidence was thematically related but did not specifically address the clause requirement.</w:t>
      </w:r>
    </w:p>
    <w:p>
      <w:pPr>
        <w:pStyle w:val="ListBullet"/>
        <w:spacing w:after="60" w:line="360" w:lineRule="auto"/>
      </w:pPr>
      <w:r>
        <w:rPr>
          <w:rFonts w:ascii="Times New Roman" w:hAnsi="Times New Roman"/>
          <w:sz w:val="24"/>
        </w:rPr>
        <w:t>Under-recognition of implicit compliance signals in consolidated ESG narratives.</w:t>
      </w:r>
    </w:p>
    <w:p>
      <w:pPr>
        <w:pStyle w:val="ListBullet"/>
        <w:spacing w:after="60" w:line="360" w:lineRule="auto"/>
      </w:pPr>
      <w:r>
        <w:rPr>
          <w:rFonts w:ascii="Times New Roman" w:hAnsi="Times New Roman"/>
          <w:sz w:val="24"/>
        </w:rPr>
        <w:t>Misclassification at the supported/partial boundary where evidence was substantive but incomplete.</w:t>
      </w:r>
    </w:p>
    <w:p>
      <w:pPr>
        <w:spacing w:after="120" w:line="360" w:lineRule="auto"/>
        <w:jc w:val="both"/>
      </w:pPr>
      <w:r>
        <w:rPr>
          <w:rFonts w:ascii="Times New Roman" w:hAnsi="Times New Roman"/>
          <w:b w:val="0"/>
          <w:i w:val="0"/>
          <w:sz w:val="24"/>
        </w:rPr>
        <w:t>The chain-of-thought reasoning traces provide substantial value for audit transparency, as compliance officers can review the model's step-by-step analysis rather than relying on opaque classification outputs. The latency trade-off of 2–3 additional seconds per clause is acceptable for compliance workflows where accuracy and explainability take precedence over speed.</w:t>
      </w:r>
    </w:p>
    <w:p>
      <w:pPr>
        <w:spacing w:after="120" w:line="360" w:lineRule="auto"/>
        <w:jc w:val="both"/>
      </w:pPr>
      <w:r>
        <w:rPr>
          <w:rFonts w:ascii="Times New Roman" w:hAnsi="Times New Roman"/>
          <w:b w:val="0"/>
          <w:i w:val="0"/>
          <w:sz w:val="24"/>
        </w:rPr>
        <w:t>The confidence blending mechanism—weighting LLM confidence against rule pass rates—improved confidence calibration by 8–12% compared to raw LLM confidence alone, as measured by expected calibration error.</w:t>
      </w:r>
    </w:p>
    <w:p>
      <w:pPr>
        <w:pStyle w:val="Heading2"/>
        <w:spacing w:line="360" w:lineRule="auto"/>
        <w:jc w:val="left"/>
      </w:pPr>
      <w:r>
        <w:rPr>
          <w:rFonts w:ascii="Times New Roman" w:hAnsi="Times New Roman"/>
          <w:b/>
          <w:color w:val="000000"/>
          <w:sz w:val="28"/>
        </w:rPr>
        <w:t>4.6 Processing Performance</w:t>
      </w:r>
    </w:p>
    <w:tbl>
      <w:tblPr>
        <w:tblStyle w:val="TableGrid"/>
        <w:tblW w:type="auto" w:w="0"/>
        <w:jc w:val="center"/>
        <w:tblLook w:firstColumn="1" w:firstRow="1" w:lastColumn="0" w:lastRow="0" w:noHBand="0" w:noVBand="1" w:val="04A0"/>
      </w:tblPr>
      <w:tblGrid>
        <w:gridCol w:w="2882"/>
        <w:gridCol w:w="2882"/>
        <w:gridCol w:w="2882"/>
      </w:tblGrid>
      <w:tr>
        <w:tc>
          <w:tcPr>
            <w:tcW w:type="dxa" w:w="2835"/>
            <w:shd w:fill="D9E2F3"/>
          </w:tcPr>
          <w:p>
            <w:pPr>
              <w:jc w:val="center"/>
            </w:pPr>
            <w:r>
              <w:rPr>
                <w:rFonts w:ascii="Times New Roman" w:hAnsi="Times New Roman"/>
                <w:b/>
                <w:sz w:val="20"/>
              </w:rPr>
              <w:t>Operation</w:t>
            </w:r>
          </w:p>
        </w:tc>
        <w:tc>
          <w:tcPr>
            <w:tcW w:type="dxa" w:w="2268"/>
            <w:shd w:fill="D9E2F3"/>
          </w:tcPr>
          <w:p>
            <w:pPr>
              <w:jc w:val="center"/>
            </w:pPr>
            <w:r>
              <w:rPr>
                <w:rFonts w:ascii="Times New Roman" w:hAnsi="Times New Roman"/>
                <w:b/>
                <w:sz w:val="20"/>
              </w:rPr>
              <w:t>Time</w:t>
            </w:r>
          </w:p>
        </w:tc>
        <w:tc>
          <w:tcPr>
            <w:tcW w:type="dxa" w:w="3969"/>
            <w:shd w:fill="D9E2F3"/>
          </w:tcPr>
          <w:p>
            <w:pPr>
              <w:jc w:val="center"/>
            </w:pPr>
            <w:r>
              <w:rPr>
                <w:rFonts w:ascii="Times New Roman" w:hAnsi="Times New Roman"/>
                <w:b/>
                <w:sz w:val="20"/>
              </w:rPr>
              <w:t>Notes</w:t>
            </w:r>
          </w:p>
        </w:tc>
      </w:tr>
      <w:tr>
        <w:tc>
          <w:tcPr>
            <w:tcW w:type="dxa" w:w="2835"/>
          </w:tcPr>
          <w:p>
            <w:pPr>
              <w:jc w:val="center"/>
            </w:pPr>
            <w:r>
              <w:rPr>
                <w:rFonts w:ascii="Times New Roman" w:hAnsi="Times New Roman"/>
                <w:sz w:val="20"/>
              </w:rPr>
              <w:t>PDF Upload &amp; Processing</w:t>
            </w:r>
          </w:p>
        </w:tc>
        <w:tc>
          <w:tcPr>
            <w:tcW w:type="dxa" w:w="2268"/>
          </w:tcPr>
          <w:p>
            <w:pPr>
              <w:jc w:val="center"/>
            </w:pPr>
            <w:r>
              <w:rPr>
                <w:rFonts w:ascii="Times New Roman" w:hAnsi="Times New Roman"/>
                <w:sz w:val="20"/>
              </w:rPr>
              <w:t>5–15 seconds</w:t>
            </w:r>
          </w:p>
        </w:tc>
        <w:tc>
          <w:tcPr>
            <w:tcW w:type="dxa" w:w="3969"/>
          </w:tcPr>
          <w:p>
            <w:pPr>
              <w:jc w:val="center"/>
            </w:pPr>
            <w:r>
              <w:rPr>
                <w:rFonts w:ascii="Times New Roman" w:hAnsi="Times New Roman"/>
                <w:sz w:val="20"/>
              </w:rPr>
              <w:t>For 50–200 page PDFs</w:t>
            </w:r>
          </w:p>
        </w:tc>
      </w:tr>
      <w:tr>
        <w:tc>
          <w:tcPr>
            <w:tcW w:type="dxa" w:w="2835"/>
          </w:tcPr>
          <w:p>
            <w:pPr>
              <w:jc w:val="center"/>
            </w:pPr>
            <w:r>
              <w:rPr>
                <w:rFonts w:ascii="Times New Roman" w:hAnsi="Times New Roman"/>
                <w:sz w:val="20"/>
              </w:rPr>
              <w:t>BRSR Evaluation (265 clauses)</w:t>
            </w:r>
          </w:p>
        </w:tc>
        <w:tc>
          <w:tcPr>
            <w:tcW w:type="dxa" w:w="2268"/>
          </w:tcPr>
          <w:p>
            <w:pPr>
              <w:jc w:val="center"/>
            </w:pPr>
            <w:r>
              <w:rPr>
                <w:rFonts w:ascii="Times New Roman" w:hAnsi="Times New Roman"/>
                <w:sz w:val="20"/>
              </w:rPr>
              <w:t>5–10 minutes</w:t>
            </w:r>
          </w:p>
        </w:tc>
        <w:tc>
          <w:tcPr>
            <w:tcW w:type="dxa" w:w="3969"/>
          </w:tcPr>
          <w:p>
            <w:pPr>
              <w:jc w:val="center"/>
            </w:pPr>
            <w:r>
              <w:rPr>
                <w:rFonts w:ascii="Times New Roman" w:hAnsi="Times New Roman"/>
                <w:sz w:val="20"/>
              </w:rPr>
              <w:t>Fast mode, parallel batches of 10</w:t>
            </w:r>
          </w:p>
        </w:tc>
      </w:tr>
      <w:tr>
        <w:tc>
          <w:tcPr>
            <w:tcW w:type="dxa" w:w="2835"/>
          </w:tcPr>
          <w:p>
            <w:pPr>
              <w:jc w:val="center"/>
            </w:pPr>
            <w:r>
              <w:rPr>
                <w:rFonts w:ascii="Times New Roman" w:hAnsi="Times New Roman"/>
                <w:sz w:val="20"/>
              </w:rPr>
              <w:t>GRI Standard Scope (~120 clauses)</w:t>
            </w:r>
          </w:p>
        </w:tc>
        <w:tc>
          <w:tcPr>
            <w:tcW w:type="dxa" w:w="2268"/>
          </w:tcPr>
          <w:p>
            <w:pPr>
              <w:jc w:val="center"/>
            </w:pPr>
            <w:r>
              <w:rPr>
                <w:rFonts w:ascii="Times New Roman" w:hAnsi="Times New Roman"/>
                <w:sz w:val="20"/>
              </w:rPr>
              <w:t>3–6 minutes</w:t>
            </w:r>
          </w:p>
        </w:tc>
        <w:tc>
          <w:tcPr>
            <w:tcW w:type="dxa" w:w="3969"/>
          </w:tcPr>
          <w:p>
            <w:pPr>
              <w:jc w:val="center"/>
            </w:pPr>
            <w:r>
              <w:rPr>
                <w:rFonts w:ascii="Times New Roman" w:hAnsi="Times New Roman"/>
                <w:sz w:val="20"/>
              </w:rPr>
              <w:t>Fast mode</w:t>
            </w:r>
          </w:p>
        </w:tc>
      </w:tr>
      <w:tr>
        <w:tc>
          <w:tcPr>
            <w:tcW w:type="dxa" w:w="2835"/>
          </w:tcPr>
          <w:p>
            <w:pPr>
              <w:jc w:val="center"/>
            </w:pPr>
            <w:r>
              <w:rPr>
                <w:rFonts w:ascii="Times New Roman" w:hAnsi="Times New Roman"/>
                <w:sz w:val="20"/>
              </w:rPr>
              <w:t>TCFD Evaluation (~30 clauses)</w:t>
            </w:r>
          </w:p>
        </w:tc>
        <w:tc>
          <w:tcPr>
            <w:tcW w:type="dxa" w:w="2268"/>
          </w:tcPr>
          <w:p>
            <w:pPr>
              <w:jc w:val="center"/>
            </w:pPr>
            <w:r>
              <w:rPr>
                <w:rFonts w:ascii="Times New Roman" w:hAnsi="Times New Roman"/>
                <w:sz w:val="20"/>
              </w:rPr>
              <w:t>1–2 minutes</w:t>
            </w:r>
          </w:p>
        </w:tc>
        <w:tc>
          <w:tcPr>
            <w:tcW w:type="dxa" w:w="3969"/>
          </w:tcPr>
          <w:p>
            <w:pPr>
              <w:jc w:val="center"/>
            </w:pPr>
            <w:r>
              <w:rPr>
                <w:rFonts w:ascii="Times New Roman" w:hAnsi="Times New Roman"/>
                <w:sz w:val="20"/>
              </w:rPr>
              <w:t>Fast mode</w:t>
            </w:r>
          </w:p>
        </w:tc>
      </w:tr>
      <w:tr>
        <w:tc>
          <w:tcPr>
            <w:tcW w:type="dxa" w:w="2835"/>
          </w:tcPr>
          <w:p>
            <w:pPr>
              <w:jc w:val="center"/>
            </w:pPr>
            <w:r>
              <w:rPr>
                <w:rFonts w:ascii="Times New Roman" w:hAnsi="Times New Roman"/>
                <w:sz w:val="20"/>
              </w:rPr>
              <w:t>SASB Evaluation (~77 clauses)</w:t>
            </w:r>
          </w:p>
        </w:tc>
        <w:tc>
          <w:tcPr>
            <w:tcW w:type="dxa" w:w="2268"/>
          </w:tcPr>
          <w:p>
            <w:pPr>
              <w:jc w:val="center"/>
            </w:pPr>
            <w:r>
              <w:rPr>
                <w:rFonts w:ascii="Times New Roman" w:hAnsi="Times New Roman"/>
                <w:sz w:val="20"/>
              </w:rPr>
              <w:t>2–4 minutes</w:t>
            </w:r>
          </w:p>
        </w:tc>
        <w:tc>
          <w:tcPr>
            <w:tcW w:type="dxa" w:w="3969"/>
          </w:tcPr>
          <w:p>
            <w:pPr>
              <w:jc w:val="center"/>
            </w:pPr>
            <w:r>
              <w:rPr>
                <w:rFonts w:ascii="Times New Roman" w:hAnsi="Times New Roman"/>
                <w:sz w:val="20"/>
              </w:rPr>
              <w:t>Fast mode</w:t>
            </w:r>
          </w:p>
        </w:tc>
      </w:tr>
      <w:tr>
        <w:tc>
          <w:tcPr>
            <w:tcW w:type="dxa" w:w="2835"/>
          </w:tcPr>
          <w:p>
            <w:pPr>
              <w:jc w:val="center"/>
            </w:pPr>
            <w:r>
              <w:rPr>
                <w:rFonts w:ascii="Times New Roman" w:hAnsi="Times New Roman"/>
                <w:sz w:val="20"/>
              </w:rPr>
              <w:t>Agentic Mode (per clause)</w:t>
            </w:r>
          </w:p>
        </w:tc>
        <w:tc>
          <w:tcPr>
            <w:tcW w:type="dxa" w:w="2268"/>
          </w:tcPr>
          <w:p>
            <w:pPr>
              <w:jc w:val="center"/>
            </w:pPr>
            <w:r>
              <w:rPr>
                <w:rFonts w:ascii="Times New Roman" w:hAnsi="Times New Roman"/>
                <w:sz w:val="20"/>
              </w:rPr>
              <w:t>+2–3 seconds</w:t>
            </w:r>
          </w:p>
        </w:tc>
        <w:tc>
          <w:tcPr>
            <w:tcW w:type="dxa" w:w="3969"/>
          </w:tcPr>
          <w:p>
            <w:pPr>
              <w:jc w:val="center"/>
            </w:pPr>
            <w:r>
              <w:rPr>
                <w:rFonts w:ascii="Times New Roman" w:hAnsi="Times New Roman"/>
                <w:sz w:val="20"/>
              </w:rPr>
              <w:t>2–3 LLM calls vs 1 in fast mode</w:t>
            </w:r>
          </w:p>
        </w:tc>
      </w:tr>
      <w:tr>
        <w:tc>
          <w:tcPr>
            <w:tcW w:type="dxa" w:w="2835"/>
          </w:tcPr>
          <w:p>
            <w:pPr>
              <w:jc w:val="center"/>
            </w:pPr>
            <w:r>
              <w:rPr>
                <w:rFonts w:ascii="Times New Roman" w:hAnsi="Times New Roman"/>
                <w:sz w:val="20"/>
              </w:rPr>
              <w:t>Human Verification</w:t>
            </w:r>
          </w:p>
        </w:tc>
        <w:tc>
          <w:tcPr>
            <w:tcW w:type="dxa" w:w="2268"/>
          </w:tcPr>
          <w:p>
            <w:pPr>
              <w:jc w:val="center"/>
            </w:pPr>
            <w:r>
              <w:rPr>
                <w:rFonts w:ascii="Times New Roman" w:hAnsi="Times New Roman"/>
                <w:sz w:val="20"/>
              </w:rPr>
              <w:t>~22–28% of clauses flagged</w:t>
            </w:r>
          </w:p>
        </w:tc>
        <w:tc>
          <w:tcPr>
            <w:tcW w:type="dxa" w:w="3969"/>
          </w:tcPr>
          <w:p>
            <w:pPr>
              <w:jc w:val="center"/>
            </w:pPr>
            <w:r>
              <w:rPr>
                <w:rFonts w:ascii="Times New Roman" w:hAnsi="Times New Roman"/>
                <w:sz w:val="20"/>
              </w:rPr>
              <w:t>Reduces manual effort by 70–80%</w:t>
            </w:r>
          </w:p>
        </w:tc>
      </w:tr>
    </w:tbl>
    <w:p>
      <w:pPr>
        <w:spacing w:line="360" w:lineRule="auto"/>
      </w:pPr>
    </w:p>
    <w:p>
      <w:pPr>
        <w:spacing w:after="120" w:line="360" w:lineRule="auto"/>
        <w:jc w:val="center"/>
      </w:pPr>
      <w:r>
        <w:rPr>
          <w:rFonts w:ascii="Times New Roman" w:hAnsi="Times New Roman"/>
          <w:b/>
          <w:i w:val="0"/>
          <w:sz w:val="24"/>
        </w:rPr>
        <w:t>Table 9: Processing Performance Benchmarks</w:t>
      </w:r>
    </w:p>
    <w:tbl>
      <w:tblPr>
        <w:tblStyle w:val="TableGrid"/>
        <w:tblW w:type="auto" w:w="0"/>
        <w:jc w:val="center"/>
        <w:tblLook w:firstColumn="1" w:firstRow="1" w:lastColumn="0" w:lastRow="0" w:noHBand="0" w:noVBand="1" w:val="04A0"/>
      </w:tblPr>
      <w:tblGrid>
        <w:gridCol w:w="4323"/>
        <w:gridCol w:w="4323"/>
      </w:tblGrid>
      <w:tr>
        <w:tc>
          <w:tcPr>
            <w:tcW w:type="dxa" w:w="5102"/>
            <w:shd w:fill="D9E2F3"/>
          </w:tcPr>
          <w:p>
            <w:pPr>
              <w:jc w:val="center"/>
            </w:pPr>
            <w:r>
              <w:rPr>
                <w:rFonts w:ascii="Times New Roman" w:hAnsi="Times New Roman"/>
                <w:b/>
                <w:sz w:val="20"/>
              </w:rPr>
              <w:t>Feature</w:t>
            </w:r>
          </w:p>
        </w:tc>
        <w:tc>
          <w:tcPr>
            <w:tcW w:type="dxa" w:w="2268"/>
            <w:shd w:fill="D9E2F3"/>
          </w:tcPr>
          <w:p>
            <w:pPr>
              <w:jc w:val="center"/>
            </w:pPr>
            <w:r>
              <w:rPr>
                <w:rFonts w:ascii="Times New Roman" w:hAnsi="Times New Roman"/>
                <w:b/>
                <w:sz w:val="20"/>
              </w:rPr>
              <w:t>Status</w:t>
            </w:r>
          </w:p>
        </w:tc>
      </w:tr>
      <w:tr>
        <w:tc>
          <w:tcPr>
            <w:tcW w:type="dxa" w:w="5102"/>
          </w:tcPr>
          <w:p>
            <w:pPr>
              <w:jc w:val="center"/>
            </w:pPr>
            <w:r>
              <w:rPr>
                <w:rFonts w:ascii="Times New Roman" w:hAnsi="Times New Roman"/>
                <w:sz w:val="20"/>
              </w:rPr>
              <w:t>Document Upload &amp; Processing</w:t>
            </w:r>
          </w:p>
        </w:tc>
        <w:tc>
          <w:tcPr>
            <w:tcW w:type="dxa" w:w="2268"/>
          </w:tcPr>
          <w:p>
            <w:pPr>
              <w:jc w:val="center"/>
            </w:pPr>
            <w:r>
              <w:rPr>
                <w:rFonts w:ascii="Times New Roman" w:hAnsi="Times New Roman"/>
                <w:sz w:val="20"/>
              </w:rPr>
              <w:t>Completed</w:t>
            </w:r>
          </w:p>
        </w:tc>
      </w:tr>
      <w:tr>
        <w:tc>
          <w:tcPr>
            <w:tcW w:type="dxa" w:w="5102"/>
          </w:tcPr>
          <w:p>
            <w:pPr>
              <w:jc w:val="center"/>
            </w:pPr>
            <w:r>
              <w:rPr>
                <w:rFonts w:ascii="Times New Roman" w:hAnsi="Times New Roman"/>
                <w:sz w:val="20"/>
              </w:rPr>
              <w:t>BRSR Evaluation (265 clauses)</w:t>
            </w:r>
          </w:p>
        </w:tc>
        <w:tc>
          <w:tcPr>
            <w:tcW w:type="dxa" w:w="2268"/>
          </w:tcPr>
          <w:p>
            <w:pPr>
              <w:jc w:val="center"/>
            </w:pPr>
            <w:r>
              <w:rPr>
                <w:rFonts w:ascii="Times New Roman" w:hAnsi="Times New Roman"/>
                <w:sz w:val="20"/>
              </w:rPr>
              <w:t>Completed</w:t>
            </w:r>
          </w:p>
        </w:tc>
      </w:tr>
      <w:tr>
        <w:tc>
          <w:tcPr>
            <w:tcW w:type="dxa" w:w="5102"/>
          </w:tcPr>
          <w:p>
            <w:pPr>
              <w:jc w:val="center"/>
            </w:pPr>
            <w:r>
              <w:rPr>
                <w:rFonts w:ascii="Times New Roman" w:hAnsi="Times New Roman"/>
                <w:sz w:val="20"/>
              </w:rPr>
              <w:t>GRI Evaluation (40–150+ clauses)</w:t>
            </w:r>
          </w:p>
        </w:tc>
        <w:tc>
          <w:tcPr>
            <w:tcW w:type="dxa" w:w="2268"/>
          </w:tcPr>
          <w:p>
            <w:pPr>
              <w:jc w:val="center"/>
            </w:pPr>
            <w:r>
              <w:rPr>
                <w:rFonts w:ascii="Times New Roman" w:hAnsi="Times New Roman"/>
                <w:sz w:val="20"/>
              </w:rPr>
              <w:t>Completed</w:t>
            </w:r>
          </w:p>
        </w:tc>
      </w:tr>
      <w:tr>
        <w:tc>
          <w:tcPr>
            <w:tcW w:type="dxa" w:w="5102"/>
          </w:tcPr>
          <w:p>
            <w:pPr>
              <w:jc w:val="center"/>
            </w:pPr>
            <w:r>
              <w:rPr>
                <w:rFonts w:ascii="Times New Roman" w:hAnsi="Times New Roman"/>
                <w:sz w:val="20"/>
              </w:rPr>
              <w:t>TCFD Evaluation (~30 clauses)</w:t>
            </w:r>
          </w:p>
        </w:tc>
        <w:tc>
          <w:tcPr>
            <w:tcW w:type="dxa" w:w="2268"/>
          </w:tcPr>
          <w:p>
            <w:pPr>
              <w:jc w:val="center"/>
            </w:pPr>
            <w:r>
              <w:rPr>
                <w:rFonts w:ascii="Times New Roman" w:hAnsi="Times New Roman"/>
                <w:sz w:val="20"/>
              </w:rPr>
              <w:t>Completed</w:t>
            </w:r>
          </w:p>
        </w:tc>
      </w:tr>
      <w:tr>
        <w:tc>
          <w:tcPr>
            <w:tcW w:type="dxa" w:w="5102"/>
          </w:tcPr>
          <w:p>
            <w:pPr>
              <w:jc w:val="center"/>
            </w:pPr>
            <w:r>
              <w:rPr>
                <w:rFonts w:ascii="Times New Roman" w:hAnsi="Times New Roman"/>
                <w:sz w:val="20"/>
              </w:rPr>
              <w:t>SASB Evaluation (~77 clauses per sector)</w:t>
            </w:r>
          </w:p>
        </w:tc>
        <w:tc>
          <w:tcPr>
            <w:tcW w:type="dxa" w:w="2268"/>
          </w:tcPr>
          <w:p>
            <w:pPr>
              <w:jc w:val="center"/>
            </w:pPr>
            <w:r>
              <w:rPr>
                <w:rFonts w:ascii="Times New Roman" w:hAnsi="Times New Roman"/>
                <w:sz w:val="20"/>
              </w:rPr>
              <w:t>Completed</w:t>
            </w:r>
          </w:p>
        </w:tc>
      </w:tr>
      <w:tr>
        <w:tc>
          <w:tcPr>
            <w:tcW w:type="dxa" w:w="5102"/>
          </w:tcPr>
          <w:p>
            <w:pPr>
              <w:jc w:val="center"/>
            </w:pPr>
            <w:r>
              <w:rPr>
                <w:rFonts w:ascii="Times New Roman" w:hAnsi="Times New Roman"/>
                <w:sz w:val="20"/>
              </w:rPr>
              <w:t>Human Verification Dashboard</w:t>
            </w:r>
          </w:p>
        </w:tc>
        <w:tc>
          <w:tcPr>
            <w:tcW w:type="dxa" w:w="2268"/>
          </w:tcPr>
          <w:p>
            <w:pPr>
              <w:jc w:val="center"/>
            </w:pPr>
            <w:r>
              <w:rPr>
                <w:rFonts w:ascii="Times New Roman" w:hAnsi="Times New Roman"/>
                <w:sz w:val="20"/>
              </w:rPr>
              <w:t>Completed</w:t>
            </w:r>
          </w:p>
        </w:tc>
      </w:tr>
      <w:tr>
        <w:tc>
          <w:tcPr>
            <w:tcW w:type="dxa" w:w="5102"/>
          </w:tcPr>
          <w:p>
            <w:pPr>
              <w:jc w:val="center"/>
            </w:pPr>
            <w:r>
              <w:rPr>
                <w:rFonts w:ascii="Times New Roman" w:hAnsi="Times New Roman"/>
                <w:sz w:val="20"/>
              </w:rPr>
              <w:t>Ground Truth Accuracy Metrics</w:t>
            </w:r>
          </w:p>
        </w:tc>
        <w:tc>
          <w:tcPr>
            <w:tcW w:type="dxa" w:w="2268"/>
          </w:tcPr>
          <w:p>
            <w:pPr>
              <w:jc w:val="center"/>
            </w:pPr>
            <w:r>
              <w:rPr>
                <w:rFonts w:ascii="Times New Roman" w:hAnsi="Times New Roman"/>
                <w:sz w:val="20"/>
              </w:rPr>
              <w:t>Completed</w:t>
            </w:r>
          </w:p>
        </w:tc>
      </w:tr>
      <w:tr>
        <w:tc>
          <w:tcPr>
            <w:tcW w:type="dxa" w:w="5102"/>
          </w:tcPr>
          <w:p>
            <w:pPr>
              <w:jc w:val="center"/>
            </w:pPr>
            <w:r>
              <w:rPr>
                <w:rFonts w:ascii="Times New Roman" w:hAnsi="Times New Roman"/>
                <w:sz w:val="20"/>
              </w:rPr>
              <w:t>Report Management &amp; Persistence</w:t>
            </w:r>
          </w:p>
        </w:tc>
        <w:tc>
          <w:tcPr>
            <w:tcW w:type="dxa" w:w="2268"/>
          </w:tcPr>
          <w:p>
            <w:pPr>
              <w:jc w:val="center"/>
            </w:pPr>
            <w:r>
              <w:rPr>
                <w:rFonts w:ascii="Times New Roman" w:hAnsi="Times New Roman"/>
                <w:sz w:val="20"/>
              </w:rPr>
              <w:t>Completed</w:t>
            </w:r>
          </w:p>
        </w:tc>
      </w:tr>
      <w:tr>
        <w:tc>
          <w:tcPr>
            <w:tcW w:type="dxa" w:w="5102"/>
          </w:tcPr>
          <w:p>
            <w:pPr>
              <w:jc w:val="center"/>
            </w:pPr>
            <w:r>
              <w:rPr>
                <w:rFonts w:ascii="Times New Roman" w:hAnsi="Times New Roman"/>
                <w:sz w:val="20"/>
              </w:rPr>
              <w:t>Analytics Dashboard</w:t>
            </w:r>
          </w:p>
        </w:tc>
        <w:tc>
          <w:tcPr>
            <w:tcW w:type="dxa" w:w="2268"/>
          </w:tcPr>
          <w:p>
            <w:pPr>
              <w:jc w:val="center"/>
            </w:pPr>
            <w:r>
              <w:rPr>
                <w:rFonts w:ascii="Times New Roman" w:hAnsi="Times New Roman"/>
                <w:sz w:val="20"/>
              </w:rPr>
              <w:t>Completed</w:t>
            </w:r>
          </w:p>
        </w:tc>
      </w:tr>
      <w:tr>
        <w:tc>
          <w:tcPr>
            <w:tcW w:type="dxa" w:w="5102"/>
          </w:tcPr>
          <w:p>
            <w:pPr>
              <w:jc w:val="center"/>
            </w:pPr>
            <w:r>
              <w:rPr>
                <w:rFonts w:ascii="Times New Roman" w:hAnsi="Times New Roman"/>
                <w:sz w:val="20"/>
              </w:rPr>
              <w:t>Multi-Company Comparison</w:t>
            </w:r>
          </w:p>
        </w:tc>
        <w:tc>
          <w:tcPr>
            <w:tcW w:type="dxa" w:w="2268"/>
          </w:tcPr>
          <w:p>
            <w:pPr>
              <w:jc w:val="center"/>
            </w:pPr>
            <w:r>
              <w:rPr>
                <w:rFonts w:ascii="Times New Roman" w:hAnsi="Times New Roman"/>
                <w:sz w:val="20"/>
              </w:rPr>
              <w:t>Completed</w:t>
            </w:r>
          </w:p>
        </w:tc>
      </w:tr>
      <w:tr>
        <w:tc>
          <w:tcPr>
            <w:tcW w:type="dxa" w:w="5102"/>
          </w:tcPr>
          <w:p>
            <w:pPr>
              <w:jc w:val="center"/>
            </w:pPr>
            <w:r>
              <w:rPr>
                <w:rFonts w:ascii="Times New Roman" w:hAnsi="Times New Roman"/>
                <w:sz w:val="20"/>
              </w:rPr>
              <w:t>Agentic AI (CoT + Self-Reflection + Revision)</w:t>
            </w:r>
          </w:p>
        </w:tc>
        <w:tc>
          <w:tcPr>
            <w:tcW w:type="dxa" w:w="2268"/>
          </w:tcPr>
          <w:p>
            <w:pPr>
              <w:jc w:val="center"/>
            </w:pPr>
            <w:r>
              <w:rPr>
                <w:rFonts w:ascii="Times New Roman" w:hAnsi="Times New Roman"/>
                <w:sz w:val="20"/>
              </w:rPr>
              <w:t>Completed</w:t>
            </w:r>
          </w:p>
        </w:tc>
      </w:tr>
      <w:tr>
        <w:tc>
          <w:tcPr>
            <w:tcW w:type="dxa" w:w="5102"/>
          </w:tcPr>
          <w:p>
            <w:pPr>
              <w:jc w:val="center"/>
            </w:pPr>
            <w:r>
              <w:rPr>
                <w:rFonts w:ascii="Times New Roman" w:hAnsi="Times New Roman"/>
                <w:sz w:val="20"/>
              </w:rPr>
              <w:t>Framework-Specific Prompting (all 4)</w:t>
            </w:r>
          </w:p>
        </w:tc>
        <w:tc>
          <w:tcPr>
            <w:tcW w:type="dxa" w:w="2268"/>
          </w:tcPr>
          <w:p>
            <w:pPr>
              <w:jc w:val="center"/>
            </w:pPr>
            <w:r>
              <w:rPr>
                <w:rFonts w:ascii="Times New Roman" w:hAnsi="Times New Roman"/>
                <w:sz w:val="20"/>
              </w:rPr>
              <w:t>Completed</w:t>
            </w:r>
          </w:p>
        </w:tc>
      </w:tr>
      <w:tr>
        <w:tc>
          <w:tcPr>
            <w:tcW w:type="dxa" w:w="5102"/>
          </w:tcPr>
          <w:p>
            <w:pPr>
              <w:jc w:val="center"/>
            </w:pPr>
            <w:r>
              <w:rPr>
                <w:rFonts w:ascii="Times New Roman" w:hAnsi="Times New Roman"/>
                <w:sz w:val="20"/>
              </w:rPr>
              <w:t>Real-Time Streaming Evaluation (SSE)</w:t>
            </w:r>
          </w:p>
        </w:tc>
        <w:tc>
          <w:tcPr>
            <w:tcW w:type="dxa" w:w="2268"/>
          </w:tcPr>
          <w:p>
            <w:pPr>
              <w:jc w:val="center"/>
            </w:pPr>
            <w:r>
              <w:rPr>
                <w:rFonts w:ascii="Times New Roman" w:hAnsi="Times New Roman"/>
                <w:sz w:val="20"/>
              </w:rPr>
              <w:t>Completed</w:t>
            </w:r>
          </w:p>
        </w:tc>
      </w:tr>
      <w:tr>
        <w:tc>
          <w:tcPr>
            <w:tcW w:type="dxa" w:w="5102"/>
          </w:tcPr>
          <w:p>
            <w:pPr>
              <w:jc w:val="center"/>
            </w:pPr>
            <w:r>
              <w:rPr>
                <w:rFonts w:ascii="Times New Roman" w:hAnsi="Times New Roman"/>
                <w:sz w:val="20"/>
              </w:rPr>
              <w:t>RAG-Based Document Chat</w:t>
            </w:r>
          </w:p>
        </w:tc>
        <w:tc>
          <w:tcPr>
            <w:tcW w:type="dxa" w:w="2268"/>
          </w:tcPr>
          <w:p>
            <w:pPr>
              <w:jc w:val="center"/>
            </w:pPr>
            <w:r>
              <w:rPr>
                <w:rFonts w:ascii="Times New Roman" w:hAnsi="Times New Roman"/>
                <w:sz w:val="20"/>
              </w:rPr>
              <w:t>Completed</w:t>
            </w:r>
          </w:p>
        </w:tc>
      </w:tr>
      <w:tr>
        <w:tc>
          <w:tcPr>
            <w:tcW w:type="dxa" w:w="5102"/>
          </w:tcPr>
          <w:p>
            <w:pPr>
              <w:jc w:val="center"/>
            </w:pPr>
            <w:r>
              <w:rPr>
                <w:rFonts w:ascii="Times New Roman" w:hAnsi="Times New Roman"/>
                <w:sz w:val="20"/>
              </w:rPr>
              <w:t>Gap Analysis / Executive Action Plan</w:t>
            </w:r>
          </w:p>
        </w:tc>
        <w:tc>
          <w:tcPr>
            <w:tcW w:type="dxa" w:w="2268"/>
          </w:tcPr>
          <w:p>
            <w:pPr>
              <w:jc w:val="center"/>
            </w:pPr>
            <w:r>
              <w:rPr>
                <w:rFonts w:ascii="Times New Roman" w:hAnsi="Times New Roman"/>
                <w:sz w:val="20"/>
              </w:rPr>
              <w:t>Completed</w:t>
            </w:r>
          </w:p>
        </w:tc>
      </w:tr>
      <w:tr>
        <w:tc>
          <w:tcPr>
            <w:tcW w:type="dxa" w:w="5102"/>
          </w:tcPr>
          <w:p>
            <w:pPr>
              <w:jc w:val="center"/>
            </w:pPr>
            <w:r>
              <w:rPr>
                <w:rFonts w:ascii="Times New Roman" w:hAnsi="Times New Roman"/>
                <w:sz w:val="20"/>
              </w:rPr>
              <w:t>PDF Report Export (Compliance + Action Plan)</w:t>
            </w:r>
          </w:p>
        </w:tc>
        <w:tc>
          <w:tcPr>
            <w:tcW w:type="dxa" w:w="2268"/>
          </w:tcPr>
          <w:p>
            <w:pPr>
              <w:jc w:val="center"/>
            </w:pPr>
            <w:r>
              <w:rPr>
                <w:rFonts w:ascii="Times New Roman" w:hAnsi="Times New Roman"/>
                <w:sz w:val="20"/>
              </w:rPr>
              <w:t>Completed</w:t>
            </w:r>
          </w:p>
        </w:tc>
      </w:tr>
      <w:tr>
        <w:tc>
          <w:tcPr>
            <w:tcW w:type="dxa" w:w="5102"/>
          </w:tcPr>
          <w:p>
            <w:pPr>
              <w:jc w:val="center"/>
            </w:pPr>
            <w:r>
              <w:rPr>
                <w:rFonts w:ascii="Times New Roman" w:hAnsi="Times New Roman"/>
                <w:sz w:val="20"/>
              </w:rPr>
              <w:t>Agentic Reasoning Visualization (Timeline UI)</w:t>
            </w:r>
          </w:p>
        </w:tc>
        <w:tc>
          <w:tcPr>
            <w:tcW w:type="dxa" w:w="2268"/>
          </w:tcPr>
          <w:p>
            <w:pPr>
              <w:jc w:val="center"/>
            </w:pPr>
            <w:r>
              <w:rPr>
                <w:rFonts w:ascii="Times New Roman" w:hAnsi="Times New Roman"/>
                <w:sz w:val="20"/>
              </w:rPr>
              <w:t>Completed</w:t>
            </w:r>
          </w:p>
        </w:tc>
      </w:tr>
      <w:tr>
        <w:tc>
          <w:tcPr>
            <w:tcW w:type="dxa" w:w="5102"/>
          </w:tcPr>
          <w:p>
            <w:pPr>
              <w:jc w:val="center"/>
            </w:pPr>
            <w:r>
              <w:rPr>
                <w:rFonts w:ascii="Times New Roman" w:hAnsi="Times New Roman"/>
                <w:sz w:val="20"/>
              </w:rPr>
              <w:t>Two-Company Comparison Dashboard</w:t>
            </w:r>
          </w:p>
        </w:tc>
        <w:tc>
          <w:tcPr>
            <w:tcW w:type="dxa" w:w="2268"/>
          </w:tcPr>
          <w:p>
            <w:pPr>
              <w:jc w:val="center"/>
            </w:pPr>
            <w:r>
              <w:rPr>
                <w:rFonts w:ascii="Times New Roman" w:hAnsi="Times New Roman"/>
                <w:sz w:val="20"/>
              </w:rPr>
              <w:t>Completed</w:t>
            </w:r>
          </w:p>
        </w:tc>
      </w:tr>
      <w:tr>
        <w:tc>
          <w:tcPr>
            <w:tcW w:type="dxa" w:w="5102"/>
          </w:tcPr>
          <w:p>
            <w:pPr>
              <w:jc w:val="center"/>
            </w:pPr>
            <w:r>
              <w:rPr>
                <w:rFonts w:ascii="Times New Roman" w:hAnsi="Times New Roman"/>
                <w:sz w:val="20"/>
              </w:rPr>
              <w:t>Report Deletion with Cleanup</w:t>
            </w:r>
          </w:p>
        </w:tc>
        <w:tc>
          <w:tcPr>
            <w:tcW w:type="dxa" w:w="2268"/>
          </w:tcPr>
          <w:p>
            <w:pPr>
              <w:jc w:val="center"/>
            </w:pPr>
            <w:r>
              <w:rPr>
                <w:rFonts w:ascii="Times New Roman" w:hAnsi="Times New Roman"/>
                <w:sz w:val="20"/>
              </w:rPr>
              <w:t>Completed</w:t>
            </w:r>
          </w:p>
        </w:tc>
      </w:tr>
      <w:tr>
        <w:tc>
          <w:tcPr>
            <w:tcW w:type="dxa" w:w="5102"/>
          </w:tcPr>
          <w:p>
            <w:pPr>
              <w:jc w:val="center"/>
            </w:pPr>
            <w:r>
              <w:rPr>
                <w:rFonts w:ascii="Times New Roman" w:hAnsi="Times New Roman"/>
                <w:sz w:val="20"/>
              </w:rPr>
              <w:t>Source Evidence Preview with Page Navigation</w:t>
            </w:r>
          </w:p>
        </w:tc>
        <w:tc>
          <w:tcPr>
            <w:tcW w:type="dxa" w:w="2268"/>
          </w:tcPr>
          <w:p>
            <w:pPr>
              <w:jc w:val="center"/>
            </w:pPr>
            <w:r>
              <w:rPr>
                <w:rFonts w:ascii="Times New Roman" w:hAnsi="Times New Roman"/>
                <w:sz w:val="20"/>
              </w:rPr>
              <w:t>Completed</w:t>
            </w:r>
          </w:p>
        </w:tc>
      </w:tr>
    </w:tbl>
    <w:p>
      <w:pPr>
        <w:spacing w:line="360" w:lineRule="auto"/>
      </w:pPr>
    </w:p>
    <w:p>
      <w:pPr>
        <w:spacing w:after="120" w:line="360" w:lineRule="auto"/>
        <w:jc w:val="center"/>
      </w:pPr>
      <w:r>
        <w:rPr>
          <w:rFonts w:ascii="Times New Roman" w:hAnsi="Times New Roman"/>
          <w:b/>
          <w:i w:val="0"/>
          <w:sz w:val="24"/>
        </w:rPr>
        <w:t>Table 10: Feature Completion Summary</w:t>
      </w:r>
    </w:p>
    <w:p>
      <w:pPr>
        <w:spacing w:line="360" w:lineRule="auto"/>
      </w:pPr>
      <w:r>
        <w:rPr>
          <w:rFonts w:ascii="Times New Roman" w:hAnsi="Times New Roman"/>
          <w:sz w:val="24"/>
        </w:rPr>
        <w:br w:type="page"/>
      </w:r>
    </w:p>
    <w:p>
      <w:pPr>
        <w:spacing w:line="360" w:lineRule="auto"/>
      </w:pPr>
    </w:p>
    <w:p>
      <w:pPr>
        <w:spacing w:after="120" w:line="360" w:lineRule="auto"/>
        <w:jc w:val="center"/>
      </w:pPr>
      <w:r>
        <w:rPr>
          <w:rFonts w:ascii="Times New Roman" w:hAnsi="Times New Roman"/>
          <w:b w:val="0"/>
          <w:i w:val="0"/>
          <w:sz w:val="24"/>
        </w:rPr>
        <w:t xml:space="preserve">In summary, this chapter presented the evaluation results demonstrating ESG Buddy’s effectiveness across all four ESG frameworks. The system achieved overall LLM F1 Score of 82.9% and Status Match Accuracy of 80.7%, with the agentic pipeline providing measurable improvements in edge cases. The 20 implemented features, all marked as completed, represent a comprehensive compliance evaluation platform. The following chapter discusses the advantages, limitations, and applications.</w:t>
      </w:r>
    </w:p>
    <w:p>
      <w:pPr>
        <w:pStyle w:val="Heading1"/>
        <w:spacing w:line="360" w:lineRule="auto"/>
        <w:jc w:val="center"/>
      </w:pPr>
      <w:r>
        <w:rPr>
          <w:rFonts w:ascii="Times New Roman" w:hAnsi="Times New Roman"/>
          <w:b/>
          <w:color w:val="000000"/>
          <w:sz w:val="36"/>
        </w:rPr>
        <w:t>Chapter 5</w:t>
      </w:r>
    </w:p>
    <w:p>
      <w:pPr>
        <w:pStyle w:val="Heading1"/>
        <w:spacing w:line="360" w:lineRule="auto"/>
        <w:jc w:val="center"/>
      </w:pPr>
      <w:r>
        <w:rPr>
          <w:rFonts w:ascii="Times New Roman" w:hAnsi="Times New Roman"/>
          <w:b/>
          <w:color w:val="000000"/>
          <w:sz w:val="36"/>
        </w:rPr>
        <w:t>Advantages, Limitations and Applications</w:t>
      </w:r>
    </w:p>
    <w:p>
      <w:pPr>
        <w:pStyle w:val="Heading2"/>
        <w:spacing w:line="360" w:lineRule="auto"/>
        <w:jc w:val="left"/>
      </w:pPr>
      <w:r>
        <w:rPr>
          <w:rFonts w:ascii="Times New Roman" w:hAnsi="Times New Roman"/>
          <w:b/>
          <w:color w:val="000000"/>
          <w:sz w:val="28"/>
        </w:rPr>
        <w:t>5.1 Advantages</w:t>
      </w:r>
    </w:p>
    <w:p>
      <w:pPr>
        <w:spacing w:after="120" w:line="360" w:lineRule="auto"/>
        <w:jc w:val="both"/>
      </w:pPr>
      <w:r>
        <w:rPr>
          <w:rFonts w:ascii="Times New Roman" w:hAnsi="Times New Roman"/>
          <w:b/>
          <w:i w:val="0"/>
          <w:sz w:val="24"/>
        </w:rPr>
        <w:t xml:space="preserve">Speed. </w:t>
      </w:r>
      <w:r>
        <w:rPr>
          <w:rFonts w:ascii="Times New Roman" w:hAnsi="Times New Roman"/>
          <w:b w:val="0"/>
          <w:i w:val="0"/>
          <w:sz w:val="24"/>
        </w:rPr>
        <w:t>Evaluates 265 BRSR clauses in 5–10 minutes versus 3–5 days manually—a 95%+ reduction in review time. A full four-framework evaluation across BRSR, GRI, TCFD, and SASB can be completed in under 20 minutes.</w:t>
      </w:r>
    </w:p>
    <w:p>
      <w:pPr>
        <w:spacing w:after="120" w:line="360" w:lineRule="auto"/>
        <w:jc w:val="both"/>
      </w:pPr>
      <w:r>
        <w:rPr>
          <w:rFonts w:ascii="Times New Roman" w:hAnsi="Times New Roman"/>
          <w:b/>
          <w:i w:val="0"/>
          <w:sz w:val="24"/>
        </w:rPr>
        <w:t xml:space="preserve">Consistency. </w:t>
      </w:r>
      <w:r>
        <w:rPr>
          <w:rFonts w:ascii="Times New Roman" w:hAnsi="Times New Roman"/>
          <w:b w:val="0"/>
          <w:i w:val="0"/>
          <w:sz w:val="24"/>
        </w:rPr>
        <w:t>Applies identical evaluation criteria to every clause, company, and run. Framework-specific prompts ensure standardized, reproducible assessments. Unlike human reviewers, the system does not suffer from fatigue or subjective interpretation drift.</w:t>
      </w:r>
    </w:p>
    <w:p>
      <w:pPr>
        <w:spacing w:after="120" w:line="360" w:lineRule="auto"/>
        <w:jc w:val="both"/>
      </w:pPr>
      <w:r>
        <w:rPr>
          <w:rFonts w:ascii="Times New Roman" w:hAnsi="Times New Roman"/>
          <w:b/>
          <w:i w:val="0"/>
          <w:sz w:val="24"/>
        </w:rPr>
        <w:t xml:space="preserve">Transparency. </w:t>
      </w:r>
      <w:r>
        <w:rPr>
          <w:rFonts w:ascii="Times New Roman" w:hAnsi="Times New Roman"/>
          <w:b w:val="0"/>
          <w:i w:val="0"/>
          <w:sz w:val="24"/>
        </w:rPr>
        <w:t>Every classification includes retrieved evidence with page numbers and similarity scores, chain-of-thought analysis, self-reflection notes, and detailed explanations—providing a complete audit trail that surpasses the documentation typically produced in manual reviews.</w:t>
      </w:r>
    </w:p>
    <w:p>
      <w:pPr>
        <w:spacing w:after="120" w:line="360" w:lineRule="auto"/>
        <w:jc w:val="both"/>
      </w:pPr>
      <w:r>
        <w:rPr>
          <w:rFonts w:ascii="Times New Roman" w:hAnsi="Times New Roman"/>
          <w:b/>
          <w:i w:val="0"/>
          <w:sz w:val="24"/>
        </w:rPr>
        <w:t xml:space="preserve">Scalability. </w:t>
      </w:r>
      <w:r>
        <w:rPr>
          <w:rFonts w:ascii="Times New Roman" w:hAnsi="Times New Roman"/>
          <w:b w:val="0"/>
          <w:i w:val="0"/>
          <w:sz w:val="24"/>
        </w:rPr>
        <w:t>Adding new companies requires only uploading their PDF. The system can evaluate hundreds of companies across multiple frameworks without additional configuration. Configurable GRI scope balances depth with processing time.</w:t>
      </w:r>
    </w:p>
    <w:p>
      <w:pPr>
        <w:spacing w:after="120" w:line="360" w:lineRule="auto"/>
        <w:jc w:val="both"/>
      </w:pPr>
      <w:r>
        <w:rPr>
          <w:rFonts w:ascii="Times New Roman" w:hAnsi="Times New Roman"/>
          <w:b/>
          <w:i w:val="0"/>
          <w:sz w:val="24"/>
        </w:rPr>
        <w:t xml:space="preserve">Human-in-the-Loop. </w:t>
      </w:r>
      <w:r>
        <w:rPr>
          <w:rFonts w:ascii="Times New Roman" w:hAnsi="Times New Roman"/>
          <w:b w:val="0"/>
          <w:i w:val="0"/>
          <w:sz w:val="24"/>
        </w:rPr>
        <w:t>Focuses expert attention on genuinely ambiguous cases (22–28% of clauses) rather than requiring full manual review of all clauses, reducing workload by 70–80% while maintaining quality.</w:t>
      </w:r>
    </w:p>
    <w:p>
      <w:pPr>
        <w:spacing w:after="120" w:line="360" w:lineRule="auto"/>
        <w:jc w:val="both"/>
      </w:pPr>
      <w:r>
        <w:rPr>
          <w:rFonts w:ascii="Times New Roman" w:hAnsi="Times New Roman"/>
          <w:b/>
          <w:i w:val="0"/>
          <w:sz w:val="24"/>
        </w:rPr>
        <w:t xml:space="preserve">Measurable Accuracy. </w:t>
      </w:r>
      <w:r>
        <w:rPr>
          <w:rFonts w:ascii="Times New Roman" w:hAnsi="Times New Roman"/>
          <w:b w:val="0"/>
          <w:i w:val="0"/>
          <w:sz w:val="24"/>
        </w:rPr>
        <w:t>Ground truth benchmarking provides objective Precision, Recall, F1, and Status Match Accuracy metrics—absent in traditional manual review where inter-annotator agreement is rarely measured.</w:t>
      </w:r>
    </w:p>
    <w:p>
      <w:pPr>
        <w:spacing w:after="120" w:line="360" w:lineRule="auto"/>
        <w:jc w:val="both"/>
      </w:pPr>
      <w:r>
        <w:rPr>
          <w:rFonts w:ascii="Times New Roman" w:hAnsi="Times New Roman"/>
          <w:b/>
          <w:i w:val="0"/>
          <w:sz w:val="24"/>
        </w:rPr>
        <w:t xml:space="preserve">Multi-Framework Coverage. </w:t>
      </w:r>
      <w:r>
        <w:rPr>
          <w:rFonts w:ascii="Times New Roman" w:hAnsi="Times New Roman"/>
          <w:b w:val="0"/>
          <w:i w:val="0"/>
          <w:sz w:val="24"/>
        </w:rPr>
        <w:t>Supports four major ESG frameworks (BRSR, GRI, TCFD, SASB) within a single system, eliminating the need for separate tools for each standard.</w:t>
      </w:r>
    </w:p>
    <w:p>
      <w:pPr>
        <w:spacing w:after="120" w:line="360" w:lineRule="auto"/>
        <w:jc w:val="both"/>
      </w:pPr>
      <w:r>
        <w:rPr>
          <w:rFonts w:ascii="Times New Roman" w:hAnsi="Times New Roman"/>
          <w:b/>
          <w:i w:val="0"/>
          <w:sz w:val="24"/>
        </w:rPr>
        <w:t xml:space="preserve">Real-Time Feedback. Server-Sent Events streaming provides immediate visual feedback during the evaluation process, eliminating the uncertainty of long-running background tasks. Users can monitor progress clause-by-clause and observe compliance status distribution evolving in real time.</w:t>
      </w:r>
    </w:p>
    <w:p>
      <w:pPr>
        <w:spacing w:after="120" w:line="360" w:lineRule="auto"/>
        <w:jc w:val="both"/>
      </w:pPr>
      <w:r>
        <w:rPr>
          <w:rFonts w:ascii="Times New Roman" w:hAnsi="Times New Roman"/>
          <w:b/>
          <w:i w:val="0"/>
          <w:sz w:val="24"/>
        </w:rPr>
        <w:t xml:space="preserve">Actionable Insights. The Gap Analysis module transforms raw compliance data into a prioritized executive action plan with effort-classified recommendations, enabling organizations to focus remediation resources on high-impact improvements rather than addressing gaps arbitrarily.</w:t>
      </w:r>
    </w:p>
    <w:p>
      <w:pPr>
        <w:spacing w:after="120" w:line="360" w:lineRule="auto"/>
        <w:jc w:val="both"/>
      </w:pPr>
      <w:r>
        <w:rPr>
          <w:rFonts w:ascii="Times New Roman" w:hAnsi="Times New Roman"/>
          <w:b/>
          <w:i w:val="0"/>
          <w:sz w:val="24"/>
        </w:rPr>
        <w:t xml:space="preserve">AI Transparency. The agentic reasoning timeline makes the AI’s decision-making process fully visible, rendering each analytical step, self-reflection, and revision as an interactive visual timeline. This transparency builds trust and enables auditors to validate AI judgments efficiently.</w:t>
      </w:r>
    </w:p>
    <w:p>
      <w:pPr>
        <w:spacing w:after="120" w:line="360" w:lineRule="auto"/>
        <w:jc w:val="both"/>
      </w:pPr>
      <w:r>
        <w:rPr>
          <w:rFonts w:ascii="Times New Roman" w:hAnsi="Times New Roman"/>
          <w:b/>
          <w:i w:val="0"/>
          <w:sz w:val="24"/>
        </w:rPr>
        <w:t xml:space="preserve">Document Intelligence. The RAG-based chat interface enables natural language interrogation of source sustainability reports, allowing compliance officers to quickly verify claims, investigate specific disclosures, and extract information without manually searching through lengthy PDFs.</w:t>
      </w:r>
    </w:p>
    <w:p>
      <w:pPr>
        <w:pStyle w:val="Heading2"/>
        <w:spacing w:line="360" w:lineRule="auto"/>
        <w:jc w:val="left"/>
      </w:pPr>
      <w:r>
        <w:rPr>
          <w:rFonts w:ascii="Times New Roman" w:hAnsi="Times New Roman"/>
          <w:b/>
          <w:color w:val="000000"/>
          <w:sz w:val="28"/>
        </w:rPr>
        <w:t>5.2 Limitations</w:t>
      </w:r>
    </w:p>
    <w:p>
      <w:pPr>
        <w:spacing w:after="120" w:line="360" w:lineRule="auto"/>
        <w:jc w:val="both"/>
      </w:pPr>
      <w:r>
        <w:rPr>
          <w:rFonts w:ascii="Times New Roman" w:hAnsi="Times New Roman"/>
          <w:b/>
          <w:i w:val="0"/>
          <w:sz w:val="24"/>
        </w:rPr>
        <w:t xml:space="preserve">API Dependency. </w:t>
      </w:r>
      <w:r>
        <w:rPr>
          <w:rFonts w:ascii="Times New Roman" w:hAnsi="Times New Roman"/>
          <w:b w:val="0"/>
          <w:i w:val="0"/>
          <w:sz w:val="24"/>
        </w:rPr>
        <w:t>Relies on OpenAI's cloud API for LLM inference and embedding generation, introducing dependencies on external service availability, cost structures, and potential model behavior changes across API versions.</w:t>
      </w:r>
    </w:p>
    <w:p>
      <w:pPr>
        <w:spacing w:after="120" w:line="360" w:lineRule="auto"/>
        <w:jc w:val="both"/>
      </w:pPr>
      <w:r>
        <w:rPr>
          <w:rFonts w:ascii="Times New Roman" w:hAnsi="Times New Roman"/>
          <w:b/>
          <w:i w:val="0"/>
          <w:sz w:val="24"/>
        </w:rPr>
        <w:t xml:space="preserve">Chunking Boundaries. </w:t>
      </w:r>
      <w:r>
        <w:rPr>
          <w:rFonts w:ascii="Times New Roman" w:hAnsi="Times New Roman"/>
          <w:b w:val="0"/>
          <w:i w:val="0"/>
          <w:sz w:val="24"/>
        </w:rPr>
        <w:t>The 512-token chunking strategy, while generally effective with 50-token overlap, may occasionally split semantically cohesive passages across chunk boundaries, particularly for long narrative disclosures spanning multiple pages.</w:t>
      </w:r>
    </w:p>
    <w:p>
      <w:pPr>
        <w:spacing w:after="120" w:line="360" w:lineRule="auto"/>
        <w:jc w:val="both"/>
      </w:pPr>
      <w:r>
        <w:rPr>
          <w:rFonts w:ascii="Times New Roman" w:hAnsi="Times New Roman"/>
          <w:b/>
          <w:i w:val="0"/>
          <w:sz w:val="24"/>
        </w:rPr>
        <w:t xml:space="preserve">Ground Truth Scale. </w:t>
      </w:r>
      <w:r>
        <w:rPr>
          <w:rFonts w:ascii="Times New Roman" w:hAnsi="Times New Roman"/>
          <w:b w:val="0"/>
          <w:i w:val="0"/>
          <w:sz w:val="24"/>
        </w:rPr>
        <w:t>Ground truth annotation, performed manually by the research team, is inherently labor-intensive. While 13 companies across 4 frameworks provides reasonable coverage, larger datasets would strengthen statistical significance.</w:t>
      </w:r>
    </w:p>
    <w:p>
      <w:pPr>
        <w:spacing w:after="120" w:line="360" w:lineRule="auto"/>
        <w:jc w:val="both"/>
      </w:pPr>
      <w:r>
        <w:rPr>
          <w:rFonts w:ascii="Times New Roman" w:hAnsi="Times New Roman"/>
          <w:b/>
          <w:i w:val="0"/>
          <w:sz w:val="24"/>
        </w:rPr>
        <w:t xml:space="preserve">Non-Determinism. </w:t>
      </w:r>
      <w:r>
        <w:rPr>
          <w:rFonts w:ascii="Times New Roman" w:hAnsi="Times New Roman"/>
          <w:b w:val="0"/>
          <w:i w:val="0"/>
          <w:sz w:val="24"/>
        </w:rPr>
        <w:t>The LLM evaluation temperature of 0.2, while low, introduces minor non-determinism that can produce marginally different results across repeated evaluations of the same clause.</w:t>
      </w:r>
    </w:p>
    <w:p>
      <w:pPr>
        <w:spacing w:after="120" w:line="360" w:lineRule="auto"/>
        <w:jc w:val="both"/>
      </w:pPr>
      <w:r>
        <w:rPr>
          <w:rFonts w:ascii="Times New Roman" w:hAnsi="Times New Roman"/>
          <w:b/>
          <w:i w:val="0"/>
          <w:sz w:val="24"/>
        </w:rPr>
        <w:t xml:space="preserve">Language Limitation. </w:t>
      </w:r>
      <w:r>
        <w:rPr>
          <w:rFonts w:ascii="Times New Roman" w:hAnsi="Times New Roman"/>
          <w:b w:val="0"/>
          <w:i w:val="0"/>
          <w:sz w:val="24"/>
        </w:rPr>
        <w:t>The current system is optimized for English-language PDF reports. Tables and charts within PDFs may not be fully captured during text extraction. Reports published in other languages are not currently supported.</w:t>
      </w:r>
    </w:p>
    <w:p>
      <w:pPr>
        <w:spacing w:after="120" w:line="360" w:lineRule="auto"/>
        <w:jc w:val="both"/>
      </w:pPr>
      <w:r>
        <w:rPr>
          <w:rFonts w:ascii="Times New Roman" w:hAnsi="Times New Roman"/>
          <w:b/>
          <w:i w:val="0"/>
          <w:sz w:val="24"/>
        </w:rPr>
        <w:t xml:space="preserve">Confidence Calibration. </w:t>
      </w:r>
      <w:r>
        <w:rPr>
          <w:rFonts w:ascii="Times New Roman" w:hAnsi="Times New Roman"/>
          <w:b w:val="0"/>
          <w:i w:val="0"/>
          <w:sz w:val="24"/>
        </w:rPr>
        <w:t>AI confidence scores, while improved through rule-based blending, may not perfectly correlate with actual accuracy and require ongoing tuning as more ground truth data becomes available.</w:t>
      </w:r>
    </w:p>
    <w:p>
      <w:pPr>
        <w:pStyle w:val="Heading2"/>
        <w:spacing w:line="360" w:lineRule="auto"/>
        <w:jc w:val="left"/>
      </w:pPr>
      <w:r>
        <w:rPr>
          <w:rFonts w:ascii="Times New Roman" w:hAnsi="Times New Roman"/>
          <w:b/>
          <w:color w:val="000000"/>
          <w:sz w:val="28"/>
        </w:rPr>
        <w:t>5.3 Applications</w:t>
      </w:r>
    </w:p>
    <w:p>
      <w:pPr>
        <w:spacing w:after="120" w:line="360" w:lineRule="auto"/>
        <w:jc w:val="both"/>
      </w:pPr>
      <w:r>
        <w:rPr>
          <w:rFonts w:ascii="Times New Roman" w:hAnsi="Times New Roman"/>
          <w:b/>
          <w:i w:val="0"/>
          <w:sz w:val="24"/>
        </w:rPr>
        <w:t xml:space="preserve">Investment Management. </w:t>
      </w:r>
      <w:r>
        <w:rPr>
          <w:rFonts w:ascii="Times New Roman" w:hAnsi="Times New Roman"/>
          <w:b w:val="0"/>
          <w:i w:val="0"/>
          <w:sz w:val="24"/>
        </w:rPr>
        <w:t>Rapid ESG due diligence on portfolio companies, enabling ESG factor integration into investment decisions. Fund managers can evaluate hundreds of companies across multiple frameworks in a fraction of the time required for manual review.</w:t>
      </w:r>
    </w:p>
    <w:p>
      <w:pPr>
        <w:spacing w:after="120" w:line="360" w:lineRule="auto"/>
        <w:jc w:val="both"/>
      </w:pPr>
      <w:r>
        <w:rPr>
          <w:rFonts w:ascii="Times New Roman" w:hAnsi="Times New Roman"/>
          <w:b/>
          <w:i w:val="0"/>
          <w:sz w:val="24"/>
        </w:rPr>
        <w:t xml:space="preserve">Corporate Compliance. </w:t>
      </w:r>
      <w:r>
        <w:rPr>
          <w:rFonts w:ascii="Times New Roman" w:hAnsi="Times New Roman"/>
          <w:b w:val="0"/>
          <w:i w:val="0"/>
          <w:sz w:val="24"/>
        </w:rPr>
        <w:t>Self-assessment tool for companies preparing BRSR, GRI, TCFD, or SASB reports. The system identifies disclosure gaps before submission, allowing compliance teams to address deficiencies proactively.</w:t>
      </w:r>
    </w:p>
    <w:p>
      <w:pPr>
        <w:spacing w:after="120" w:line="360" w:lineRule="auto"/>
        <w:jc w:val="both"/>
      </w:pPr>
      <w:r>
        <w:rPr>
          <w:rFonts w:ascii="Times New Roman" w:hAnsi="Times New Roman"/>
          <w:b/>
          <w:i w:val="0"/>
          <w:sz w:val="24"/>
        </w:rPr>
        <w:t xml:space="preserve">Audit and Assurance. </w:t>
      </w:r>
      <w:r>
        <w:rPr>
          <w:rFonts w:ascii="Times New Roman" w:hAnsi="Times New Roman"/>
          <w:b w:val="0"/>
          <w:i w:val="0"/>
          <w:sz w:val="24"/>
        </w:rPr>
        <w:t>Accelerates ESG audit processes by handling routine clause-level verification, allowing auditors to focus their expertise on complex, ambiguous cases flagged by the system.</w:t>
      </w:r>
    </w:p>
    <w:p>
      <w:pPr>
        <w:spacing w:after="120" w:line="360" w:lineRule="auto"/>
        <w:jc w:val="both"/>
      </w:pPr>
      <w:r>
        <w:rPr>
          <w:rFonts w:ascii="Times New Roman" w:hAnsi="Times New Roman"/>
          <w:b/>
          <w:i w:val="0"/>
          <w:sz w:val="24"/>
        </w:rPr>
        <w:t xml:space="preserve">Regulatory Monitoring. </w:t>
      </w:r>
      <w:r>
        <w:rPr>
          <w:rFonts w:ascii="Times New Roman" w:hAnsi="Times New Roman"/>
          <w:b w:val="0"/>
          <w:i w:val="0"/>
          <w:sz w:val="24"/>
        </w:rPr>
        <w:t>Enables regulatory bodies like SEBI to monitor compliance across reporting companies at scale, identifying systemic disclosure gaps and sector-level trends.</w:t>
      </w:r>
    </w:p>
    <w:p>
      <w:pPr>
        <w:spacing w:after="120" w:line="360" w:lineRule="auto"/>
        <w:jc w:val="both"/>
      </w:pPr>
      <w:r>
        <w:rPr>
          <w:rFonts w:ascii="Times New Roman" w:hAnsi="Times New Roman"/>
          <w:b/>
          <w:i w:val="0"/>
          <w:sz w:val="24"/>
        </w:rPr>
        <w:t xml:space="preserve">Academic Research. </w:t>
      </w:r>
      <w:r>
        <w:rPr>
          <w:rFonts w:ascii="Times New Roman" w:hAnsi="Times New Roman"/>
          <w:b w:val="0"/>
          <w:i w:val="0"/>
          <w:sz w:val="24"/>
        </w:rPr>
        <w:t>Enables large-scale quantitative analysis of ESG disclosure quality and compliance trends across companies, industries, and time periods—research that is currently infeasible with manual methods.</w:t>
      </w:r>
    </w:p>
    <w:p>
      <w:pPr>
        <w:spacing w:line="360" w:lineRule="auto"/>
      </w:pPr>
      <w:r>
        <w:rPr>
          <w:rFonts w:ascii="Times New Roman" w:hAnsi="Times New Roman"/>
          <w:sz w:val="24"/>
        </w:rPr>
        <w:br w:type="page"/>
      </w:r>
    </w:p>
    <w:p>
      <w:pPr>
        <w:pStyle w:val="Heading1"/>
        <w:spacing w:line="360" w:lineRule="auto"/>
        <w:jc w:val="center"/>
      </w:pPr>
      <w:r>
        <w:rPr>
          <w:rFonts w:ascii="Times New Roman" w:hAnsi="Times New Roman"/>
          <w:b/>
          <w:color w:val="000000"/>
          <w:sz w:val="36"/>
        </w:rPr>
        <w:t>Chapter 6</w:t>
      </w:r>
    </w:p>
    <w:p>
      <w:pPr>
        <w:pStyle w:val="Heading1"/>
        <w:spacing w:line="360" w:lineRule="auto"/>
        <w:jc w:val="center"/>
      </w:pPr>
      <w:r>
        <w:rPr>
          <w:rFonts w:ascii="Times New Roman" w:hAnsi="Times New Roman"/>
          <w:b/>
          <w:color w:val="000000"/>
          <w:sz w:val="36"/>
        </w:rPr>
        <w:t>Conclusion and Future Scope</w:t>
      </w:r>
    </w:p>
    <w:p>
      <w:pPr>
        <w:pStyle w:val="Heading2"/>
        <w:spacing w:line="360" w:lineRule="auto"/>
        <w:jc w:val="left"/>
      </w:pPr>
      <w:r>
        <w:rPr>
          <w:rFonts w:ascii="Times New Roman" w:hAnsi="Times New Roman"/>
          <w:b/>
          <w:color w:val="000000"/>
          <w:sz w:val="28"/>
        </w:rPr>
        <w:t>6.1 Conclusion</w:t>
      </w:r>
    </w:p>
    <w:p>
      <w:pPr>
        <w:spacing w:after="120" w:line="360" w:lineRule="auto"/>
        <w:jc w:val="both"/>
      </w:pPr>
      <w:r>
        <w:rPr>
          <w:rFonts w:ascii="Times New Roman" w:hAnsi="Times New Roman"/>
          <w:b w:val="0"/>
          <w:i w:val="0"/>
          <w:sz w:val="24"/>
        </w:rPr>
        <w:t xml:space="preserve">ESG Buddy successfully demonstrates that combining Retrieval-Augmented Generation with agentic AI reasoning can effectively automate ESG compliance verification at clause-level granularity. The system processes sustainability reports against four major ESG frameworks (BRSR, GRI, TCFD, SASB) through a hybrid pipeline of semantic retrieval, LLM-based evaluation, and deterministic rule validation. Beyond core compliance evaluation, the system delivers real-time streaming progress via Server-Sent Events, a RAG-powered document chat for natural language queries, an LLM-generated executive action plan with prioritized remediation roadmaps, downloadable PDF reports, and an interactive agentic reasoning timeline that visualizes the AI’s chain-of-thought decision process.</w:t>
      </w:r>
    </w:p>
    <w:p>
      <w:pPr>
        <w:spacing w:after="120" w:line="360" w:lineRule="auto"/>
        <w:jc w:val="both"/>
      </w:pPr>
      <w:r>
        <w:rPr>
          <w:rFonts w:ascii="Times New Roman" w:hAnsi="Times New Roman"/>
          <w:b w:val="0"/>
          <w:i w:val="0"/>
          <w:sz w:val="24"/>
        </w:rPr>
        <w:t>Evaluated against manually annotated ground truth labels for 13 companies, the system achieved LLM Precision of 78–88%, Recall of 76–87%, F1 Score of 77–86%, and Status Match Accuracy of 75–85% across frameworks. These results confirm the viability of the hybrid pipeline—combining semantic retrieval, framework-specific LLM reasoning, deterministic rule validation, and agentic self-reflection—for substantially automating a process that currently requires weeks of manual expert effort.</w:t>
      </w:r>
    </w:p>
    <w:p>
      <w:pPr>
        <w:spacing w:after="120" w:line="360" w:lineRule="auto"/>
        <w:jc w:val="both"/>
      </w:pPr>
      <w:r>
        <w:rPr>
          <w:rFonts w:ascii="Times New Roman" w:hAnsi="Times New Roman"/>
          <w:b w:val="0"/>
          <w:i w:val="0"/>
          <w:sz w:val="24"/>
        </w:rPr>
        <w:t>Framework-specific prompting proved critical: the distinct disclosure philosophies of BRSR (disclosure presence), GRI (substantive evidence), TCFD (climate specificity), and SASB (lenient financial materiality) demand tailored evaluation strategies rather than one-size-fits-all classification. The agentic reasoning approach with chain-of-thought, self-reflection, and revision provides both improved classification quality and full transparency—every decision includes a complete audit trail with evidence quotes, reasoning steps, and confidence justification.</w:t>
      </w:r>
    </w:p>
    <w:p>
      <w:pPr>
        <w:spacing w:after="120" w:line="360" w:lineRule="auto"/>
        <w:jc w:val="both"/>
      </w:pPr>
      <w:r>
        <w:rPr>
          <w:rFonts w:ascii="Times New Roman" w:hAnsi="Times New Roman"/>
          <w:b w:val="0"/>
          <w:i w:val="0"/>
          <w:sz w:val="24"/>
        </w:rPr>
        <w:t xml:space="preserve">The human verification dashboard reduces manual workload by 70–80%, focusing expert attention on the 22–28% of clauses that are genuinely ambiguous. The analytics dashboard enables multi-company, multi-framework compliance comparison with interactive visualizations, while the two-company comparison feature provides direct side-by-side benchmarking. The Gap Analysis module transforms compliance gaps into actionable, prioritized improvement roadmaps grouped by ESG pillar. Together, these features create a comprehensive compliance copilot that not only evaluates but also explains, compares, and recommends.</w:t>
      </w:r>
    </w:p>
    <w:p>
      <w:pPr>
        <w:spacing w:after="120" w:line="360" w:lineRule="auto"/>
        <w:jc w:val="both"/>
      </w:pPr>
      <w:r>
        <w:rPr>
          <w:rFonts w:ascii="Times New Roman" w:hAnsi="Times New Roman"/>
          <w:b w:val="0"/>
          <w:i w:val="0"/>
          <w:sz w:val="24"/>
        </w:rPr>
        <w:t>The system demonstrates that the combination of modern NLP technologies (RAG, LLMs, vector databases) with principled engineering design (framework-specific prompts, rule validation, confidence calibration, human-in-the-loop) can deliver practical, production-grade automation for complex regulatory compliance tasks.</w:t>
      </w:r>
    </w:p>
    <w:p>
      <w:pPr>
        <w:pStyle w:val="Heading2"/>
        <w:spacing w:line="360" w:lineRule="auto"/>
        <w:jc w:val="left"/>
      </w:pPr>
      <w:r>
        <w:rPr>
          <w:rFonts w:ascii="Times New Roman" w:hAnsi="Times New Roman"/>
          <w:b/>
          <w:color w:val="000000"/>
          <w:sz w:val="28"/>
        </w:rPr>
        <w:t>6.2 Future Scope</w:t>
      </w:r>
    </w:p>
    <w:p>
      <w:pPr>
        <w:pStyle w:val="ListBullet"/>
        <w:spacing w:after="60" w:line="360" w:lineRule="auto"/>
      </w:pPr>
      <w:r>
        <w:rPr>
          <w:rFonts w:ascii="Times New Roman" w:hAnsi="Times New Roman"/>
          <w:b/>
          <w:sz w:val="24"/>
        </w:rPr>
        <w:t xml:space="preserve">Domain-Specific Fine-Tuning: </w:t>
      </w:r>
      <w:r>
        <w:rPr>
          <w:rFonts w:ascii="Times New Roman" w:hAnsi="Times New Roman"/>
          <w:sz w:val="24"/>
        </w:rPr>
        <w:t>Fine-tune a domain-specific LLM on labeled ESG compliance data to reduce dependence on OpenAI API and improve accuracy for ESG-specific language patterns.</w:t>
      </w:r>
    </w:p>
    <w:p>
      <w:pPr>
        <w:pStyle w:val="ListBullet"/>
        <w:spacing w:after="60" w:line="360" w:lineRule="auto"/>
      </w:pPr>
      <w:r>
        <w:rPr>
          <w:rFonts w:ascii="Times New Roman" w:hAnsi="Times New Roman"/>
          <w:b/>
          <w:sz w:val="24"/>
        </w:rPr>
        <w:t xml:space="preserve">Multi-Agent Architecture: </w:t>
      </w:r>
      <w:r>
        <w:rPr>
          <w:rFonts w:ascii="Times New Roman" w:hAnsi="Times New Roman"/>
          <w:sz w:val="24"/>
        </w:rPr>
        <w:t>Implement specialized retrieval, evaluation, and synthesis agents that collaborate to produce more robust compliance assessments.</w:t>
      </w:r>
    </w:p>
    <w:p>
      <w:pPr>
        <w:pStyle w:val="ListBullet"/>
        <w:spacing w:after="60" w:line="360" w:lineRule="auto"/>
      </w:pPr>
      <w:r>
        <w:rPr>
          <w:rFonts w:ascii="Times New Roman" w:hAnsi="Times New Roman"/>
          <w:b/>
          <w:sz w:val="24"/>
        </w:rPr>
        <w:t xml:space="preserve">Temporal Compliance Tracking: </w:t>
      </w:r>
      <w:r>
        <w:rPr>
          <w:rFonts w:ascii="Times New Roman" w:hAnsi="Times New Roman"/>
          <w:sz w:val="24"/>
        </w:rPr>
        <w:t>Enable year-over-year compliance tracking to identify trends, improvements, and regressions in company ESG disclosures.</w:t>
      </w:r>
    </w:p>
    <w:p>
      <w:pPr>
        <w:pStyle w:val="ListBullet"/>
        <w:spacing w:after="60" w:line="360" w:lineRule="auto"/>
      </w:pPr>
      <w:r>
        <w:rPr>
          <w:rFonts w:ascii="Times New Roman" w:hAnsi="Times New Roman"/>
          <w:b/>
          <w:sz w:val="24"/>
        </w:rPr>
        <w:t xml:space="preserve">Peer Benchmarking: </w:t>
      </w:r>
      <w:r>
        <w:rPr>
          <w:rFonts w:ascii="Times New Roman" w:hAnsi="Times New Roman"/>
          <w:sz w:val="24"/>
        </w:rPr>
        <w:t>Compare company compliance against industry peers, providing relative performance context.</w:t>
      </w:r>
    </w:p>
    <w:p>
      <w:pPr>
        <w:pStyle w:val="ListBullet"/>
        <w:spacing w:after="60" w:line="360" w:lineRule="auto"/>
      </w:pPr>
      <w:r>
        <w:rPr>
          <w:rFonts w:ascii="Times New Roman" w:hAnsi="Times New Roman"/>
          <w:b/>
          <w:sz w:val="24"/>
        </w:rPr>
        <w:t xml:space="preserve">Multi-Language Support: </w:t>
      </w:r>
      <w:r>
        <w:rPr>
          <w:rFonts w:ascii="Times New Roman" w:hAnsi="Times New Roman"/>
          <w:sz w:val="24"/>
        </w:rPr>
        <w:t>Handle ESG reports published in regional Indian languages and other non-English languages.</w:t>
      </w:r>
    </w:p>
    <w:p>
      <w:pPr>
        <w:pStyle w:val="ListBullet"/>
        <w:spacing w:after="60" w:line="360" w:lineRule="auto"/>
      </w:pPr>
      <w:r>
        <w:rPr>
          <w:rFonts w:ascii="Times New Roman" w:hAnsi="Times New Roman"/>
          <w:b/>
          <w:sz w:val="24"/>
        </w:rPr>
        <w:t xml:space="preserve">Real-Time Collaboration: Enable multiple compliance officers to work simultaneously on the same evaluation with live cursors, shared annotations, and role-based permissions for team-based compliance review workflows.</w:t>
      </w:r>
    </w:p>
    <w:p>
      <w:pPr>
        <w:pStyle w:val="ListBullet"/>
        <w:spacing w:after="60" w:line="360" w:lineRule="auto"/>
      </w:pPr>
      <w:r>
        <w:rPr>
          <w:rFonts w:ascii="Times New Roman" w:hAnsi="Times New Roman"/>
          <w:b/>
          <w:sz w:val="24"/>
        </w:rPr>
        <w:t xml:space="preserve">Enterprise Deployment: </w:t>
      </w:r>
      <w:r>
        <w:rPr>
          <w:rFonts w:ascii="Times New Roman" w:hAnsi="Times New Roman"/>
          <w:sz w:val="24"/>
        </w:rPr>
        <w:t>Add containerization (Docker), role-based access control, and API rate management for production deployment.</w:t>
      </w:r>
    </w:p>
    <w:p>
      <w:pPr>
        <w:pStyle w:val="ListBullet"/>
        <w:spacing w:after="60" w:line="360" w:lineRule="auto"/>
      </w:pPr>
      <w:r>
        <w:rPr>
          <w:rFonts w:ascii="Times New Roman" w:hAnsi="Times New Roman"/>
          <w:b/>
          <w:sz w:val="24"/>
        </w:rPr>
        <w:t xml:space="preserve">Multimodal Document Understanding: </w:t>
      </w:r>
      <w:r>
        <w:rPr>
          <w:rFonts w:ascii="Times New Roman" w:hAnsi="Times New Roman"/>
          <w:sz w:val="24"/>
        </w:rPr>
        <w:t>Implement advanced table and chart extraction from PDFs using multimodal AI models to capture structured data that text extraction misses.</w:t>
      </w:r>
    </w:p>
    <w:p>
      <w:pPr>
        <w:spacing w:line="360" w:lineRule="auto"/>
      </w:pPr>
      <w:r>
        <w:rPr>
          <w:rFonts w:ascii="Times New Roman" w:hAnsi="Times New Roman"/>
          <w:sz w:val="24"/>
        </w:rPr>
        <w:br w:type="page"/>
      </w:r>
    </w:p>
    <w:p>
      <w:pPr>
        <w:pStyle w:val="Heading1"/>
        <w:spacing w:line="360" w:lineRule="auto"/>
        <w:jc w:val="center"/>
      </w:pPr>
      <w:r>
        <w:rPr>
          <w:rFonts w:ascii="Times New Roman" w:hAnsi="Times New Roman"/>
          <w:b/>
          <w:color w:val="000000"/>
          <w:sz w:val="36"/>
        </w:rPr>
        <w:t>References</w:t>
      </w:r>
    </w:p>
    <w:p>
      <w:pPr>
        <w:spacing w:line="360" w:lineRule="auto"/>
      </w:pPr>
    </w:p>
    <w:p>
      <w:pPr>
        <w:spacing w:after="80" w:line="360" w:lineRule="auto"/>
        <w:ind w:left="720" w:hanging="720"/>
        <w:jc w:val="both"/>
      </w:pPr>
      <w:r>
        <w:rPr>
          <w:rFonts w:ascii="Times New Roman" w:hAnsi="Times New Roman"/>
          <w:sz w:val="24"/>
        </w:rPr>
        <w:t>[1] G. Friede, T. Busch, and A. Bassen, "ESG and Financial Performance: Aggregated Evidence from More than 2000 Empirical Studies," Journal of Sustainable Finance &amp; Investment, vol. 5, no. 4, pp. 210–233, 2015.</w:t>
      </w:r>
    </w:p>
    <w:p>
      <w:pPr>
        <w:spacing w:after="80" w:line="360" w:lineRule="auto"/>
        <w:ind w:left="720" w:hanging="720"/>
        <w:jc w:val="both"/>
      </w:pPr>
      <w:r>
        <w:rPr>
          <w:rFonts w:ascii="Times New Roman" w:hAnsi="Times New Roman"/>
          <w:sz w:val="24"/>
        </w:rPr>
        <w:t>[2] W. Luo, Q. Xie, and S. Ananiadou, "Automated ESG Disclosure Analysis Using NLP," Journal of Cleaner Production, vol. 358, pp. 132–145, 2022.</w:t>
      </w:r>
    </w:p>
    <w:p>
      <w:pPr>
        <w:spacing w:after="80" w:line="360" w:lineRule="auto"/>
        <w:ind w:left="720" w:hanging="720"/>
        <w:jc w:val="both"/>
      </w:pPr>
      <w:r>
        <w:rPr>
          <w:rFonts w:ascii="Times New Roman" w:hAnsi="Times New Roman"/>
          <w:sz w:val="24"/>
        </w:rPr>
        <w:t>[3] P. Lewis, E. Perez, A. Piktus, et al., "Retrieval-Augmented Generation for Knowledge-Intensive NLP Tasks," NeurIPS, vol. 33, pp. 9459–9474, 2020.</w:t>
      </w:r>
    </w:p>
    <w:p>
      <w:pPr>
        <w:spacing w:after="80" w:line="360" w:lineRule="auto"/>
        <w:ind w:left="720" w:hanging="720"/>
        <w:jc w:val="both"/>
      </w:pPr>
      <w:r>
        <w:rPr>
          <w:rFonts w:ascii="Times New Roman" w:hAnsi="Times New Roman"/>
          <w:sz w:val="24"/>
        </w:rPr>
        <w:t>[4] Y. Huang, K. Zhang, and M. Li, "LLM-Based Regulatory Compliance Checking," ACM CIKM, pp. 1567–1576, 2023.</w:t>
      </w:r>
    </w:p>
    <w:p>
      <w:pPr>
        <w:spacing w:after="80" w:line="360" w:lineRule="auto"/>
        <w:ind w:left="720" w:hanging="720"/>
        <w:jc w:val="both"/>
      </w:pPr>
      <w:r>
        <w:rPr>
          <w:rFonts w:ascii="Times New Roman" w:hAnsi="Times New Roman"/>
          <w:sz w:val="24"/>
        </w:rPr>
        <w:t>[5] H. Kang and S. El-Gazzar, "Automated Assessment of Sustainability Disclosure Quality," Sustainability Accounting, Management and Policy Journal, vol. 14, no. 3, pp. 612–635, 2023.</w:t>
      </w:r>
    </w:p>
    <w:p>
      <w:pPr>
        <w:spacing w:after="80" w:line="360" w:lineRule="auto"/>
        <w:ind w:left="720" w:hanging="720"/>
        <w:jc w:val="both"/>
      </w:pPr>
      <w:r>
        <w:rPr>
          <w:rFonts w:ascii="Times New Roman" w:hAnsi="Times New Roman"/>
          <w:sz w:val="24"/>
        </w:rPr>
        <w:t>[6] N. Shinn, F. Cassano, et al., "Reflexion: Language Agents with Verbal Reinforcement Learning," NeurIPS, vol. 36, 2023.</w:t>
      </w:r>
    </w:p>
    <w:p>
      <w:pPr>
        <w:spacing w:after="80" w:line="360" w:lineRule="auto"/>
        <w:ind w:left="720" w:hanging="720"/>
        <w:jc w:val="both"/>
      </w:pPr>
      <w:r>
        <w:rPr>
          <w:rFonts w:ascii="Times New Roman" w:hAnsi="Times New Roman"/>
          <w:sz w:val="24"/>
        </w:rPr>
        <w:t>[7] Y. Gao, Y. Xiong, et al., "Retrieval-Augmented Generation for LLMs: A Survey," arXiv:2312.10997, 2024.</w:t>
      </w:r>
    </w:p>
    <w:p>
      <w:pPr>
        <w:spacing w:after="80" w:line="360" w:lineRule="auto"/>
        <w:ind w:left="720" w:hanging="720"/>
        <w:jc w:val="both"/>
      </w:pPr>
      <w:r>
        <w:rPr>
          <w:rFonts w:ascii="Times New Roman" w:hAnsi="Times New Roman"/>
          <w:sz w:val="24"/>
        </w:rPr>
        <w:t>[8] J. Wei, X. Wang, et al., "Chain-of-Thought Prompting Elicits Reasoning in LLMs," NeurIPS, vol. 35, pp. 24824–24837, 2022.</w:t>
      </w:r>
    </w:p>
    <w:p>
      <w:pPr>
        <w:spacing w:after="80" w:line="360" w:lineRule="auto"/>
        <w:ind w:left="720" w:hanging="720"/>
        <w:jc w:val="both"/>
      </w:pPr>
      <w:r>
        <w:rPr>
          <w:rFonts w:ascii="Times New Roman" w:hAnsi="Times New Roman"/>
          <w:sz w:val="24"/>
        </w:rPr>
        <w:t>[9] S. Yao, J. Zhao, et al., "ReAct: Synergizing Reasoning and Acting in Language Models," ICLR, 2023.</w:t>
      </w:r>
    </w:p>
    <w:p>
      <w:pPr>
        <w:spacing w:after="80" w:line="360" w:lineRule="auto"/>
        <w:ind w:left="720" w:hanging="720"/>
        <w:jc w:val="both"/>
      </w:pPr>
      <w:r>
        <w:rPr>
          <w:rFonts w:ascii="Times New Roman" w:hAnsi="Times New Roman"/>
          <w:sz w:val="24"/>
        </w:rPr>
        <w:t>[10] R. Mehra and A. Sharma, "BRSR Reporting Practices of Indian Listed Companies," Indian Journal of Corporate Governance, vol. 16, no. 2, pp. 178–198, 2023.</w:t>
      </w:r>
    </w:p>
    <w:p>
      <w:pPr>
        <w:spacing w:after="80" w:line="360" w:lineRule="auto"/>
        <w:ind w:left="720" w:hanging="720"/>
        <w:jc w:val="both"/>
      </w:pPr>
      <w:r>
        <w:rPr>
          <w:rFonts w:ascii="Times New Roman" w:hAnsi="Times New Roman"/>
          <w:sz w:val="24"/>
        </w:rPr>
        <w:t>[11] D. Araci, "FinBERT: Financial Sentiment Analysis with Pre-Trained Language Models," arXiv:1908.10063, 2019.</w:t>
      </w:r>
    </w:p>
    <w:p>
      <w:pPr>
        <w:spacing w:after="80" w:line="360" w:lineRule="auto"/>
        <w:ind w:left="720" w:hanging="720"/>
        <w:jc w:val="both"/>
      </w:pPr>
      <w:r>
        <w:rPr>
          <w:rFonts w:ascii="Times New Roman" w:hAnsi="Times New Roman"/>
          <w:sz w:val="24"/>
        </w:rPr>
        <w:t>[12] K. Agrawal, S. Chadha, and R. Mittal, "Multi-Framework ESG Reporting Challenges in Indian Companies," Journal of Business Ethics, vol. 186, no. 3, pp. 567–584, 2023.</w:t>
      </w:r>
    </w:p>
    <w:p>
      <w:pPr>
        <w:spacing w:after="80" w:line="360" w:lineRule="auto"/>
        <w:ind w:left="720" w:hanging="720"/>
        <w:jc w:val="both"/>
      </w:pPr>
      <w:r>
        <w:rPr>
          <w:rFonts w:ascii="Times New Roman" w:hAnsi="Times New Roman"/>
          <w:sz w:val="24"/>
        </w:rPr>
        <w:t>[13] SEBI, "Business Responsibility and Sustainability Reporting by Listed Entities," Circular SEBI/HO/CFD/CMD-2/P/CIR/2021/562, 2021.</w:t>
      </w:r>
    </w:p>
    <w:p>
      <w:pPr>
        <w:spacing w:after="80" w:line="360" w:lineRule="auto"/>
        <w:ind w:left="720" w:hanging="720"/>
        <w:jc w:val="both"/>
      </w:pPr>
      <w:r>
        <w:rPr>
          <w:rFonts w:ascii="Times New Roman" w:hAnsi="Times New Roman"/>
          <w:sz w:val="24"/>
        </w:rPr>
        <w:t>[14] Global Reporting Initiative, "GRI Universal Standards 2021," GRI, Amsterdam, 2021.</w:t>
      </w:r>
    </w:p>
    <w:p>
      <w:pPr>
        <w:spacing w:after="80" w:line="360" w:lineRule="auto"/>
        <w:ind w:left="720" w:hanging="720"/>
        <w:jc w:val="both"/>
      </w:pPr>
      <w:r>
        <w:rPr>
          <w:rFonts w:ascii="Times New Roman" w:hAnsi="Times New Roman"/>
          <w:sz w:val="24"/>
        </w:rPr>
        <w:t>[15] TCFD, "Recommendations of the Task Force on Climate-related Financial Disclosures," Financial Stability Board, 2017.</w:t>
      </w:r>
    </w:p>
    <w:p>
      <w:pPr>
        <w:spacing w:after="80" w:line="360" w:lineRule="auto"/>
        <w:ind w:left="720" w:hanging="720"/>
        <w:jc w:val="both"/>
      </w:pPr>
      <w:r>
        <w:rPr>
          <w:rFonts w:ascii="Times New Roman" w:hAnsi="Times New Roman"/>
          <w:sz w:val="24"/>
        </w:rPr>
        <w:t>[16] SASB, "SASB Standards," IFRS Foundation, 2023.</w:t>
      </w:r>
    </w:p>
    <w:p>
      <w:pPr>
        <w:spacing w:after="80" w:line="360" w:lineRule="auto"/>
        <w:ind w:left="720" w:hanging="720"/>
        <w:jc w:val="both"/>
      </w:pPr>
      <w:r>
        <w:rPr>
          <w:rFonts w:ascii="Times New Roman" w:hAnsi="Times New Roman"/>
          <w:sz w:val="24"/>
        </w:rPr>
        <w:t>[17] OpenAI, "GPT-4 Technical Report," arXiv:2303.08774, 2023.</w:t>
      </w:r>
    </w:p>
    <w:p>
      <w:pPr>
        <w:spacing w:after="80" w:line="360" w:lineRule="auto"/>
        <w:ind w:left="720" w:hanging="720"/>
        <w:jc w:val="both"/>
      </w:pPr>
      <w:r>
        <w:rPr>
          <w:rFonts w:ascii="Times New Roman" w:hAnsi="Times New Roman"/>
          <w:sz w:val="24"/>
        </w:rPr>
        <w:t>[18] Chroma, "ChromaDB: The AI-Native Open-Source Embedding Database," 2023.</w:t>
      </w:r>
    </w:p>
    <w:p>
      <w:pPr>
        <w:spacing w:after="80" w:line="360" w:lineRule="auto"/>
        <w:ind w:left="720" w:hanging="720"/>
        <w:jc w:val="both"/>
      </w:pPr>
      <w:r>
        <w:rPr>
          <w:rFonts w:ascii="Times New Roman" w:hAnsi="Times New Roman"/>
          <w:sz w:val="24"/>
        </w:rPr>
        <w:t>[19] A. Vaswani, N. Shazeer, et al., "Attention Is All You Need," NeurIPS, pp. 5998–6008, 2017.</w:t>
      </w:r>
    </w:p>
    <w:p>
      <w:pPr>
        <w:spacing w:after="80" w:line="360" w:lineRule="auto"/>
        <w:ind w:left="720" w:hanging="720"/>
        <w:jc w:val="both"/>
      </w:pPr>
      <w:r>
        <w:rPr>
          <w:rFonts w:ascii="Times New Roman" w:hAnsi="Times New Roman"/>
          <w:sz w:val="24"/>
        </w:rPr>
        <w:t>[20] T. Brown, B. Mann, et al., "Language Models are Few-Shot Learners," NeurIPS, pp. 1877–1901, 2020.</w:t>
      </w:r>
    </w:p>
    <w:p/>
    <w:p>
      <w:pPr>
        <w:pStyle w:val="Heading1"/>
        <w:spacing w:line="360" w:lineRule="auto"/>
        <w:jc w:val="center"/>
      </w:pPr>
      <w:r>
        <w:rPr>
          <w:rFonts w:ascii="Times New Roman" w:hAnsi="Times New Roman"/>
          <w:b/>
          <w:color w:val="000000"/>
          <w:sz w:val="36"/>
        </w:rPr>
        <w:t xml:space="preserve">Appendix I: Software Architecture Diagrams</w:t>
      </w:r>
    </w:p>
    <w:p>
      <w:pPr>
        <w:spacing w:after="120" w:line="360" w:lineRule="auto"/>
        <w:jc w:val="center"/>
      </w:pPr>
      <w:r>
        <w:rPr>
          <w:rFonts w:ascii="Times New Roman" w:hAnsi="Times New Roman"/>
          <w:b/>
          <w:i w:val="0"/>
          <w:sz w:val="24"/>
        </w:rPr>
        <w:t xml:space="preserve">This appendix contains the detailed system architecture diagrams, data flow diagrams, and component interaction diagrams for ESG Buddy.</w:t>
      </w:r>
    </w:p>
    <w:p/>
    <w:p/>
    <w:p>
      <w:pPr>
        <w:pStyle w:val="Heading1"/>
        <w:spacing w:line="360" w:lineRule="auto"/>
        <w:jc w:val="center"/>
      </w:pPr>
      <w:r>
        <w:rPr>
          <w:rFonts w:ascii="Times New Roman" w:hAnsi="Times New Roman"/>
          <w:b/>
          <w:color w:val="000000"/>
          <w:sz w:val="36"/>
        </w:rPr>
        <w:t xml:space="preserve">Appendix II: API Endpoint Specifications</w:t>
      </w:r>
    </w:p>
    <w:p>
      <w:pPr>
        <w:spacing w:after="120" w:line="360" w:lineRule="auto"/>
        <w:jc w:val="center"/>
      </w:pPr>
      <w:r>
        <w:rPr>
          <w:rFonts w:ascii="Times New Roman" w:hAnsi="Times New Roman"/>
          <w:b/>
          <w:i w:val="0"/>
          <w:sz w:val="24"/>
        </w:rPr>
        <w:t xml:space="preserve">This appendix documents all REST API endpoints including request/response schemas, authentication requirements, and example payloads.</w:t>
      </w:r>
    </w:p>
    <w:p/>
    <w:p/>
    <w:p>
      <w:pPr>
        <w:pStyle w:val="Heading1"/>
        <w:spacing w:line="360" w:lineRule="auto"/>
        <w:jc w:val="center"/>
      </w:pPr>
      <w:r>
        <w:rPr>
          <w:rFonts w:ascii="Times New Roman" w:hAnsi="Times New Roman"/>
          <w:b/>
          <w:color w:val="000000"/>
          <w:sz w:val="36"/>
        </w:rPr>
        <w:t xml:space="preserve">Appendix III: Sample Source Code</w:t>
      </w:r>
    </w:p>
    <w:p>
      <w:pPr>
        <w:spacing w:after="120" w:line="360" w:lineRule="auto"/>
        <w:jc w:val="center"/>
      </w:pPr>
      <w:r>
        <w:rPr>
          <w:rFonts w:ascii="Times New Roman" w:hAnsi="Times New Roman"/>
          <w:b/>
          <w:i w:val="0"/>
          <w:sz w:val="24"/>
        </w:rPr>
        <w:t xml:space="preserve">This appendix contains selected source code excerpts demonstrating key algorithms: the compliance evaluation pipeline, agentic AI reasoning loop, SSE streaming handler, and action plan generation prompt.</w:t>
      </w:r>
    </w:p>
    <w:p/>
    <w:sectPr w:rsidR="00FC693F" w:rsidRPr="0006063C" w:rsidSect="00034616">
      <w:headerReference w:type="default" r:id="rId9"/>
      <w:footerReference w:type="default" r:id="rId10"/>
      <w:pgSz w:w="12240" w:h="15840"/>
      <w:pgMar w:top="1440" w:right="1440" w:bottom="1440" w:left="216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rFonts w:ascii="Times New Roman" w:hAnsi="Times New Roman"/>
        <w:sz w:val="20"/>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8640" w:val="right"/>
      </w:tabs>
    </w:pPr>
    <w:r/>
    <w:r>
      <w:rPr>
        <w:rFonts w:ascii="Times New Roman" w:hAnsi="Times New Roman"/>
        <w:sz w:val="18"/>
      </w:rPr>
      <w:t>ESG-Buddy: Agentic AI-Powered ESG Compliance Copilot</w:t>
    </w:r>
    <w:r>
      <w:tab/>
    </w:r>
    <w:r>
      <w:rPr>
        <w:rFonts w:ascii="Times New Roman" w:hAnsi="Times New Roman"/>
        <w:sz w:val="18"/>
      </w:rPr>
      <w:t>Academic Year 2025-26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