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rFonts w:ascii="Times New Roman" w:hAnsi="Times New Roman"/>
          <w:color w:val="000000"/>
        </w:rPr>
        <w:t>ESG-Buddy: Agentic AI-Powered</w:t>
        <w:br/>
        <w:t>ESG Compliance Copilot</w:t>
      </w:r>
    </w:p>
    <w:p/>
    <w:p>
      <w:pPr>
        <w:spacing w:after="120"/>
        <w:jc w:val="center"/>
      </w:pPr>
      <w:r>
        <w:rPr>
          <w:rFonts w:ascii="Times New Roman" w:hAnsi="Times New Roman"/>
          <w:b/>
          <w:i w:val="0"/>
          <w:sz w:val="32"/>
        </w:rPr>
        <w:t>Final Capstone Report</w:t>
      </w:r>
    </w:p>
    <w:p/>
    <w:p>
      <w:pPr>
        <w:spacing w:after="120"/>
        <w:jc w:val="center"/>
      </w:pPr>
      <w:r>
        <w:rPr>
          <w:rFonts w:ascii="Times New Roman" w:hAnsi="Times New Roman"/>
          <w:b w:val="0"/>
          <w:i w:val="0"/>
          <w:sz w:val="26"/>
        </w:rPr>
        <w:t>Submitted To</w:t>
      </w:r>
    </w:p>
    <w:p/>
    <w:p>
      <w:pPr>
        <w:spacing w:after="120"/>
        <w:jc w:val="center"/>
      </w:pPr>
      <w:r>
        <w:rPr>
          <w:rFonts w:ascii="Times New Roman" w:hAnsi="Times New Roman"/>
          <w:b/>
          <w:i w:val="0"/>
          <w:sz w:val="26"/>
        </w:rPr>
        <w:t>SVKM's NMIMS,</w:t>
      </w:r>
    </w:p>
    <w:p>
      <w:pPr>
        <w:spacing w:after="120"/>
        <w:jc w:val="center"/>
      </w:pPr>
      <w:r>
        <w:rPr>
          <w:rFonts w:ascii="Times New Roman" w:hAnsi="Times New Roman"/>
          <w:b w:val="0"/>
          <w:i w:val="0"/>
          <w:sz w:val="26"/>
        </w:rPr>
        <w:t>Mukesh Patel School of Technology Management &amp; Engineering,</w:t>
      </w:r>
    </w:p>
    <w:p>
      <w:pPr>
        <w:spacing w:after="120"/>
        <w:jc w:val="center"/>
      </w:pPr>
      <w:r>
        <w:rPr>
          <w:rFonts w:ascii="Times New Roman" w:hAnsi="Times New Roman"/>
          <w:b w:val="0"/>
          <w:i w:val="0"/>
          <w:sz w:val="26"/>
        </w:rPr>
        <w:t>Mumbai</w:t>
      </w:r>
    </w:p>
    <w:p/>
    <w:p>
      <w:pPr>
        <w:spacing w:after="120"/>
        <w:jc w:val="center"/>
      </w:pPr>
      <w:r>
        <w:rPr>
          <w:rFonts w:ascii="Times New Roman" w:hAnsi="Times New Roman"/>
          <w:b/>
          <w:i w:val="0"/>
          <w:sz w:val="26"/>
        </w:rPr>
        <w:t>Submitted by:</w:t>
      </w:r>
    </w:p>
    <w:p>
      <w:pPr>
        <w:spacing w:after="120"/>
        <w:jc w:val="center"/>
      </w:pPr>
      <w:r>
        <w:rPr>
          <w:rFonts w:ascii="Times New Roman" w:hAnsi="Times New Roman"/>
          <w:b w:val="0"/>
          <w:i w:val="0"/>
          <w:sz w:val="26"/>
        </w:rPr>
        <w:t>Harsh Rever – N130</w:t>
      </w:r>
    </w:p>
    <w:p>
      <w:pPr>
        <w:spacing w:after="120"/>
        <w:jc w:val="center"/>
      </w:pPr>
      <w:r>
        <w:rPr>
          <w:rFonts w:ascii="Times New Roman" w:hAnsi="Times New Roman"/>
          <w:b w:val="0"/>
          <w:i w:val="0"/>
          <w:sz w:val="26"/>
        </w:rPr>
        <w:t>Naman Adep – N135</w:t>
      </w:r>
    </w:p>
    <w:p>
      <w:pPr>
        <w:spacing w:after="120"/>
        <w:jc w:val="center"/>
      </w:pPr>
      <w:r>
        <w:rPr>
          <w:rFonts w:ascii="Times New Roman" w:hAnsi="Times New Roman"/>
          <w:b w:val="0"/>
          <w:i w:val="0"/>
          <w:sz w:val="26"/>
        </w:rPr>
        <w:t>Purav Patel – N134</w:t>
      </w:r>
    </w:p>
    <w:p>
      <w:pPr>
        <w:spacing w:after="120"/>
        <w:jc w:val="center"/>
      </w:pPr>
      <w:r>
        <w:rPr>
          <w:rFonts w:ascii="Times New Roman" w:hAnsi="Times New Roman"/>
          <w:b w:val="0"/>
          <w:i w:val="0"/>
          <w:sz w:val="26"/>
        </w:rPr>
        <w:t>Kabeer Chaudhary – N289</w:t>
      </w:r>
    </w:p>
    <w:p/>
    <w:p>
      <w:pPr>
        <w:spacing w:after="120"/>
        <w:jc w:val="center"/>
      </w:pPr>
      <w:r>
        <w:rPr>
          <w:rFonts w:ascii="Times New Roman" w:hAnsi="Times New Roman"/>
          <w:b/>
          <w:i w:val="0"/>
          <w:sz w:val="26"/>
        </w:rPr>
        <w:t>Under The Supervision of:</w:t>
      </w:r>
    </w:p>
    <w:p>
      <w:pPr>
        <w:spacing w:after="120"/>
        <w:jc w:val="center"/>
      </w:pPr>
      <w:r>
        <w:rPr>
          <w:rFonts w:ascii="Times New Roman" w:hAnsi="Times New Roman"/>
          <w:b/>
          <w:i w:val="0"/>
          <w:sz w:val="28"/>
        </w:rPr>
        <w:t>Prof. Radhika Patil</w:t>
      </w:r>
    </w:p>
    <w:p>
      <w:pPr>
        <w:spacing w:after="120"/>
        <w:jc w:val="center"/>
      </w:pPr>
      <w:r>
        <w:rPr>
          <w:rFonts w:ascii="Times New Roman" w:hAnsi="Times New Roman"/>
          <w:b/>
          <w:i w:val="0"/>
          <w:sz w:val="26"/>
        </w:rPr>
        <w:t>Assistant Professor</w:t>
      </w:r>
    </w:p>
    <w:p/>
    <w:p>
      <w:pPr>
        <w:spacing w:after="120"/>
        <w:jc w:val="center"/>
      </w:pPr>
      <w:r>
        <w:rPr>
          <w:rFonts w:ascii="Times New Roman" w:hAnsi="Times New Roman"/>
          <w:b/>
          <w:i w:val="0"/>
          <w:sz w:val="26"/>
        </w:rPr>
        <w:t>DEPARTMENT OF COMPUTER ENGINEERING</w:t>
      </w:r>
    </w:p>
    <w:p>
      <w:pPr>
        <w:spacing w:after="120"/>
        <w:jc w:val="center"/>
      </w:pPr>
      <w:r>
        <w:rPr>
          <w:rFonts w:ascii="Times New Roman" w:hAnsi="Times New Roman"/>
          <w:b w:val="0"/>
          <w:i w:val="0"/>
          <w:sz w:val="24"/>
        </w:rPr>
        <w:t>Mukesh Patel School of Technology Management &amp; Engineering</w:t>
      </w:r>
    </w:p>
    <w:p>
      <w:pPr>
        <w:spacing w:after="120"/>
        <w:jc w:val="center"/>
      </w:pPr>
      <w:r>
        <w:rPr>
          <w:rFonts w:ascii="Times New Roman" w:hAnsi="Times New Roman"/>
          <w:b/>
          <w:i w:val="0"/>
          <w:sz w:val="26"/>
        </w:rPr>
        <w:t>ACADEMIC SESSION: 2025-26</w:t>
      </w:r>
    </w:p>
    <w:p>
      <w:r>
        <w:br w:type="page"/>
      </w:r>
    </w:p>
    <w:p>
      <w:pPr>
        <w:pStyle w:val="Heading1"/>
        <w:jc w:val="center"/>
      </w:pPr>
      <w:r>
        <w:rPr>
          <w:rFonts w:ascii="Times New Roman" w:hAnsi="Times New Roman"/>
          <w:color w:val="000000"/>
        </w:rPr>
        <w:t>CERTIFICATE</w:t>
      </w:r>
    </w:p>
    <w:p/>
    <w:p>
      <w:pPr>
        <w:spacing w:after="120"/>
        <w:jc w:val="both"/>
      </w:pPr>
      <w:r>
        <w:rPr>
          <w:rFonts w:ascii="Times New Roman" w:hAnsi="Times New Roman"/>
          <w:b w:val="0"/>
          <w:i w:val="0"/>
          <w:sz w:val="24"/>
        </w:rPr>
        <w:t>This is to certify that the project titled "ESG-Buddy: Agentic AI-Powered ESG Compliance Copilot" is a bonafide work carried out by Harsh Rever (N130), Naman Adep (N135), Purav Patel (N134), and Kabeer Chaudhary (N289) of B.Tech Computer Engineering, Semester VIII, in partial fulfillment of the requirements for the award of the degree of Bachelor of Technology in Computer Engineering from SVKM's NMIMS, Mukesh Patel School of Technology Management &amp; Engineering, Mumbai, during the academic year 2025-26.</w:t>
      </w:r>
    </w:p>
    <w:p/>
    <w:p/>
    <w:p/>
    <w:p>
      <w:pPr>
        <w:jc w:val="left"/>
      </w:pPr>
      <w:r>
        <w:rPr>
          <w:rFonts w:ascii="Times New Roman" w:hAnsi="Times New Roman"/>
          <w:b/>
          <w:sz w:val="24"/>
        </w:rPr>
        <w:t>Prof. Radhika Patil</w:t>
      </w:r>
    </w:p>
    <w:p>
      <w:pPr>
        <w:spacing w:after="120"/>
        <w:jc w:val="left"/>
      </w:pPr>
      <w:r>
        <w:rPr>
          <w:rFonts w:ascii="Times New Roman" w:hAnsi="Times New Roman"/>
          <w:b w:val="0"/>
          <w:i w:val="0"/>
          <w:sz w:val="24"/>
        </w:rPr>
        <w:t>Project Guide</w:t>
      </w:r>
    </w:p>
    <w:p>
      <w:pPr>
        <w:spacing w:after="120"/>
        <w:jc w:val="left"/>
      </w:pPr>
      <w:r>
        <w:rPr>
          <w:rFonts w:ascii="Times New Roman" w:hAnsi="Times New Roman"/>
          <w:b w:val="0"/>
          <w:i w:val="0"/>
          <w:sz w:val="24"/>
        </w:rPr>
        <w:t>Department of Computer Engineering</w:t>
      </w:r>
    </w:p>
    <w:p/>
    <w:p/>
    <w:p>
      <w:pPr>
        <w:jc w:val="left"/>
      </w:pPr>
      <w:r>
        <w:rPr>
          <w:rFonts w:ascii="Times New Roman" w:hAnsi="Times New Roman"/>
          <w:b/>
          <w:sz w:val="24"/>
        </w:rPr>
        <w:t>Head of Department</w:t>
      </w:r>
    </w:p>
    <w:p>
      <w:pPr>
        <w:spacing w:after="120"/>
        <w:jc w:val="left"/>
      </w:pPr>
      <w:r>
        <w:rPr>
          <w:rFonts w:ascii="Times New Roman" w:hAnsi="Times New Roman"/>
          <w:b w:val="0"/>
          <w:i w:val="0"/>
          <w:sz w:val="24"/>
        </w:rPr>
        <w:t>Department of Computer Engineering</w:t>
      </w:r>
    </w:p>
    <w:p>
      <w:r>
        <w:br w:type="page"/>
      </w:r>
    </w:p>
    <w:p>
      <w:pPr>
        <w:pStyle w:val="Heading1"/>
        <w:jc w:val="center"/>
      </w:pPr>
      <w:r>
        <w:rPr>
          <w:rFonts w:ascii="Times New Roman" w:hAnsi="Times New Roman"/>
          <w:color w:val="000000"/>
        </w:rPr>
        <w:t>ACKNOWLEDGEMENT</w:t>
      </w:r>
    </w:p>
    <w:p/>
    <w:p>
      <w:pPr>
        <w:spacing w:after="120"/>
        <w:jc w:val="both"/>
      </w:pPr>
      <w:r>
        <w:rPr>
          <w:rFonts w:ascii="Times New Roman" w:hAnsi="Times New Roman"/>
          <w:b w:val="0"/>
          <w:i w:val="0"/>
          <w:sz w:val="24"/>
        </w:rPr>
        <w:t>We would like to express our sincere gratitude to our project guide, Prof. Radhika Patil, for her invaluable guidance, continuous encouragement, and constructive feedback throughout the development of this project. Her expertise in the domain of artificial intelligence and software engineering has been instrumental in shaping the direction of our work.</w:t>
      </w:r>
    </w:p>
    <w:p>
      <w:pPr>
        <w:spacing w:after="120"/>
        <w:jc w:val="both"/>
      </w:pPr>
      <w:r>
        <w:rPr>
          <w:rFonts w:ascii="Times New Roman" w:hAnsi="Times New Roman"/>
          <w:b w:val="0"/>
          <w:i w:val="0"/>
          <w:sz w:val="24"/>
        </w:rPr>
        <w:t>We are grateful to the Department of Computer Engineering at SVKM's NMIMS, Mukesh Patel School of Technology Management &amp; Engineering, Mumbai, for providing us with the necessary infrastructure and academic environment to carry out this project.</w:t>
      </w:r>
    </w:p>
    <w:p>
      <w:pPr>
        <w:spacing w:after="120"/>
        <w:jc w:val="both"/>
      </w:pPr>
      <w:r>
        <w:rPr>
          <w:rFonts w:ascii="Times New Roman" w:hAnsi="Times New Roman"/>
          <w:b w:val="0"/>
          <w:i w:val="0"/>
          <w:sz w:val="24"/>
        </w:rPr>
        <w:t>We also extend our thanks to OpenAI for providing API access to the GPT-4o-mini language model and text-embedding-3-small embedding model, which form core components of the ESGBuddy system.</w:t>
      </w:r>
    </w:p>
    <w:p>
      <w:pPr>
        <w:spacing w:after="120"/>
        <w:jc w:val="both"/>
      </w:pPr>
      <w:r>
        <w:rPr>
          <w:rFonts w:ascii="Times New Roman" w:hAnsi="Times New Roman"/>
          <w:b w:val="0"/>
          <w:i w:val="0"/>
          <w:sz w:val="24"/>
        </w:rPr>
        <w:t>Finally, we thank our families and peers for their unwavering support and encouragement throughout the duration of this project.</w:t>
      </w:r>
    </w:p>
    <w:p/>
    <w:p/>
    <w:p>
      <w:pPr>
        <w:spacing w:after="120"/>
        <w:jc w:val="left"/>
      </w:pPr>
      <w:r>
        <w:rPr>
          <w:rFonts w:ascii="Times New Roman" w:hAnsi="Times New Roman"/>
          <w:b/>
          <w:i w:val="0"/>
          <w:sz w:val="24"/>
        </w:rPr>
        <w:t>Harsh Rever, Naman Adep, Purav Patel, Kabeer Chaudhary</w:t>
      </w:r>
    </w:p>
    <w:p>
      <w:pPr>
        <w:spacing w:after="120"/>
        <w:jc w:val="left"/>
      </w:pPr>
      <w:r>
        <w:rPr>
          <w:rFonts w:ascii="Times New Roman" w:hAnsi="Times New Roman"/>
          <w:b w:val="0"/>
          <w:i w:val="0"/>
          <w:sz w:val="24"/>
        </w:rPr>
        <w:t>April 2026</w:t>
      </w:r>
    </w:p>
    <w:p>
      <w:r>
        <w:br w:type="page"/>
      </w:r>
    </w:p>
    <w:p>
      <w:pPr>
        <w:pStyle w:val="Heading1"/>
        <w:jc w:val="center"/>
      </w:pPr>
      <w:r>
        <w:rPr>
          <w:rFonts w:ascii="Times New Roman" w:hAnsi="Times New Roman"/>
          <w:color w:val="000000"/>
        </w:rPr>
        <w:t>ABSTRACT</w:t>
      </w:r>
    </w:p>
    <w:p/>
    <w:p>
      <w:pPr>
        <w:spacing w:after="120"/>
        <w:jc w:val="both"/>
      </w:pPr>
      <w:r>
        <w:rPr>
          <w:rFonts w:ascii="Times New Roman" w:hAnsi="Times New Roman"/>
          <w:b w:val="0"/>
          <w:i w:val="0"/>
          <w:sz w:val="24"/>
        </w:rPr>
        <w:t>Manual verification of ESG (Environmental, Social, and Governance) compliance reports against regulatory frameworks is time-consuming, expensive, and inconsistent. This report presents ESG Buddy, an AI-powered compliance copilot that automates the evaluation of company ESG reports against multiple international standards using a Retrieval-Augmented Generation (RAG) approach combined with agentic AI reasoning. The system supports four major ESG frameworks: BRSR (265 clauses), GRI (configurable 40–150+ clauses), TCFD (~30 clauses), and SASB (industry-specific, ~77 clauses per sector), and provides a human-in-the-loop verification dashboard for ambiguous predictions.</w:t>
      </w:r>
    </w:p>
    <w:p>
      <w:pPr>
        <w:spacing w:after="120"/>
        <w:jc w:val="both"/>
      </w:pPr>
      <w:r>
        <w:rPr>
          <w:rFonts w:ascii="Times New Roman" w:hAnsi="Times New Roman"/>
          <w:b w:val="0"/>
          <w:i w:val="0"/>
          <w:sz w:val="24"/>
        </w:rPr>
        <w:t>Leveraging OpenAI's GPT-4o-mini model with framework-specific prompts, chain-of-thought reasoning, and self-reflection mechanisms, ESG Buddy evaluates each clause through a four-step pipeline: semantic retrieval of evidence chunks from a ChromaDB vector database, LLM-based compliance evaluation, deterministic rule validation, and a final decision combining LLM reasoning with rule results. The system was evaluated against manually annotated ground truth labels across 13 companies spanning diverse industries and geographies.</w:t>
      </w:r>
    </w:p>
    <w:p>
      <w:pPr>
        <w:spacing w:after="120"/>
        <w:jc w:val="both"/>
      </w:pPr>
      <w:r>
        <w:rPr>
          <w:rFonts w:ascii="Times New Roman" w:hAnsi="Times New Roman"/>
          <w:b w:val="0"/>
          <w:i w:val="0"/>
          <w:sz w:val="24"/>
        </w:rPr>
        <w:t>Experimental results demonstrate LLM Precision of 78–88%, LLM Recall of 76–87%, LLM F1 Score of 77–86%, and Status Match Accuracy of 75–85% across all four frameworks. The agentic reasoning pipeline with chain-of-thought, self-reflection, and revision provides both improved classification quality and full transparency. The human verification dashboard reduces manual workload by 70–80% by focusing expert attention on ambiguous predictions. A comprehensive analytics dashboard enables multi-company, multi-framework compliance comparison and trend visualization.</w:t>
      </w:r>
    </w:p>
    <w:p>
      <w:r>
        <w:br w:type="page"/>
      </w:r>
    </w:p>
    <w:p>
      <w:pPr>
        <w:pStyle w:val="Heading1"/>
        <w:jc w:val="center"/>
      </w:pPr>
      <w:r>
        <w:rPr>
          <w:rFonts w:ascii="Times New Roman" w:hAnsi="Times New Roman"/>
          <w:color w:val="000000"/>
        </w:rPr>
        <w:t>TABLE OF CONTENTS</w:t>
      </w:r>
    </w:p>
    <w:p/>
    <w:tbl>
      <w:tblPr>
        <w:tblStyle w:val="TableGrid"/>
        <w:tblW w:type="auto" w:w="0"/>
        <w:tblLook w:firstColumn="1" w:firstRow="1" w:lastColumn="0" w:lastRow="0" w:noHBand="0" w:noVBand="1" w:val="04A0"/>
      </w:tblPr>
      <w:tblGrid>
        <w:gridCol w:w="2882"/>
        <w:gridCol w:w="2882"/>
        <w:gridCol w:w="2882"/>
      </w:tblGrid>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Abstract</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iv</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List of Tables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vi</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List of Figures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vi</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t>1</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INTRODUCTION</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1</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1.1</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Background</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1.2</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Motivation and Scope</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1.3</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Problem Statement</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3</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1.4</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Salient Contributions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3</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1.5</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Organization of Report</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4</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t>2</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LITERATURE SURVEY</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5</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2.1</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Introduction</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5</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2.2</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Literature Survey</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5</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2.3</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Identified Research Gap</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7</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t>3</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METHODOLOGY AND IMPLEMENTATION</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8</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3.1</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System Architecture</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8</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3.2</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Hardware and Software</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9</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3.3</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Document Ingestion Pipeline</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10</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3.4</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ESG Standards Parsing</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11</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3.5</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Compliance Evaluation Pipeline</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12</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3.6</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Agentic AI Pipeline</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15</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3.7</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Ground Truth and Accuracy Evaluation</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16</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3.8</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Frontend and Human-in-the-Loop</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17</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t>4</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RESULTS AND ANALYSIS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19</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4.1</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Application Screenshots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19</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4.2</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Evaluation Setup</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23</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4.3</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Accuracy Results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23</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4.4</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Framework-Specific Analysis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24</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4.5</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Agentic AI Impact</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25</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4.6</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Processing Performance</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26</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t>5</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ADVANTAGES, LIMITATIONS AND APPLICATIONS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27</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5.1</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Advantages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27</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5.2</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Limitations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28</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5.3</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Applications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28</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t>6</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CONCLUSION AND FUTURE SCOPE</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30</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6.1</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Conclusion</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30</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sz w:val="22"/>
              </w:rPr>
              <w:t>6.2</w:t>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sz w:val="22"/>
              </w:rPr>
              <w:t>Future Scope</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sz w:val="22"/>
              </w:rPr>
              <w:t>30</w:t>
            </w:r>
          </w:p>
        </w:tc>
      </w:tr>
      <w:tr>
        <w:tc>
          <w:tcPr>
            <w:tcW w:type="dxa" w:w="850"/>
            <w:tcBorders>
              <w:top w:val="none" w:sz="0" w:space="0" w:color="auto"/>
              <w:left w:val="none" w:sz="0" w:space="0" w:color="auto"/>
              <w:bottom w:val="none" w:sz="0" w:space="0" w:color="auto"/>
              <w:right w:val="none" w:sz="0" w:space="0" w:color="auto"/>
            </w:tcBorders>
          </w:tcPr>
          <w:p>
            <w:r>
              <w:rPr>
                <w:rFonts w:ascii="Times New Roman" w:hAnsi="Times New Roman"/>
                <w:b/>
                <w:sz w:val="22"/>
              </w:rPr>
            </w:r>
          </w:p>
        </w:tc>
        <w:tc>
          <w:tcPr>
            <w:tcW w:type="dxa" w:w="6803"/>
            <w:tcBorders>
              <w:top w:val="none" w:sz="0" w:space="0" w:color="auto"/>
              <w:left w:val="none" w:sz="0" w:space="0" w:color="auto"/>
              <w:bottom w:val="none" w:sz="0" w:space="0" w:color="auto"/>
              <w:right w:val="none" w:sz="0" w:space="0" w:color="auto"/>
            </w:tcBorders>
          </w:tcPr>
          <w:p>
            <w:r>
              <w:rPr>
                <w:rFonts w:ascii="Times New Roman" w:hAnsi="Times New Roman"/>
                <w:b/>
                <w:sz w:val="22"/>
              </w:rPr>
              <w:t>References</w:t>
            </w:r>
          </w:p>
        </w:tc>
        <w:tc>
          <w:tcPr>
            <w:tcW w:type="dxa" w:w="850"/>
            <w:tcBorders>
              <w:top w:val="none" w:sz="0" w:space="0" w:color="auto"/>
              <w:left w:val="none" w:sz="0" w:space="0" w:color="auto"/>
              <w:bottom w:val="none" w:sz="0" w:space="0" w:color="auto"/>
              <w:right w:val="none" w:sz="0" w:space="0" w:color="auto"/>
            </w:tcBorders>
          </w:tcPr>
          <w:p>
            <w:pPr>
              <w:jc w:val="right"/>
            </w:pPr>
            <w:r>
              <w:rPr>
                <w:rFonts w:ascii="Times New Roman" w:hAnsi="Times New Roman"/>
                <w:b/>
                <w:sz w:val="22"/>
              </w:rPr>
              <w:t>32</w:t>
            </w:r>
          </w:p>
        </w:tc>
      </w:tr>
    </w:tbl>
    <w:p>
      <w:r>
        <w:br w:type="page"/>
      </w:r>
    </w:p>
    <w:p>
      <w:pPr>
        <w:pStyle w:val="Heading2"/>
        <w:jc w:val="center"/>
      </w:pPr>
      <w:r>
        <w:rPr>
          <w:rFonts w:ascii="Times New Roman" w:hAnsi="Times New Roman"/>
          <w:color w:val="000000"/>
        </w:rPr>
        <w:t>LIST OF TABLES</w:t>
      </w:r>
    </w:p>
    <w:p/>
    <w:tbl>
      <w:tblPr>
        <w:tblStyle w:val="TableGrid"/>
        <w:tblW w:type="auto" w:w="0"/>
        <w:jc w:val="center"/>
        <w:tblLook w:firstColumn="1" w:firstRow="1" w:lastColumn="0" w:lastRow="0" w:noHBand="0" w:noVBand="1" w:val="04A0"/>
      </w:tblPr>
      <w:tblGrid>
        <w:gridCol w:w="2882"/>
        <w:gridCol w:w="2882"/>
        <w:gridCol w:w="2882"/>
      </w:tblGrid>
      <w:tr>
        <w:tc>
          <w:tcPr>
            <w:tcW w:type="dxa" w:w="1134"/>
            <w:shd w:fill="D9E2F3"/>
          </w:tcPr>
          <w:p>
            <w:pPr>
              <w:jc w:val="center"/>
            </w:pPr>
            <w:r>
              <w:rPr>
                <w:rFonts w:ascii="Times New Roman" w:hAnsi="Times New Roman"/>
                <w:b/>
                <w:sz w:val="22"/>
              </w:rPr>
              <w:t>Sr. No.</w:t>
            </w:r>
          </w:p>
        </w:tc>
        <w:tc>
          <w:tcPr>
            <w:tcW w:type="dxa" w:w="5669"/>
            <w:shd w:fill="D9E2F3"/>
          </w:tcPr>
          <w:p>
            <w:pPr>
              <w:jc w:val="center"/>
            </w:pPr>
            <w:r>
              <w:rPr>
                <w:rFonts w:ascii="Times New Roman" w:hAnsi="Times New Roman"/>
                <w:b/>
                <w:sz w:val="22"/>
              </w:rPr>
              <w:t>Name of Table</w:t>
            </w:r>
          </w:p>
        </w:tc>
        <w:tc>
          <w:tcPr>
            <w:tcW w:type="dxa" w:w="1134"/>
            <w:shd w:fill="D9E2F3"/>
          </w:tcPr>
          <w:p>
            <w:pPr>
              <w:jc w:val="center"/>
            </w:pPr>
            <w:r>
              <w:rPr>
                <w:rFonts w:ascii="Times New Roman" w:hAnsi="Times New Roman"/>
                <w:b/>
                <w:sz w:val="22"/>
              </w:rPr>
              <w:t>Page</w:t>
            </w:r>
          </w:p>
        </w:tc>
      </w:tr>
      <w:tr>
        <w:tc>
          <w:tcPr>
            <w:tcW w:type="dxa" w:w="1134"/>
          </w:tcPr>
          <w:p>
            <w:pPr>
              <w:jc w:val="center"/>
            </w:pPr>
            <w:r>
              <w:rPr>
                <w:rFonts w:ascii="Times New Roman" w:hAnsi="Times New Roman"/>
                <w:sz w:val="22"/>
              </w:rPr>
              <w:t>1</w:t>
            </w:r>
          </w:p>
        </w:tc>
        <w:tc>
          <w:tcPr>
            <w:tcW w:type="dxa" w:w="5669"/>
          </w:tcPr>
          <w:p>
            <w:pPr>
              <w:jc w:val="center"/>
            </w:pPr>
            <w:r>
              <w:rPr>
                <w:rFonts w:ascii="Times New Roman" w:hAnsi="Times New Roman"/>
                <w:sz w:val="22"/>
              </w:rPr>
              <w:t>Technology Stack</w:t>
            </w:r>
          </w:p>
        </w:tc>
        <w:tc>
          <w:tcPr>
            <w:tcW w:type="dxa" w:w="1134"/>
          </w:tcPr>
          <w:p>
            <w:pPr>
              <w:jc w:val="center"/>
            </w:pPr>
            <w:r>
              <w:rPr>
                <w:rFonts w:ascii="Times New Roman" w:hAnsi="Times New Roman"/>
                <w:sz w:val="22"/>
              </w:rPr>
              <w:t>9</w:t>
            </w:r>
          </w:p>
        </w:tc>
      </w:tr>
      <w:tr>
        <w:tc>
          <w:tcPr>
            <w:tcW w:type="dxa" w:w="1134"/>
          </w:tcPr>
          <w:p>
            <w:pPr>
              <w:jc w:val="center"/>
            </w:pPr>
            <w:r>
              <w:rPr>
                <w:rFonts w:ascii="Times New Roman" w:hAnsi="Times New Roman"/>
                <w:sz w:val="22"/>
              </w:rPr>
              <w:t>2</w:t>
            </w:r>
          </w:p>
        </w:tc>
        <w:tc>
          <w:tcPr>
            <w:tcW w:type="dxa" w:w="5669"/>
          </w:tcPr>
          <w:p>
            <w:pPr>
              <w:jc w:val="center"/>
            </w:pPr>
            <w:r>
              <w:rPr>
                <w:rFonts w:ascii="Times New Roman" w:hAnsi="Times New Roman"/>
                <w:sz w:val="22"/>
              </w:rPr>
              <w:t>Compliance Status Labels</w:t>
            </w:r>
          </w:p>
        </w:tc>
        <w:tc>
          <w:tcPr>
            <w:tcW w:type="dxa" w:w="1134"/>
          </w:tcPr>
          <w:p>
            <w:pPr>
              <w:jc w:val="center"/>
            </w:pPr>
            <w:r>
              <w:rPr>
                <w:rFonts w:ascii="Times New Roman" w:hAnsi="Times New Roman"/>
                <w:sz w:val="22"/>
              </w:rPr>
              <w:t>12</w:t>
            </w:r>
          </w:p>
        </w:tc>
      </w:tr>
      <w:tr>
        <w:tc>
          <w:tcPr>
            <w:tcW w:type="dxa" w:w="1134"/>
          </w:tcPr>
          <w:p>
            <w:pPr>
              <w:jc w:val="center"/>
            </w:pPr>
            <w:r>
              <w:rPr>
                <w:rFonts w:ascii="Times New Roman" w:hAnsi="Times New Roman"/>
                <w:sz w:val="22"/>
              </w:rPr>
              <w:t>3</w:t>
            </w:r>
          </w:p>
        </w:tc>
        <w:tc>
          <w:tcPr>
            <w:tcW w:type="dxa" w:w="5669"/>
          </w:tcPr>
          <w:p>
            <w:pPr>
              <w:jc w:val="center"/>
            </w:pPr>
            <w:r>
              <w:rPr>
                <w:rFonts w:ascii="Times New Roman" w:hAnsi="Times New Roman"/>
                <w:sz w:val="22"/>
              </w:rPr>
              <w:t>GRI Scope Configuration</w:t>
            </w:r>
          </w:p>
        </w:tc>
        <w:tc>
          <w:tcPr>
            <w:tcW w:type="dxa" w:w="1134"/>
          </w:tcPr>
          <w:p>
            <w:pPr>
              <w:jc w:val="center"/>
            </w:pPr>
            <w:r>
              <w:rPr>
                <w:rFonts w:ascii="Times New Roman" w:hAnsi="Times New Roman"/>
                <w:sz w:val="22"/>
              </w:rPr>
              <w:t>11</w:t>
            </w:r>
          </w:p>
        </w:tc>
      </w:tr>
      <w:tr>
        <w:tc>
          <w:tcPr>
            <w:tcW w:type="dxa" w:w="1134"/>
          </w:tcPr>
          <w:p>
            <w:pPr>
              <w:jc w:val="center"/>
            </w:pPr>
            <w:r>
              <w:rPr>
                <w:rFonts w:ascii="Times New Roman" w:hAnsi="Times New Roman"/>
                <w:sz w:val="22"/>
              </w:rPr>
              <w:t>4</w:t>
            </w:r>
          </w:p>
        </w:tc>
        <w:tc>
          <w:tcPr>
            <w:tcW w:type="dxa" w:w="5669"/>
          </w:tcPr>
          <w:p>
            <w:pPr>
              <w:jc w:val="center"/>
            </w:pPr>
            <w:r>
              <w:rPr>
                <w:rFonts w:ascii="Times New Roman" w:hAnsi="Times New Roman"/>
                <w:sz w:val="22"/>
              </w:rPr>
              <w:t>Framework-Specific Prompt Philosophies</w:t>
            </w:r>
          </w:p>
        </w:tc>
        <w:tc>
          <w:tcPr>
            <w:tcW w:type="dxa" w:w="1134"/>
          </w:tcPr>
          <w:p>
            <w:pPr>
              <w:jc w:val="center"/>
            </w:pPr>
            <w:r>
              <w:rPr>
                <w:rFonts w:ascii="Times New Roman" w:hAnsi="Times New Roman"/>
                <w:sz w:val="22"/>
              </w:rPr>
              <w:t>13</w:t>
            </w:r>
          </w:p>
        </w:tc>
      </w:tr>
      <w:tr>
        <w:tc>
          <w:tcPr>
            <w:tcW w:type="dxa" w:w="1134"/>
          </w:tcPr>
          <w:p>
            <w:pPr>
              <w:jc w:val="center"/>
            </w:pPr>
            <w:r>
              <w:rPr>
                <w:rFonts w:ascii="Times New Roman" w:hAnsi="Times New Roman"/>
                <w:sz w:val="22"/>
              </w:rPr>
              <w:t>5</w:t>
            </w:r>
          </w:p>
        </w:tc>
        <w:tc>
          <w:tcPr>
            <w:tcW w:type="dxa" w:w="5669"/>
          </w:tcPr>
          <w:p>
            <w:pPr>
              <w:jc w:val="center"/>
            </w:pPr>
            <w:r>
              <w:rPr>
                <w:rFonts w:ascii="Times New Roman" w:hAnsi="Times New Roman"/>
                <w:sz w:val="22"/>
              </w:rPr>
              <w:t>Rule Validation Types</w:t>
            </w:r>
          </w:p>
        </w:tc>
        <w:tc>
          <w:tcPr>
            <w:tcW w:type="dxa" w:w="1134"/>
          </w:tcPr>
          <w:p>
            <w:pPr>
              <w:jc w:val="center"/>
            </w:pPr>
            <w:r>
              <w:rPr>
                <w:rFonts w:ascii="Times New Roman" w:hAnsi="Times New Roman"/>
                <w:sz w:val="22"/>
              </w:rPr>
              <w:t>14</w:t>
            </w:r>
          </w:p>
        </w:tc>
      </w:tr>
      <w:tr>
        <w:tc>
          <w:tcPr>
            <w:tcW w:type="dxa" w:w="1134"/>
          </w:tcPr>
          <w:p>
            <w:pPr>
              <w:jc w:val="center"/>
            </w:pPr>
            <w:r>
              <w:rPr>
                <w:rFonts w:ascii="Times New Roman" w:hAnsi="Times New Roman"/>
                <w:sz w:val="22"/>
              </w:rPr>
              <w:t>6</w:t>
            </w:r>
          </w:p>
        </w:tc>
        <w:tc>
          <w:tcPr>
            <w:tcW w:type="dxa" w:w="5669"/>
          </w:tcPr>
          <w:p>
            <w:pPr>
              <w:jc w:val="center"/>
            </w:pPr>
            <w:r>
              <w:rPr>
                <w:rFonts w:ascii="Times New Roman" w:hAnsi="Times New Roman"/>
                <w:sz w:val="22"/>
              </w:rPr>
              <w:t>Confidence Blending Formulas</w:t>
            </w:r>
          </w:p>
        </w:tc>
        <w:tc>
          <w:tcPr>
            <w:tcW w:type="dxa" w:w="1134"/>
          </w:tcPr>
          <w:p>
            <w:pPr>
              <w:jc w:val="center"/>
            </w:pPr>
            <w:r>
              <w:rPr>
                <w:rFonts w:ascii="Times New Roman" w:hAnsi="Times New Roman"/>
                <w:sz w:val="22"/>
              </w:rPr>
              <w:t>15</w:t>
            </w:r>
          </w:p>
        </w:tc>
      </w:tr>
      <w:tr>
        <w:tc>
          <w:tcPr>
            <w:tcW w:type="dxa" w:w="1134"/>
          </w:tcPr>
          <w:p>
            <w:pPr>
              <w:jc w:val="center"/>
            </w:pPr>
            <w:r>
              <w:rPr>
                <w:rFonts w:ascii="Times New Roman" w:hAnsi="Times New Roman"/>
                <w:sz w:val="22"/>
              </w:rPr>
              <w:t>7</w:t>
            </w:r>
          </w:p>
        </w:tc>
        <w:tc>
          <w:tcPr>
            <w:tcW w:type="dxa" w:w="5669"/>
          </w:tcPr>
          <w:p>
            <w:pPr>
              <w:jc w:val="center"/>
            </w:pPr>
            <w:r>
              <w:rPr>
                <w:rFonts w:ascii="Times New Roman" w:hAnsi="Times New Roman"/>
                <w:sz w:val="22"/>
              </w:rPr>
              <w:t>Dataset Summary – Companies Evaluated</w:t>
            </w:r>
          </w:p>
        </w:tc>
        <w:tc>
          <w:tcPr>
            <w:tcW w:type="dxa" w:w="1134"/>
          </w:tcPr>
          <w:p>
            <w:pPr>
              <w:jc w:val="center"/>
            </w:pPr>
            <w:r>
              <w:rPr>
                <w:rFonts w:ascii="Times New Roman" w:hAnsi="Times New Roman"/>
                <w:sz w:val="22"/>
              </w:rPr>
              <w:t>23</w:t>
            </w:r>
          </w:p>
        </w:tc>
      </w:tr>
      <w:tr>
        <w:tc>
          <w:tcPr>
            <w:tcW w:type="dxa" w:w="1134"/>
          </w:tcPr>
          <w:p>
            <w:pPr>
              <w:jc w:val="center"/>
            </w:pPr>
            <w:r>
              <w:rPr>
                <w:rFonts w:ascii="Times New Roman" w:hAnsi="Times New Roman"/>
                <w:sz w:val="22"/>
              </w:rPr>
              <w:t>8</w:t>
            </w:r>
          </w:p>
        </w:tc>
        <w:tc>
          <w:tcPr>
            <w:tcW w:type="dxa" w:w="5669"/>
          </w:tcPr>
          <w:p>
            <w:pPr>
              <w:jc w:val="center"/>
            </w:pPr>
            <w:r>
              <w:rPr>
                <w:rFonts w:ascii="Times New Roman" w:hAnsi="Times New Roman"/>
                <w:sz w:val="22"/>
              </w:rPr>
              <w:t>Framework-Wise Accuracy Metrics</w:t>
            </w:r>
          </w:p>
        </w:tc>
        <w:tc>
          <w:tcPr>
            <w:tcW w:type="dxa" w:w="1134"/>
          </w:tcPr>
          <w:p>
            <w:pPr>
              <w:jc w:val="center"/>
            </w:pPr>
            <w:r>
              <w:rPr>
                <w:rFonts w:ascii="Times New Roman" w:hAnsi="Times New Roman"/>
                <w:sz w:val="22"/>
              </w:rPr>
              <w:t>24</w:t>
            </w:r>
          </w:p>
        </w:tc>
      </w:tr>
      <w:tr>
        <w:tc>
          <w:tcPr>
            <w:tcW w:type="dxa" w:w="1134"/>
          </w:tcPr>
          <w:p>
            <w:pPr>
              <w:jc w:val="center"/>
            </w:pPr>
            <w:r>
              <w:rPr>
                <w:rFonts w:ascii="Times New Roman" w:hAnsi="Times New Roman"/>
                <w:sz w:val="22"/>
              </w:rPr>
              <w:t>9</w:t>
            </w:r>
          </w:p>
        </w:tc>
        <w:tc>
          <w:tcPr>
            <w:tcW w:type="dxa" w:w="5669"/>
          </w:tcPr>
          <w:p>
            <w:pPr>
              <w:jc w:val="center"/>
            </w:pPr>
            <w:r>
              <w:rPr>
                <w:rFonts w:ascii="Times New Roman" w:hAnsi="Times New Roman"/>
                <w:sz w:val="22"/>
              </w:rPr>
              <w:t>Processing Performance Benchmarks</w:t>
            </w:r>
          </w:p>
        </w:tc>
        <w:tc>
          <w:tcPr>
            <w:tcW w:type="dxa" w:w="1134"/>
          </w:tcPr>
          <w:p>
            <w:pPr>
              <w:jc w:val="center"/>
            </w:pPr>
            <w:r>
              <w:rPr>
                <w:rFonts w:ascii="Times New Roman" w:hAnsi="Times New Roman"/>
                <w:sz w:val="22"/>
              </w:rPr>
              <w:t>26</w:t>
            </w:r>
          </w:p>
        </w:tc>
      </w:tr>
      <w:tr>
        <w:tc>
          <w:tcPr>
            <w:tcW w:type="dxa" w:w="1134"/>
          </w:tcPr>
          <w:p>
            <w:pPr>
              <w:jc w:val="center"/>
            </w:pPr>
            <w:r>
              <w:rPr>
                <w:rFonts w:ascii="Times New Roman" w:hAnsi="Times New Roman"/>
                <w:sz w:val="22"/>
              </w:rPr>
              <w:t>10</w:t>
            </w:r>
          </w:p>
        </w:tc>
        <w:tc>
          <w:tcPr>
            <w:tcW w:type="dxa" w:w="5669"/>
          </w:tcPr>
          <w:p>
            <w:pPr>
              <w:jc w:val="center"/>
            </w:pPr>
            <w:r>
              <w:rPr>
                <w:rFonts w:ascii="Times New Roman" w:hAnsi="Times New Roman"/>
                <w:sz w:val="22"/>
              </w:rPr>
              <w:t>Feature Completion Summary</w:t>
            </w:r>
          </w:p>
        </w:tc>
        <w:tc>
          <w:tcPr>
            <w:tcW w:type="dxa" w:w="1134"/>
          </w:tcPr>
          <w:p>
            <w:pPr>
              <w:jc w:val="center"/>
            </w:pPr>
            <w:r>
              <w:rPr>
                <w:rFonts w:ascii="Times New Roman" w:hAnsi="Times New Roman"/>
                <w:sz w:val="22"/>
              </w:rPr>
              <w:t>26</w:t>
            </w:r>
          </w:p>
        </w:tc>
      </w:tr>
    </w:tbl>
    <w:p/>
    <w:p>
      <w:pPr>
        <w:pStyle w:val="Heading2"/>
        <w:jc w:val="center"/>
      </w:pPr>
      <w:r>
        <w:rPr>
          <w:rFonts w:ascii="Times New Roman" w:hAnsi="Times New Roman"/>
          <w:color w:val="000000"/>
        </w:rPr>
        <w:t>LIST OF FIGURES</w:t>
      </w:r>
    </w:p>
    <w:p/>
    <w:tbl>
      <w:tblPr>
        <w:tblStyle w:val="TableGrid"/>
        <w:tblW w:type="auto" w:w="0"/>
        <w:jc w:val="center"/>
        <w:tblLook w:firstColumn="1" w:firstRow="1" w:lastColumn="0" w:lastRow="0" w:noHBand="0" w:noVBand="1" w:val="04A0"/>
      </w:tblPr>
      <w:tblGrid>
        <w:gridCol w:w="2882"/>
        <w:gridCol w:w="2882"/>
        <w:gridCol w:w="2882"/>
      </w:tblGrid>
      <w:tr>
        <w:tc>
          <w:tcPr>
            <w:tcW w:type="dxa" w:w="1134"/>
            <w:shd w:fill="D9E2F3"/>
          </w:tcPr>
          <w:p>
            <w:pPr>
              <w:jc w:val="center"/>
            </w:pPr>
            <w:r>
              <w:rPr>
                <w:rFonts w:ascii="Times New Roman" w:hAnsi="Times New Roman"/>
                <w:b/>
                <w:sz w:val="22"/>
              </w:rPr>
              <w:t>Sr. No.</w:t>
            </w:r>
          </w:p>
        </w:tc>
        <w:tc>
          <w:tcPr>
            <w:tcW w:type="dxa" w:w="5669"/>
            <w:shd w:fill="D9E2F3"/>
          </w:tcPr>
          <w:p>
            <w:pPr>
              <w:jc w:val="center"/>
            </w:pPr>
            <w:r>
              <w:rPr>
                <w:rFonts w:ascii="Times New Roman" w:hAnsi="Times New Roman"/>
                <w:b/>
                <w:sz w:val="22"/>
              </w:rPr>
              <w:t>Name of Figure</w:t>
            </w:r>
          </w:p>
        </w:tc>
        <w:tc>
          <w:tcPr>
            <w:tcW w:type="dxa" w:w="1134"/>
            <w:shd w:fill="D9E2F3"/>
          </w:tcPr>
          <w:p>
            <w:pPr>
              <w:jc w:val="center"/>
            </w:pPr>
            <w:r>
              <w:rPr>
                <w:rFonts w:ascii="Times New Roman" w:hAnsi="Times New Roman"/>
                <w:b/>
                <w:sz w:val="22"/>
              </w:rPr>
              <w:t>Page</w:t>
            </w:r>
          </w:p>
        </w:tc>
      </w:tr>
      <w:tr>
        <w:tc>
          <w:tcPr>
            <w:tcW w:type="dxa" w:w="1134"/>
          </w:tcPr>
          <w:p>
            <w:pPr>
              <w:jc w:val="center"/>
            </w:pPr>
            <w:r>
              <w:rPr>
                <w:rFonts w:ascii="Times New Roman" w:hAnsi="Times New Roman"/>
                <w:sz w:val="22"/>
              </w:rPr>
              <w:t>1</w:t>
            </w:r>
          </w:p>
        </w:tc>
        <w:tc>
          <w:tcPr>
            <w:tcW w:type="dxa" w:w="5669"/>
          </w:tcPr>
          <w:p>
            <w:pPr>
              <w:jc w:val="center"/>
            </w:pPr>
            <w:r>
              <w:rPr>
                <w:rFonts w:ascii="Times New Roman" w:hAnsi="Times New Roman"/>
                <w:sz w:val="22"/>
              </w:rPr>
              <w:t>High-Level System Architecture</w:t>
            </w:r>
          </w:p>
        </w:tc>
        <w:tc>
          <w:tcPr>
            <w:tcW w:type="dxa" w:w="1134"/>
          </w:tcPr>
          <w:p>
            <w:pPr>
              <w:jc w:val="center"/>
            </w:pPr>
            <w:r>
              <w:rPr>
                <w:rFonts w:ascii="Times New Roman" w:hAnsi="Times New Roman"/>
                <w:sz w:val="22"/>
              </w:rPr>
              <w:t>8</w:t>
            </w:r>
          </w:p>
        </w:tc>
      </w:tr>
      <w:tr>
        <w:tc>
          <w:tcPr>
            <w:tcW w:type="dxa" w:w="1134"/>
          </w:tcPr>
          <w:p>
            <w:pPr>
              <w:jc w:val="center"/>
            </w:pPr>
            <w:r>
              <w:rPr>
                <w:rFonts w:ascii="Times New Roman" w:hAnsi="Times New Roman"/>
                <w:sz w:val="22"/>
              </w:rPr>
              <w:t>2</w:t>
            </w:r>
          </w:p>
        </w:tc>
        <w:tc>
          <w:tcPr>
            <w:tcW w:type="dxa" w:w="5669"/>
          </w:tcPr>
          <w:p>
            <w:pPr>
              <w:jc w:val="center"/>
            </w:pPr>
            <w:r>
              <w:rPr>
                <w:rFonts w:ascii="Times New Roman" w:hAnsi="Times New Roman"/>
                <w:sz w:val="22"/>
              </w:rPr>
              <w:t>Compliance Evaluation Pipeline Flow</w:t>
            </w:r>
          </w:p>
        </w:tc>
        <w:tc>
          <w:tcPr>
            <w:tcW w:type="dxa" w:w="1134"/>
          </w:tcPr>
          <w:p>
            <w:pPr>
              <w:jc w:val="center"/>
            </w:pPr>
            <w:r>
              <w:rPr>
                <w:rFonts w:ascii="Times New Roman" w:hAnsi="Times New Roman"/>
                <w:sz w:val="22"/>
              </w:rPr>
              <w:t>12</w:t>
            </w:r>
          </w:p>
        </w:tc>
      </w:tr>
      <w:tr>
        <w:tc>
          <w:tcPr>
            <w:tcW w:type="dxa" w:w="1134"/>
          </w:tcPr>
          <w:p>
            <w:pPr>
              <w:jc w:val="center"/>
            </w:pPr>
            <w:r>
              <w:rPr>
                <w:rFonts w:ascii="Times New Roman" w:hAnsi="Times New Roman"/>
                <w:sz w:val="22"/>
              </w:rPr>
              <w:t>3</w:t>
            </w:r>
          </w:p>
        </w:tc>
        <w:tc>
          <w:tcPr>
            <w:tcW w:type="dxa" w:w="5669"/>
          </w:tcPr>
          <w:p>
            <w:pPr>
              <w:jc w:val="center"/>
            </w:pPr>
            <w:r>
              <w:rPr>
                <w:rFonts w:ascii="Times New Roman" w:hAnsi="Times New Roman"/>
                <w:sz w:val="22"/>
              </w:rPr>
              <w:t>Agentic AI Reasoning Flow</w:t>
            </w:r>
          </w:p>
        </w:tc>
        <w:tc>
          <w:tcPr>
            <w:tcW w:type="dxa" w:w="1134"/>
          </w:tcPr>
          <w:p>
            <w:pPr>
              <w:jc w:val="center"/>
            </w:pPr>
            <w:r>
              <w:rPr>
                <w:rFonts w:ascii="Times New Roman" w:hAnsi="Times New Roman"/>
                <w:sz w:val="22"/>
              </w:rPr>
              <w:t>15</w:t>
            </w:r>
          </w:p>
        </w:tc>
      </w:tr>
      <w:tr>
        <w:tc>
          <w:tcPr>
            <w:tcW w:type="dxa" w:w="1134"/>
          </w:tcPr>
          <w:p>
            <w:pPr>
              <w:jc w:val="center"/>
            </w:pPr>
            <w:r>
              <w:rPr>
                <w:rFonts w:ascii="Times New Roman" w:hAnsi="Times New Roman"/>
                <w:sz w:val="22"/>
              </w:rPr>
              <w:t>4</w:t>
            </w:r>
          </w:p>
        </w:tc>
        <w:tc>
          <w:tcPr>
            <w:tcW w:type="dxa" w:w="5669"/>
          </w:tcPr>
          <w:p>
            <w:pPr>
              <w:jc w:val="center"/>
            </w:pPr>
            <w:r>
              <w:rPr>
                <w:rFonts w:ascii="Times New Roman" w:hAnsi="Times New Roman"/>
                <w:sz w:val="22"/>
              </w:rPr>
              <w:t>Home Page / Dashboard</w:t>
            </w:r>
          </w:p>
        </w:tc>
        <w:tc>
          <w:tcPr>
            <w:tcW w:type="dxa" w:w="1134"/>
          </w:tcPr>
          <w:p>
            <w:pPr>
              <w:jc w:val="center"/>
            </w:pPr>
            <w:r>
              <w:rPr>
                <w:rFonts w:ascii="Times New Roman" w:hAnsi="Times New Roman"/>
                <w:sz w:val="22"/>
              </w:rPr>
              <w:t>19</w:t>
            </w:r>
          </w:p>
        </w:tc>
      </w:tr>
      <w:tr>
        <w:tc>
          <w:tcPr>
            <w:tcW w:type="dxa" w:w="1134"/>
          </w:tcPr>
          <w:p>
            <w:pPr>
              <w:jc w:val="center"/>
            </w:pPr>
            <w:r>
              <w:rPr>
                <w:rFonts w:ascii="Times New Roman" w:hAnsi="Times New Roman"/>
                <w:sz w:val="22"/>
              </w:rPr>
              <w:t>5</w:t>
            </w:r>
          </w:p>
        </w:tc>
        <w:tc>
          <w:tcPr>
            <w:tcW w:type="dxa" w:w="5669"/>
          </w:tcPr>
          <w:p>
            <w:pPr>
              <w:jc w:val="center"/>
            </w:pPr>
            <w:r>
              <w:rPr>
                <w:rFonts w:ascii="Times New Roman" w:hAnsi="Times New Roman"/>
                <w:sz w:val="22"/>
              </w:rPr>
              <w:t>Document Upload Interface</w:t>
            </w:r>
          </w:p>
        </w:tc>
        <w:tc>
          <w:tcPr>
            <w:tcW w:type="dxa" w:w="1134"/>
          </w:tcPr>
          <w:p>
            <w:pPr>
              <w:jc w:val="center"/>
            </w:pPr>
            <w:r>
              <w:rPr>
                <w:rFonts w:ascii="Times New Roman" w:hAnsi="Times New Roman"/>
                <w:sz w:val="22"/>
              </w:rPr>
              <w:t>19</w:t>
            </w:r>
          </w:p>
        </w:tc>
      </w:tr>
      <w:tr>
        <w:tc>
          <w:tcPr>
            <w:tcW w:type="dxa" w:w="1134"/>
          </w:tcPr>
          <w:p>
            <w:pPr>
              <w:jc w:val="center"/>
            </w:pPr>
            <w:r>
              <w:rPr>
                <w:rFonts w:ascii="Times New Roman" w:hAnsi="Times New Roman"/>
                <w:sz w:val="22"/>
              </w:rPr>
              <w:t>6</w:t>
            </w:r>
          </w:p>
        </w:tc>
        <w:tc>
          <w:tcPr>
            <w:tcW w:type="dxa" w:w="5669"/>
          </w:tcPr>
          <w:p>
            <w:pPr>
              <w:jc w:val="center"/>
            </w:pPr>
            <w:r>
              <w:rPr>
                <w:rFonts w:ascii="Times New Roman" w:hAnsi="Times New Roman"/>
                <w:sz w:val="22"/>
              </w:rPr>
              <w:t>Documents List</w:t>
            </w:r>
          </w:p>
        </w:tc>
        <w:tc>
          <w:tcPr>
            <w:tcW w:type="dxa" w:w="1134"/>
          </w:tcPr>
          <w:p>
            <w:pPr>
              <w:jc w:val="center"/>
            </w:pPr>
            <w:r>
              <w:rPr>
                <w:rFonts w:ascii="Times New Roman" w:hAnsi="Times New Roman"/>
                <w:sz w:val="22"/>
              </w:rPr>
              <w:t>20</w:t>
            </w:r>
          </w:p>
        </w:tc>
      </w:tr>
      <w:tr>
        <w:tc>
          <w:tcPr>
            <w:tcW w:type="dxa" w:w="1134"/>
          </w:tcPr>
          <w:p>
            <w:pPr>
              <w:jc w:val="center"/>
            </w:pPr>
            <w:r>
              <w:rPr>
                <w:rFonts w:ascii="Times New Roman" w:hAnsi="Times New Roman"/>
                <w:sz w:val="22"/>
              </w:rPr>
              <w:t>7</w:t>
            </w:r>
          </w:p>
        </w:tc>
        <w:tc>
          <w:tcPr>
            <w:tcW w:type="dxa" w:w="5669"/>
          </w:tcPr>
          <w:p>
            <w:pPr>
              <w:jc w:val="center"/>
            </w:pPr>
            <w:r>
              <w:rPr>
                <w:rFonts w:ascii="Times New Roman" w:hAnsi="Times New Roman"/>
                <w:sz w:val="22"/>
              </w:rPr>
              <w:t>Compliance Reports List</w:t>
            </w:r>
          </w:p>
        </w:tc>
        <w:tc>
          <w:tcPr>
            <w:tcW w:type="dxa" w:w="1134"/>
          </w:tcPr>
          <w:p>
            <w:pPr>
              <w:jc w:val="center"/>
            </w:pPr>
            <w:r>
              <w:rPr>
                <w:rFonts w:ascii="Times New Roman" w:hAnsi="Times New Roman"/>
                <w:sz w:val="22"/>
              </w:rPr>
              <w:t>20</w:t>
            </w:r>
          </w:p>
        </w:tc>
      </w:tr>
      <w:tr>
        <w:tc>
          <w:tcPr>
            <w:tcW w:type="dxa" w:w="1134"/>
          </w:tcPr>
          <w:p>
            <w:pPr>
              <w:jc w:val="center"/>
            </w:pPr>
            <w:r>
              <w:rPr>
                <w:rFonts w:ascii="Times New Roman" w:hAnsi="Times New Roman"/>
                <w:sz w:val="22"/>
              </w:rPr>
              <w:t>8</w:t>
            </w:r>
          </w:p>
        </w:tc>
        <w:tc>
          <w:tcPr>
            <w:tcW w:type="dxa" w:w="5669"/>
          </w:tcPr>
          <w:p>
            <w:pPr>
              <w:jc w:val="center"/>
            </w:pPr>
            <w:r>
              <w:rPr>
                <w:rFonts w:ascii="Times New Roman" w:hAnsi="Times New Roman"/>
                <w:sz w:val="22"/>
              </w:rPr>
              <w:t>Report Detail – Summary and Accuracy Metrics</w:t>
            </w:r>
          </w:p>
        </w:tc>
        <w:tc>
          <w:tcPr>
            <w:tcW w:type="dxa" w:w="1134"/>
          </w:tcPr>
          <w:p>
            <w:pPr>
              <w:jc w:val="center"/>
            </w:pPr>
            <w:r>
              <w:rPr>
                <w:rFonts w:ascii="Times New Roman" w:hAnsi="Times New Roman"/>
                <w:sz w:val="22"/>
              </w:rPr>
              <w:t>21</w:t>
            </w:r>
          </w:p>
        </w:tc>
      </w:tr>
      <w:tr>
        <w:tc>
          <w:tcPr>
            <w:tcW w:type="dxa" w:w="1134"/>
          </w:tcPr>
          <w:p>
            <w:pPr>
              <w:jc w:val="center"/>
            </w:pPr>
            <w:r>
              <w:rPr>
                <w:rFonts w:ascii="Times New Roman" w:hAnsi="Times New Roman"/>
                <w:sz w:val="22"/>
              </w:rPr>
              <w:t>9</w:t>
            </w:r>
          </w:p>
        </w:tc>
        <w:tc>
          <w:tcPr>
            <w:tcW w:type="dxa" w:w="5669"/>
          </w:tcPr>
          <w:p>
            <w:pPr>
              <w:jc w:val="center"/>
            </w:pPr>
            <w:r>
              <w:rPr>
                <w:rFonts w:ascii="Times New Roman" w:hAnsi="Times New Roman"/>
                <w:sz w:val="22"/>
              </w:rPr>
              <w:t>Report Detail – Human Verification</w:t>
            </w:r>
          </w:p>
        </w:tc>
        <w:tc>
          <w:tcPr>
            <w:tcW w:type="dxa" w:w="1134"/>
          </w:tcPr>
          <w:p>
            <w:pPr>
              <w:jc w:val="center"/>
            </w:pPr>
            <w:r>
              <w:rPr>
                <w:rFonts w:ascii="Times New Roman" w:hAnsi="Times New Roman"/>
                <w:sz w:val="22"/>
              </w:rPr>
              <w:t>21</w:t>
            </w:r>
          </w:p>
        </w:tc>
      </w:tr>
      <w:tr>
        <w:tc>
          <w:tcPr>
            <w:tcW w:type="dxa" w:w="1134"/>
          </w:tcPr>
          <w:p>
            <w:pPr>
              <w:jc w:val="center"/>
            </w:pPr>
            <w:r>
              <w:rPr>
                <w:rFonts w:ascii="Times New Roman" w:hAnsi="Times New Roman"/>
                <w:sz w:val="22"/>
              </w:rPr>
              <w:t>10</w:t>
            </w:r>
          </w:p>
        </w:tc>
        <w:tc>
          <w:tcPr>
            <w:tcW w:type="dxa" w:w="5669"/>
          </w:tcPr>
          <w:p>
            <w:pPr>
              <w:jc w:val="center"/>
            </w:pPr>
            <w:r>
              <w:rPr>
                <w:rFonts w:ascii="Times New Roman" w:hAnsi="Times New Roman"/>
                <w:sz w:val="22"/>
              </w:rPr>
              <w:t>Report Detail – Expanded Clause Analysis</w:t>
            </w:r>
          </w:p>
        </w:tc>
        <w:tc>
          <w:tcPr>
            <w:tcW w:type="dxa" w:w="1134"/>
          </w:tcPr>
          <w:p>
            <w:pPr>
              <w:jc w:val="center"/>
            </w:pPr>
            <w:r>
              <w:rPr>
                <w:rFonts w:ascii="Times New Roman" w:hAnsi="Times New Roman"/>
                <w:sz w:val="22"/>
              </w:rPr>
              <w:t>22</w:t>
            </w:r>
          </w:p>
        </w:tc>
      </w:tr>
      <w:tr>
        <w:tc>
          <w:tcPr>
            <w:tcW w:type="dxa" w:w="1134"/>
          </w:tcPr>
          <w:p>
            <w:pPr>
              <w:jc w:val="center"/>
            </w:pPr>
            <w:r>
              <w:rPr>
                <w:rFonts w:ascii="Times New Roman" w:hAnsi="Times New Roman"/>
                <w:sz w:val="22"/>
              </w:rPr>
              <w:t>11</w:t>
            </w:r>
          </w:p>
        </w:tc>
        <w:tc>
          <w:tcPr>
            <w:tcW w:type="dxa" w:w="5669"/>
          </w:tcPr>
          <w:p>
            <w:pPr>
              <w:jc w:val="center"/>
            </w:pPr>
            <w:r>
              <w:rPr>
                <w:rFonts w:ascii="Times New Roman" w:hAnsi="Times New Roman"/>
                <w:sz w:val="22"/>
              </w:rPr>
              <w:t>ESG Clauses Browser</w:t>
            </w:r>
          </w:p>
        </w:tc>
        <w:tc>
          <w:tcPr>
            <w:tcW w:type="dxa" w:w="1134"/>
          </w:tcPr>
          <w:p>
            <w:pPr>
              <w:jc w:val="center"/>
            </w:pPr>
            <w:r>
              <w:rPr>
                <w:rFonts w:ascii="Times New Roman" w:hAnsi="Times New Roman"/>
                <w:sz w:val="22"/>
              </w:rPr>
              <w:t>22</w:t>
            </w:r>
          </w:p>
        </w:tc>
      </w:tr>
      <w:tr>
        <w:tc>
          <w:tcPr>
            <w:tcW w:type="dxa" w:w="1134"/>
          </w:tcPr>
          <w:p>
            <w:pPr>
              <w:jc w:val="center"/>
            </w:pPr>
            <w:r>
              <w:rPr>
                <w:rFonts w:ascii="Times New Roman" w:hAnsi="Times New Roman"/>
                <w:sz w:val="22"/>
              </w:rPr>
              <w:t>12</w:t>
            </w:r>
          </w:p>
        </w:tc>
        <w:tc>
          <w:tcPr>
            <w:tcW w:type="dxa" w:w="5669"/>
          </w:tcPr>
          <w:p>
            <w:pPr>
              <w:jc w:val="center"/>
            </w:pPr>
            <w:r>
              <w:rPr>
                <w:rFonts w:ascii="Times New Roman" w:hAnsi="Times New Roman"/>
                <w:sz w:val="22"/>
              </w:rPr>
              <w:t>Analytics Dashboard</w:t>
            </w:r>
          </w:p>
        </w:tc>
        <w:tc>
          <w:tcPr>
            <w:tcW w:type="dxa" w:w="1134"/>
          </w:tcPr>
          <w:p>
            <w:pPr>
              <w:jc w:val="center"/>
            </w:pPr>
            <w:r>
              <w:rPr>
                <w:rFonts w:ascii="Times New Roman" w:hAnsi="Times New Roman"/>
                <w:sz w:val="22"/>
              </w:rPr>
              <w:t>23</w:t>
            </w:r>
          </w:p>
        </w:tc>
      </w:tr>
    </w:tbl>
    <w:p/>
    <w:p>
      <w:r>
        <w:br w:type="page"/>
      </w:r>
    </w:p>
    <w:p>
      <w:pPr>
        <w:pStyle w:val="Heading1"/>
        <w:jc w:val="center"/>
      </w:pPr>
      <w:r>
        <w:rPr>
          <w:rFonts w:ascii="Times New Roman" w:hAnsi="Times New Roman"/>
          <w:color w:val="000000"/>
        </w:rPr>
        <w:t>Chapter 1</w:t>
      </w:r>
    </w:p>
    <w:p>
      <w:pPr>
        <w:pStyle w:val="Heading1"/>
        <w:jc w:val="center"/>
      </w:pPr>
      <w:r>
        <w:rPr>
          <w:rFonts w:ascii="Times New Roman" w:hAnsi="Times New Roman"/>
          <w:color w:val="000000"/>
        </w:rPr>
        <w:t>Introduction</w:t>
      </w:r>
    </w:p>
    <w:p>
      <w:pPr>
        <w:pStyle w:val="Heading2"/>
        <w:jc w:val="left"/>
      </w:pPr>
      <w:r>
        <w:rPr>
          <w:rFonts w:ascii="Times New Roman" w:hAnsi="Times New Roman"/>
          <w:color w:val="000000"/>
        </w:rPr>
        <w:t>1.1 Background</w:t>
      </w:r>
    </w:p>
    <w:p>
      <w:pPr>
        <w:spacing w:after="120"/>
        <w:jc w:val="both"/>
      </w:pPr>
      <w:r>
        <w:rPr>
          <w:rFonts w:ascii="Times New Roman" w:hAnsi="Times New Roman"/>
          <w:b w:val="0"/>
          <w:i w:val="0"/>
          <w:sz w:val="24"/>
        </w:rPr>
        <w:t>The exponential growth of ESG (Environmental, Social, and Governance) reporting requirements globally has created unprecedented challenges for companies, auditors, and investors. Environmental, Social, and Governance factors have transitioned from voluntary corporate responsibility initiatives to mandatory regulatory requirements across major economies. This transformation reflects a growing consensus among regulators, investors, and civil society that non-financial disclosures are material to investment decisions, risk assessment, and societal welfare.</w:t>
      </w:r>
    </w:p>
    <w:p>
      <w:pPr>
        <w:spacing w:after="120"/>
        <w:jc w:val="both"/>
      </w:pPr>
      <w:r>
        <w:rPr>
          <w:rFonts w:ascii="Times New Roman" w:hAnsi="Times New Roman"/>
          <w:b w:val="0"/>
          <w:i w:val="0"/>
          <w:sz w:val="24"/>
        </w:rPr>
        <w:t>In India, the Securities and Exchange Board of India (SEBI) mandated the Business Responsibility and Sustainability Report (BRSR) for the top 1,000 listed companies starting FY 2022–23, requiring disclosures across over 265 individual requirements spanning environmental footprint, employee welfare, governance practices, and stakeholder engagement [13]. Globally, the Global Reporting Initiative (GRI) Standards remain the most widely adopted sustainability reporting framework, with over 10,000 organizations publishing GRI-aligned reports [14]. The GRI Universal Standards revision of 2021 introduced a modular structure with universal standards (GRI 1, 2, 3) alongside topic-specific standards covering emissions, water, waste, employment, and diversity.</w:t>
      </w:r>
    </w:p>
    <w:p>
      <w:pPr>
        <w:spacing w:after="120"/>
        <w:jc w:val="both"/>
      </w:pPr>
      <w:r>
        <w:rPr>
          <w:rFonts w:ascii="Times New Roman" w:hAnsi="Times New Roman"/>
          <w:b w:val="0"/>
          <w:i w:val="0"/>
          <w:sz w:val="24"/>
        </w:rPr>
        <w:t>The Task Force on Climate-related Financial Disclosures (TCFD), established by the Financial Stability Board in 2017, provides recommendations specifically targeting climate-related risks and opportunities organized under four pillars: Governance, Strategy, Risk Management, and Metrics and Targets [15]. The Sustainability Accounting Standards Board (SASB) complements these frameworks by providing industry-specific metrics designed to communicate financially material sustainability information to investors [8].</w:t>
      </w:r>
    </w:p>
    <w:p>
      <w:pPr>
        <w:spacing w:after="120"/>
        <w:jc w:val="both"/>
      </w:pPr>
      <w:r>
        <w:rPr>
          <w:rFonts w:ascii="Times New Roman" w:hAnsi="Times New Roman"/>
          <w:b w:val="0"/>
          <w:i w:val="0"/>
          <w:sz w:val="24"/>
        </w:rPr>
        <w:t>Compliance verification against these frameworks presents a formidable operational challenge. A single ESG standard may contain between 30 and 265 individual disclosure clauses, each requiring specific types of evidence—quantitative metrics, narrative descriptions, policy documentation, or temporal data. Companies must map their sustainability reports against each clause, determine the degree of compliance, and identify gaps. This process is currently performed manually by ESG consultants and compliance officers, often requiring three to five working days per framework per company. When the same company must be evaluated against multiple frameworks, the review time multiplies considerably. The manual process is inherently slow, subjective, and expensive—different analysts may interpret the same clause differently, and investment firms evaluating hundreds of portfolio companies find the approach fundamentally unscalable.</w:t>
      </w:r>
    </w:p>
    <w:p>
      <w:pPr>
        <w:pStyle w:val="Heading2"/>
        <w:jc w:val="left"/>
      </w:pPr>
      <w:r>
        <w:rPr>
          <w:rFonts w:ascii="Times New Roman" w:hAnsi="Times New Roman"/>
          <w:color w:val="000000"/>
        </w:rPr>
        <w:t>1.2 Motivation and Scope</w:t>
      </w:r>
    </w:p>
    <w:p>
      <w:pPr>
        <w:spacing w:after="120"/>
        <w:jc w:val="both"/>
      </w:pPr>
      <w:r>
        <w:rPr>
          <w:rFonts w:ascii="Times New Roman" w:hAnsi="Times New Roman"/>
          <w:b w:val="0"/>
          <w:i w:val="0"/>
          <w:sz w:val="24"/>
        </w:rPr>
        <w:t>The motivation for ESG Buddy stems from observed inefficiencies in current ESG compliance verification practices:</w:t>
      </w:r>
    </w:p>
    <w:p>
      <w:pPr>
        <w:pStyle w:val="ListBullet"/>
        <w:spacing w:after="60"/>
      </w:pPr>
      <w:r>
        <w:rPr>
          <w:rFonts w:ascii="Times New Roman" w:hAnsi="Times New Roman"/>
          <w:sz w:val="24"/>
        </w:rPr>
        <w:t>The manual nature of clause-by-clause review, requiring 3–5 working days per framework per company.</w:t>
      </w:r>
    </w:p>
    <w:p>
      <w:pPr>
        <w:pStyle w:val="ListBullet"/>
        <w:spacing w:after="60"/>
      </w:pPr>
      <w:r>
        <w:rPr>
          <w:rFonts w:ascii="Times New Roman" w:hAnsi="Times New Roman"/>
          <w:sz w:val="24"/>
        </w:rPr>
        <w:t>Inconsistency arising from subjective interpretation, where different analysts may reach different conclusions about the same disclosure.</w:t>
      </w:r>
    </w:p>
    <w:p>
      <w:pPr>
        <w:pStyle w:val="ListBullet"/>
        <w:spacing w:after="60"/>
      </w:pPr>
      <w:r>
        <w:rPr>
          <w:rFonts w:ascii="Times New Roman" w:hAnsi="Times New Roman"/>
          <w:sz w:val="24"/>
        </w:rPr>
        <w:t>Difficulty scaling across large portfolios, making it uneconomical for investment firms evaluating hundreds of companies.</w:t>
      </w:r>
    </w:p>
    <w:p>
      <w:pPr>
        <w:pStyle w:val="ListBullet"/>
        <w:spacing w:after="60"/>
      </w:pPr>
      <w:r>
        <w:rPr>
          <w:rFonts w:ascii="Times New Roman" w:hAnsi="Times New Roman"/>
          <w:sz w:val="24"/>
        </w:rPr>
        <w:t>The absence of standardized, quantitative accuracy measurement for compliance assessments.</w:t>
      </w:r>
    </w:p>
    <w:p>
      <w:pPr>
        <w:pStyle w:val="ListBullet"/>
        <w:spacing w:after="60"/>
      </w:pPr>
      <w:r>
        <w:rPr>
          <w:rFonts w:ascii="Times New Roman" w:hAnsi="Times New Roman"/>
          <w:sz w:val="24"/>
        </w:rPr>
        <w:t>Lack of transparent reasoning—traditional tools provide binary pass/fail without explaining why.</w:t>
      </w:r>
    </w:p>
    <w:p>
      <w:pPr>
        <w:spacing w:after="120"/>
        <w:jc w:val="both"/>
      </w:pPr>
      <w:r>
        <w:rPr>
          <w:rFonts w:ascii="Times New Roman" w:hAnsi="Times New Roman"/>
          <w:b w:val="0"/>
          <w:i w:val="0"/>
          <w:sz w:val="24"/>
        </w:rPr>
        <w:t>Large Language Models (LLMs) combined with Retrieval-Augmented Generation (RAG) and vector databases present a compelling opportunity to automate this process while maintaining explainability through evidence tracing. When augmented with the emerging paradigm of agentic AI—where the LLM reasons step-by-step through chain-of-thought prompting, critically reviews its own analysis through self-reflection, and revises its decisions when inconsistencies are detected—the system can mirror the deliberative process of a human compliance auditor.</w:t>
      </w:r>
    </w:p>
    <w:p>
      <w:pPr>
        <w:spacing w:after="120"/>
        <w:jc w:val="both"/>
      </w:pPr>
      <w:r>
        <w:rPr>
          <w:rFonts w:ascii="Times New Roman" w:hAnsi="Times New Roman"/>
          <w:b w:val="0"/>
          <w:i w:val="0"/>
          <w:sz w:val="24"/>
        </w:rPr>
        <w:t>The project scope encompasses: processing ESG standard PDFs into structured clause databases across four major frameworks (BRSR, GRI, TCFD, SASB); implementing semantic document search for evidence retrieval using vector embeddings; creating framework-specific AI evaluation with agentic reasoning; developing a human verification dashboard for ambiguous predictions; implementing ground truth accuracy measurement with comprehensive metrics; and building an analytics dashboard for multi-company, multi-framework compliance visualization.</w:t>
      </w:r>
    </w:p>
    <w:p>
      <w:pPr>
        <w:pStyle w:val="Heading2"/>
        <w:jc w:val="left"/>
      </w:pPr>
      <w:r>
        <w:rPr>
          <w:rFonts w:ascii="Times New Roman" w:hAnsi="Times New Roman"/>
          <w:color w:val="000000"/>
        </w:rPr>
        <w:t>1.3 Problem Statement</w:t>
      </w:r>
    </w:p>
    <w:p>
      <w:pPr>
        <w:spacing w:after="120"/>
        <w:jc w:val="both"/>
      </w:pPr>
      <w:r>
        <w:rPr>
          <w:rFonts w:ascii="Times New Roman" w:hAnsi="Times New Roman"/>
          <w:b w:val="0"/>
          <w:i w:val="0"/>
          <w:sz w:val="24"/>
        </w:rPr>
        <w:t>The primary problems addressed by ESG Buddy include:</w:t>
      </w:r>
    </w:p>
    <w:p>
      <w:pPr>
        <w:pStyle w:val="ListNumber"/>
        <w:spacing w:after="60"/>
      </w:pPr>
      <w:r>
        <w:rPr>
          <w:rFonts w:ascii="Times New Roman" w:hAnsi="Times New Roman"/>
          <w:sz w:val="24"/>
        </w:rPr>
        <w:t>Insufficient semantic understanding in existing automated compliance tools that rely on keyword matching, unable to interpret the nuanced language of ESG disclosures.</w:t>
      </w:r>
    </w:p>
    <w:p>
      <w:pPr>
        <w:pStyle w:val="ListNumber"/>
        <w:spacing w:after="60"/>
      </w:pPr>
      <w:r>
        <w:rPr>
          <w:rFonts w:ascii="Times New Roman" w:hAnsi="Times New Roman"/>
          <w:sz w:val="24"/>
        </w:rPr>
        <w:t>Lack of framework-specific evaluation logic that recognizes the fundamentally different assessment philosophies of BRSR (disclosure presence) versus GRI (substantive evidence) versus TCFD (climate specificity) versus SASB (financial materiality).</w:t>
      </w:r>
    </w:p>
    <w:p>
      <w:pPr>
        <w:pStyle w:val="ListNumber"/>
        <w:spacing w:after="60"/>
      </w:pPr>
      <w:r>
        <w:rPr>
          <w:rFonts w:ascii="Times New Roman" w:hAnsi="Times New Roman"/>
          <w:sz w:val="24"/>
        </w:rPr>
        <w:t>Absence of transparent AI reasoning that enables human validation—existing tools provide opaque classifications without evidence trails or reasoning traces.</w:t>
      </w:r>
    </w:p>
    <w:p>
      <w:pPr>
        <w:pStyle w:val="ListNumber"/>
        <w:spacing w:after="60"/>
      </w:pPr>
      <w:r>
        <w:rPr>
          <w:rFonts w:ascii="Times New Roman" w:hAnsi="Times New Roman"/>
          <w:sz w:val="24"/>
        </w:rPr>
        <w:t>The need for a human-in-the-loop mechanism that focuses expert attention on uncertain cases rather than requiring full manual review of every clause.</w:t>
      </w:r>
    </w:p>
    <w:p>
      <w:pPr>
        <w:pStyle w:val="ListNumber"/>
        <w:spacing w:after="60"/>
      </w:pPr>
      <w:r>
        <w:rPr>
          <w:rFonts w:ascii="Times New Roman" w:hAnsi="Times New Roman"/>
          <w:sz w:val="24"/>
        </w:rPr>
        <w:t>Lack of standardized, quantitative accuracy measurement for compliance assessments, making it impossible to objectively benchmark system performance.</w:t>
      </w:r>
    </w:p>
    <w:p>
      <w:pPr>
        <w:pStyle w:val="Heading2"/>
        <w:jc w:val="left"/>
      </w:pPr>
      <w:r>
        <w:rPr>
          <w:rFonts w:ascii="Times New Roman" w:hAnsi="Times New Roman"/>
          <w:color w:val="000000"/>
        </w:rPr>
        <w:t>1.4 Salient Contributions</w:t>
      </w:r>
    </w:p>
    <w:p>
      <w:pPr>
        <w:spacing w:after="120"/>
        <w:jc w:val="both"/>
      </w:pPr>
      <w:r>
        <w:rPr>
          <w:rFonts w:ascii="Times New Roman" w:hAnsi="Times New Roman"/>
          <w:b w:val="0"/>
          <w:i w:val="0"/>
          <w:sz w:val="24"/>
        </w:rPr>
        <w:t>The key contributions of this project are:</w:t>
      </w:r>
    </w:p>
    <w:p>
      <w:pPr>
        <w:pStyle w:val="ListNumber"/>
        <w:spacing w:after="60"/>
      </w:pPr>
      <w:r>
        <w:rPr>
          <w:rFonts w:ascii="Times New Roman" w:hAnsi="Times New Roman"/>
          <w:b/>
          <w:sz w:val="24"/>
        </w:rPr>
        <w:t xml:space="preserve">Clause-Level Granularity: </w:t>
      </w:r>
      <w:r>
        <w:rPr>
          <w:rFonts w:ascii="Times New Roman" w:hAnsi="Times New Roman"/>
          <w:sz w:val="24"/>
        </w:rPr>
        <w:t>A clause-level compliance evaluation system</w:t>
      </w:r>
    </w:p>
    <w:p>
      <w:pPr>
        <w:pStyle w:val="ListNumber"/>
        <w:spacing w:after="60"/>
      </w:pPr>
      <w:r>
        <w:rPr>
          <w:rFonts w:ascii="Times New Roman" w:hAnsi="Times New Roman"/>
          <w:b/>
          <w:sz w:val="24"/>
        </w:rPr>
        <w:t xml:space="preserve">Hybrid Pipeline: </w:t>
      </w:r>
      <w:r>
        <w:rPr>
          <w:rFonts w:ascii="Times New Roman" w:hAnsi="Times New Roman"/>
          <w:sz w:val="24"/>
        </w:rPr>
        <w:t>A hybrid four-step pipeline combining semantic retrieval (RAG), LLM-based reasoning, and deterministic rule validation.</w:t>
      </w:r>
    </w:p>
    <w:p>
      <w:pPr>
        <w:pStyle w:val="ListNumber"/>
        <w:spacing w:after="60"/>
      </w:pPr>
      <w:r>
        <w:rPr>
          <w:rFonts w:ascii="Times New Roman" w:hAnsi="Times New Roman"/>
          <w:b/>
          <w:sz w:val="24"/>
        </w:rPr>
        <w:t xml:space="preserve">Framework-Specific Prompting: </w:t>
      </w:r>
      <w:r>
        <w:rPr>
          <w:rFonts w:ascii="Times New Roman" w:hAnsi="Times New Roman"/>
          <w:sz w:val="24"/>
        </w:rPr>
        <w:t>Tailored system prompts for BRSR, GRI, TCFD, and SASB that respect each framework's unique disclosure philosophy.</w:t>
      </w:r>
    </w:p>
    <w:p>
      <w:pPr>
        <w:pStyle w:val="ListNumber"/>
        <w:spacing w:after="60"/>
      </w:pPr>
      <w:r>
        <w:rPr>
          <w:rFonts w:ascii="Times New Roman" w:hAnsi="Times New Roman"/>
          <w:b/>
          <w:sz w:val="24"/>
        </w:rPr>
        <w:t xml:space="preserve">Agentic AI Reasoning: </w:t>
      </w:r>
      <w:r>
        <w:rPr>
          <w:rFonts w:ascii="Times New Roman" w:hAnsi="Times New Roman"/>
          <w:sz w:val="24"/>
        </w:rPr>
        <w:t>An agentic AI reasoning pipeline with chain-of-thought analysis, self-reflection, and conditional revision for improved accuracy and transparency.</w:t>
      </w:r>
    </w:p>
    <w:p>
      <w:pPr>
        <w:pStyle w:val="ListNumber"/>
        <w:spacing w:after="60"/>
      </w:pPr>
      <w:r>
        <w:rPr>
          <w:rFonts w:ascii="Times New Roman" w:hAnsi="Times New Roman"/>
          <w:b/>
          <w:sz w:val="24"/>
        </w:rPr>
        <w:t xml:space="preserve">Human-in-the-Loop Verification: </w:t>
      </w:r>
      <w:r>
        <w:rPr>
          <w:rFonts w:ascii="Times New Roman" w:hAnsi="Times New Roman"/>
          <w:sz w:val="24"/>
        </w:rPr>
        <w:t>A human verification dashboard that reduces manual review to only ambiguous predictions, cutting manual effort by 70–80%.</w:t>
      </w:r>
    </w:p>
    <w:p>
      <w:pPr>
        <w:pStyle w:val="ListNumber"/>
        <w:spacing w:after="60"/>
      </w:pPr>
      <w:r>
        <w:rPr>
          <w:rFonts w:ascii="Times New Roman" w:hAnsi="Times New Roman"/>
          <w:b/>
          <w:sz w:val="24"/>
        </w:rPr>
        <w:t xml:space="preserve">Comprehensive Accuracy Benchmarking: </w:t>
      </w:r>
      <w:r>
        <w:rPr>
          <w:rFonts w:ascii="Times New Roman" w:hAnsi="Times New Roman"/>
          <w:sz w:val="24"/>
        </w:rPr>
        <w:t>A ground truth accuracy system with manually annotated labels across 13 companies, computing Precision, Recall, F1 Score, Status Match Accuracy, Retrieval Recall@K, and Confidence Calibration Error.</w:t>
      </w:r>
    </w:p>
    <w:p>
      <w:pPr>
        <w:pStyle w:val="ListNumber"/>
        <w:spacing w:after="60"/>
      </w:pPr>
      <w:r>
        <w:rPr>
          <w:rFonts w:ascii="Times New Roman" w:hAnsi="Times New Roman"/>
          <w:b/>
          <w:sz w:val="24"/>
        </w:rPr>
        <w:t xml:space="preserve">Analytics Dashboard: </w:t>
      </w:r>
      <w:r>
        <w:rPr>
          <w:rFonts w:ascii="Times New Roman" w:hAnsi="Times New Roman"/>
          <w:sz w:val="24"/>
        </w:rPr>
        <w:t>A production-grade analytics dashboard enabling multi-company, multi-framework compliance comparison with interactive visualizations.</w:t>
      </w:r>
    </w:p>
    <w:p>
      <w:pPr>
        <w:pStyle w:val="Heading2"/>
        <w:jc w:val="left"/>
      </w:pPr>
      <w:r>
        <w:rPr>
          <w:rFonts w:ascii="Times New Roman" w:hAnsi="Times New Roman"/>
          <w:color w:val="000000"/>
        </w:rPr>
        <w:t>1.5 Organization of Report</w:t>
      </w:r>
    </w:p>
    <w:p>
      <w:pPr>
        <w:spacing w:after="120"/>
        <w:jc w:val="both"/>
      </w:pPr>
      <w:r>
        <w:rPr>
          <w:rFonts w:ascii="Times New Roman" w:hAnsi="Times New Roman"/>
          <w:b w:val="0"/>
          <w:i w:val="0"/>
          <w:sz w:val="24"/>
        </w:rPr>
        <w:t>This report is organized as follows. Chapter 1 introduces the project context, motivation, problem statement, and contributions. Chapter 2 presents a literature survey covering AI-powered compliance verification, RAG techniques, agentic reasoning, and ESG reporting frameworks. Chapter 3 details the methodology and implementation, including the system architecture, four-step compliance pipeline, agentic AI pipeline, and frontend design. Chapter 4 presents application screenshots, evaluation results, and accuracy analysis across all four frameworks. Chapter 5 discusses advantages, limitations, and real-world applications. Chapter 6 concludes the report with a summary and future scope.</w:t>
      </w:r>
    </w:p>
    <w:p>
      <w:r>
        <w:br w:type="page"/>
      </w:r>
    </w:p>
    <w:p>
      <w:pPr>
        <w:pStyle w:val="Heading1"/>
        <w:jc w:val="center"/>
      </w:pPr>
      <w:r>
        <w:rPr>
          <w:rFonts w:ascii="Times New Roman" w:hAnsi="Times New Roman"/>
          <w:color w:val="000000"/>
        </w:rPr>
        <w:t>Chapter 2</w:t>
      </w:r>
    </w:p>
    <w:p>
      <w:pPr>
        <w:pStyle w:val="Heading1"/>
        <w:jc w:val="center"/>
      </w:pPr>
      <w:r>
        <w:rPr>
          <w:rFonts w:ascii="Times New Roman" w:hAnsi="Times New Roman"/>
          <w:color w:val="000000"/>
        </w:rPr>
        <w:t>Literature Survey</w:t>
      </w:r>
    </w:p>
    <w:p>
      <w:pPr>
        <w:pStyle w:val="Heading2"/>
        <w:jc w:val="left"/>
      </w:pPr>
      <w:r>
        <w:rPr>
          <w:rFonts w:ascii="Times New Roman" w:hAnsi="Times New Roman"/>
          <w:color w:val="000000"/>
        </w:rPr>
        <w:t>2.1 Introduction</w:t>
      </w:r>
    </w:p>
    <w:p>
      <w:pPr>
        <w:spacing w:after="120"/>
        <w:jc w:val="both"/>
      </w:pPr>
      <w:r>
        <w:rPr>
          <w:rFonts w:ascii="Times New Roman" w:hAnsi="Times New Roman"/>
          <w:b w:val="0"/>
          <w:i w:val="0"/>
          <w:sz w:val="24"/>
        </w:rPr>
        <w:t>The field of AI-powered compliance verification has evolved significantly, driven by advances in large language models and increasing ESG regulatory burdens across global markets. Traditional keyword-based screening tools lack the semantic understanding necessary for accurate compliance assessment [1]. RAG techniques that combine retrieval with generative models have shown promising results for grounding AI judgments in document content [3]. Agentic reasoning approaches where LLMs engage in multi-step reasoning with self-reflection have demonstrated improved accuracy for complex judgment tasks [6][8]. This chapter reviews the relevant literature across ESG compliance, NLP for document analysis, RAG architectures, LLMs for regulatory compliance, and agentic AI.</w:t>
      </w:r>
    </w:p>
    <w:p>
      <w:pPr>
        <w:pStyle w:val="Heading2"/>
        <w:jc w:val="left"/>
      </w:pPr>
      <w:r>
        <w:rPr>
          <w:rFonts w:ascii="Times New Roman" w:hAnsi="Times New Roman"/>
          <w:color w:val="000000"/>
        </w:rPr>
        <w:t>2.2 Literature Survey</w:t>
      </w:r>
    </w:p>
    <w:p>
      <w:pPr>
        <w:spacing w:after="120"/>
        <w:jc w:val="both"/>
      </w:pPr>
      <w:r>
        <w:rPr>
          <w:rFonts w:ascii="Times New Roman" w:hAnsi="Times New Roman"/>
          <w:b/>
          <w:i w:val="0"/>
          <w:sz w:val="24"/>
        </w:rPr>
        <w:t xml:space="preserve">ESG and Financial Performance. </w:t>
      </w:r>
      <w:r>
        <w:rPr>
          <w:rFonts w:ascii="Times New Roman" w:hAnsi="Times New Roman"/>
          <w:b w:val="0"/>
          <w:i w:val="0"/>
          <w:sz w:val="24"/>
        </w:rPr>
        <w:t>Friede, Busch, and Bassen [1] conducted a comprehensive meta-analysis of over 2,000 empirical studies establishing that ESG metrics have material financial implications. Their finding that the majority of studies report a positive ESG-financial performance relationship underscores the business case for rigorous, scalable ESG evaluation tools. This work motivates the need for automated compliance verification that can operate at the scale demanded by institutional investors managing large portfolios.</w:t>
      </w:r>
    </w:p>
    <w:p>
      <w:pPr>
        <w:spacing w:after="120"/>
        <w:jc w:val="both"/>
      </w:pPr>
      <w:r>
        <w:rPr>
          <w:rFonts w:ascii="Times New Roman" w:hAnsi="Times New Roman"/>
          <w:b/>
          <w:i w:val="0"/>
          <w:sz w:val="24"/>
        </w:rPr>
        <w:t xml:space="preserve">NLP for Sustainability Disclosures. </w:t>
      </w:r>
      <w:r>
        <w:rPr>
          <w:rFonts w:ascii="Times New Roman" w:hAnsi="Times New Roman"/>
          <w:b w:val="0"/>
          <w:i w:val="0"/>
          <w:sz w:val="24"/>
        </w:rPr>
        <w:t>Luo, Xie, and Ananiadou [2] applied Natural Language Processing to classify sustainability disclosures against GRI standards, achieving moderate accuracy. However, their approach treated all frameworks uniformly without accounting for the distinct evaluation philosophies inherent to each standard. This limitation—failing to distinguish between disclosure presence (BRSR) and substantive evidence assessment (GRI)—directly motivates ESG Buddy's framework-specific prompting strategy.</w:t>
      </w:r>
    </w:p>
    <w:p>
      <w:pPr>
        <w:spacing w:after="120"/>
        <w:jc w:val="both"/>
      </w:pPr>
      <w:r>
        <w:rPr>
          <w:rFonts w:ascii="Times New Roman" w:hAnsi="Times New Roman"/>
          <w:b/>
          <w:i w:val="0"/>
          <w:sz w:val="24"/>
        </w:rPr>
        <w:t xml:space="preserve">Retrieval-Augmented Generation. </w:t>
      </w:r>
      <w:r>
        <w:rPr>
          <w:rFonts w:ascii="Times New Roman" w:hAnsi="Times New Roman"/>
          <w:b w:val="0"/>
          <w:i w:val="0"/>
          <w:sz w:val="24"/>
        </w:rPr>
        <w:t>Lewis et al. [3] introduced the foundational RAG framework, demonstrating that combining retrieval with generative models significantly improves factual accuracy by grounding outputs in retrieved evidence. This approach—retrieving evidence first, then evaluating with an LLM—is central to ESG Buddy's design. By conditioning compliance decisions on retrieved document passages rather than relying solely on the LLM's parametric knowledge, the system reduces hallucination and enables evidence-traced decisions.</w:t>
      </w:r>
    </w:p>
    <w:p>
      <w:pPr>
        <w:spacing w:after="120"/>
        <w:jc w:val="both"/>
      </w:pPr>
      <w:r>
        <w:rPr>
          <w:rFonts w:ascii="Times New Roman" w:hAnsi="Times New Roman"/>
          <w:b/>
          <w:i w:val="0"/>
          <w:sz w:val="24"/>
        </w:rPr>
        <w:t xml:space="preserve">LLM-Based Regulatory Compliance. </w:t>
      </w:r>
      <w:r>
        <w:rPr>
          <w:rFonts w:ascii="Times New Roman" w:hAnsi="Times New Roman"/>
          <w:b w:val="0"/>
          <w:i w:val="0"/>
          <w:sz w:val="24"/>
        </w:rPr>
        <w:t>Huang, Zhang, and Li [4] demonstrated that LLMs can assess regulatory compliance when provided with requirement text and evidence, achieving strong performance on several regulatory benchmarks. However, their system required manual evidence identification rather than automated retrieval, limiting scalability. ESG Buddy addresses this by automating both the retrieval and evaluation stages.</w:t>
      </w:r>
    </w:p>
    <w:p>
      <w:pPr>
        <w:spacing w:after="120"/>
        <w:jc w:val="both"/>
      </w:pPr>
      <w:r>
        <w:rPr>
          <w:rFonts w:ascii="Times New Roman" w:hAnsi="Times New Roman"/>
          <w:b/>
          <w:i w:val="0"/>
          <w:sz w:val="24"/>
        </w:rPr>
        <w:t xml:space="preserve">Automated Sustainability Assessment. </w:t>
      </w:r>
      <w:r>
        <w:rPr>
          <w:rFonts w:ascii="Times New Roman" w:hAnsi="Times New Roman"/>
          <w:b w:val="0"/>
          <w:i w:val="0"/>
          <w:sz w:val="24"/>
        </w:rPr>
        <w:t>Kang and El-Gazzar [5] developed automated sustainability disclosure assessment using keyword analysis and readability metrics, but their approach lacked the semantic understanding necessary for genuine compliance evaluation—keyword presence does not equate to substantive disclosure of a specific requirement.</w:t>
      </w:r>
    </w:p>
    <w:p>
      <w:pPr>
        <w:spacing w:after="120"/>
        <w:jc w:val="both"/>
      </w:pPr>
      <w:r>
        <w:rPr>
          <w:rFonts w:ascii="Times New Roman" w:hAnsi="Times New Roman"/>
          <w:b/>
          <w:i w:val="0"/>
          <w:sz w:val="24"/>
        </w:rPr>
        <w:t xml:space="preserve">Self-Reflection in Language Models. </w:t>
      </w:r>
      <w:r>
        <w:rPr>
          <w:rFonts w:ascii="Times New Roman" w:hAnsi="Times New Roman"/>
          <w:b w:val="0"/>
          <w:i w:val="0"/>
          <w:sz w:val="24"/>
        </w:rPr>
        <w:t>Shinn et al. [6] presented Reflexion, a framework for language model self-reflection, demonstrating significant accuracy improvements when LLMs review their own reasoning. This technique is particularly relevant to compliance evaluation, where initial judgments may suffer from confirmation bias or incomplete evidence consideration. ESG Buddy incorporates self-reflection in its agentic pipeline.</w:t>
      </w:r>
    </w:p>
    <w:p>
      <w:pPr>
        <w:spacing w:after="120"/>
        <w:jc w:val="both"/>
      </w:pPr>
      <w:r>
        <w:rPr>
          <w:rFonts w:ascii="Times New Roman" w:hAnsi="Times New Roman"/>
          <w:b/>
          <w:i w:val="0"/>
          <w:sz w:val="24"/>
        </w:rPr>
        <w:t xml:space="preserve">RAG Architecture Design. </w:t>
      </w:r>
      <w:r>
        <w:rPr>
          <w:rFonts w:ascii="Times New Roman" w:hAnsi="Times New Roman"/>
          <w:b w:val="0"/>
          <w:i w:val="0"/>
          <w:sz w:val="24"/>
        </w:rPr>
        <w:t>Gao et al. [7] conducted a comprehensive survey of RAG techniques, identifying that chunk size, embedding model choice, and retrieval scoring significantly impact downstream task performance. Their insights on optimal chunk sizes (256–512 tokens) and the importance of overlap for boundary preservation directly informed ESG Buddy's document ingestion design.</w:t>
      </w:r>
    </w:p>
    <w:p>
      <w:pPr>
        <w:spacing w:after="120"/>
        <w:jc w:val="both"/>
      </w:pPr>
      <w:r>
        <w:rPr>
          <w:rFonts w:ascii="Times New Roman" w:hAnsi="Times New Roman"/>
          <w:b/>
          <w:i w:val="0"/>
          <w:sz w:val="24"/>
        </w:rPr>
        <w:t xml:space="preserve">Chain-of-Thought Prompting. </w:t>
      </w:r>
      <w:r>
        <w:rPr>
          <w:rFonts w:ascii="Times New Roman" w:hAnsi="Times New Roman"/>
          <w:b w:val="0"/>
          <w:i w:val="0"/>
          <w:sz w:val="24"/>
        </w:rPr>
        <w:t>Wei et al. [8] introduced chain-of-thought prompting, demonstrating that asking LLMs to reason step-by-step significantly improves performance on complex judgment tasks. ESG Buddy applies this with framework-specific reasoning steps tailored to each standard's evaluation criteria.</w:t>
      </w:r>
    </w:p>
    <w:p>
      <w:pPr>
        <w:spacing w:after="120"/>
        <w:jc w:val="both"/>
      </w:pPr>
      <w:r>
        <w:rPr>
          <w:rFonts w:ascii="Times New Roman" w:hAnsi="Times New Roman"/>
          <w:b/>
          <w:i w:val="0"/>
          <w:sz w:val="24"/>
        </w:rPr>
        <w:t xml:space="preserve">ReAct Framework. </w:t>
      </w:r>
      <w:r>
        <w:rPr>
          <w:rFonts w:ascii="Times New Roman" w:hAnsi="Times New Roman"/>
          <w:b w:val="0"/>
          <w:i w:val="0"/>
          <w:sz w:val="24"/>
        </w:rPr>
        <w:t>Yao et al. [9] proposed the ReAct framework, which interleaves reasoning and acting steps, enabling models to dynamically gather information and revise plans. This paradigm of synergizing reasoning with action informed ESG Buddy's approach to iterative compliance evaluation.</w:t>
      </w:r>
    </w:p>
    <w:p>
      <w:pPr>
        <w:spacing w:after="120"/>
        <w:jc w:val="both"/>
      </w:pPr>
      <w:r>
        <w:rPr>
          <w:rFonts w:ascii="Times New Roman" w:hAnsi="Times New Roman"/>
          <w:b/>
          <w:i w:val="0"/>
          <w:sz w:val="24"/>
        </w:rPr>
        <w:t xml:space="preserve">BRSR Reporting Practices. </w:t>
      </w:r>
      <w:r>
        <w:rPr>
          <w:rFonts w:ascii="Times New Roman" w:hAnsi="Times New Roman"/>
          <w:b w:val="0"/>
          <w:i w:val="0"/>
          <w:sz w:val="24"/>
        </w:rPr>
        <w:t>Mehra and Sharma [10] analyzed BRSR reporting practices of Indian listed companies, providing domain insights that informed ESG Buddy's BRSR-specific evaluation prompts. Their finding that disclosure quality varies significantly across companies reinforces the need for nuanced, context-aware evaluation rather than binary compliance checks.</w:t>
      </w:r>
    </w:p>
    <w:p>
      <w:pPr>
        <w:spacing w:after="120"/>
        <w:jc w:val="both"/>
      </w:pPr>
      <w:r>
        <w:rPr>
          <w:rFonts w:ascii="Times New Roman" w:hAnsi="Times New Roman"/>
          <w:b/>
          <w:i w:val="0"/>
          <w:sz w:val="24"/>
        </w:rPr>
        <w:t xml:space="preserve">Financial NLP. </w:t>
      </w:r>
      <w:r>
        <w:rPr>
          <w:rFonts w:ascii="Times New Roman" w:hAnsi="Times New Roman"/>
          <w:b w:val="0"/>
          <w:i w:val="0"/>
          <w:sz w:val="24"/>
        </w:rPr>
        <w:t>Araci [11] developed FinBERT for financial sentiment analysis, demonstrating the value of domain-specific language understanding in financial applications. While FinBERT focuses on sentiment, the principle of domain adaptation applies equally to ESG compliance—generic NLP models miss domain-specific nuances.</w:t>
      </w:r>
    </w:p>
    <w:p>
      <w:pPr>
        <w:spacing w:after="120"/>
        <w:jc w:val="both"/>
      </w:pPr>
      <w:r>
        <w:rPr>
          <w:rFonts w:ascii="Times New Roman" w:hAnsi="Times New Roman"/>
          <w:b/>
          <w:i w:val="0"/>
          <w:sz w:val="24"/>
        </w:rPr>
        <w:t xml:space="preserve">Multi-Framework ESG Challenges. </w:t>
      </w:r>
      <w:r>
        <w:rPr>
          <w:rFonts w:ascii="Times New Roman" w:hAnsi="Times New Roman"/>
          <w:b w:val="0"/>
          <w:i w:val="0"/>
          <w:sz w:val="24"/>
        </w:rPr>
        <w:t>Agrawal, Chadha, and Mittal [12] examined multi-framework ESG reporting challenges in Indian companies, demonstrating that different frameworks require fundamentally distinct evaluation approaches. Their work directly supports ESG Buddy's framework-specific design.</w:t>
      </w:r>
    </w:p>
    <w:p>
      <w:pPr>
        <w:pStyle w:val="Heading2"/>
        <w:jc w:val="left"/>
      </w:pPr>
      <w:r>
        <w:rPr>
          <w:rFonts w:ascii="Times New Roman" w:hAnsi="Times New Roman"/>
          <w:color w:val="000000"/>
        </w:rPr>
        <w:t>2.3 Identified Research Gap</w:t>
      </w:r>
    </w:p>
    <w:p>
      <w:pPr>
        <w:spacing w:after="120"/>
        <w:jc w:val="both"/>
      </w:pPr>
      <w:r>
        <w:rPr>
          <w:rFonts w:ascii="Times New Roman" w:hAnsi="Times New Roman"/>
          <w:b w:val="0"/>
          <w:i w:val="0"/>
          <w:sz w:val="24"/>
        </w:rPr>
        <w:t>The literature reveals a significant gap: no existing solution effectively combines semantic evidence retrieval, framework-specific agentic AI evaluation, deterministic rule validation, human-in-the-loop verification, and comprehensive accuracy benchmarking within a single, production-grade system. Existing tools either operate at the document level rather than clause level, treat all frameworks uniformly, lack transparent reasoning for audit purposes, or require manual evidence identification. ESG Buddy addresses all of these gaps in a unified system.</w:t>
      </w:r>
    </w:p>
    <w:p>
      <w:r>
        <w:br w:type="page"/>
      </w:r>
    </w:p>
    <w:p>
      <w:pPr>
        <w:pStyle w:val="Heading1"/>
        <w:jc w:val="center"/>
      </w:pPr>
      <w:r>
        <w:rPr>
          <w:rFonts w:ascii="Times New Roman" w:hAnsi="Times New Roman"/>
          <w:color w:val="000000"/>
        </w:rPr>
        <w:t>Chapter 3</w:t>
      </w:r>
    </w:p>
    <w:p>
      <w:pPr>
        <w:pStyle w:val="Heading1"/>
        <w:jc w:val="center"/>
      </w:pPr>
      <w:r>
        <w:rPr>
          <w:rFonts w:ascii="Times New Roman" w:hAnsi="Times New Roman"/>
          <w:color w:val="000000"/>
        </w:rPr>
        <w:t>Methodology and Implementation</w:t>
      </w:r>
    </w:p>
    <w:p>
      <w:pPr>
        <w:pStyle w:val="Heading2"/>
        <w:jc w:val="left"/>
      </w:pPr>
      <w:r>
        <w:rPr>
          <w:rFonts w:ascii="Times New Roman" w:hAnsi="Times New Roman"/>
          <w:color w:val="000000"/>
        </w:rPr>
        <w:t>3.1 System Architecture</w:t>
      </w:r>
    </w:p>
    <w:p>
      <w:pPr>
        <w:spacing w:after="120"/>
        <w:jc w:val="both"/>
      </w:pPr>
      <w:r>
        <w:rPr>
          <w:rFonts w:ascii="Times New Roman" w:hAnsi="Times New Roman"/>
          <w:b w:val="0"/>
          <w:i w:val="0"/>
          <w:sz w:val="24"/>
        </w:rPr>
        <w:t>ESG Buddy employs a modular, full-stack architecture comprising four principal layers: a React 18 frontend built with Vite for rapid development, a FastAPI 0.109 backend running on Python 3.11, a ChromaDB 0.4.22 vector database for persistent semantic storage, and the OpenAI API for both LLM inference (GPT-4o-mini) and embedding generation (text-embedding-3-small). The architecture follows a clean separation of concerns with two parallel ingestion paths.</w:t>
      </w:r>
    </w:p>
    <w:p>
      <w:pPr>
        <w:spacing w:after="120"/>
        <w:jc w:val="both"/>
      </w:pPr>
      <w:r>
        <w:rPr>
          <w:rFonts w:ascii="Times New Roman" w:hAnsi="Times New Roman"/>
          <w:b w:val="0"/>
          <w:i w:val="0"/>
          <w:sz w:val="24"/>
        </w:rPr>
        <w:t>The first ingestion path processes ESG standard documents (BRSR, GRI, TCFD, SASB PDFs) into structured clause databases using framework-specific parsing strategies. The second ingestion path handles uploaded company sustainability reports, extracting text, chunking it into overlapping segments, generating vector embeddings, and storing them in ChromaDB for semantic search.</w:t>
      </w:r>
    </w:p>
    <w:p>
      <w:pPr>
        <w:spacing w:after="120"/>
        <w:jc w:val="both"/>
      </w:pPr>
      <w:r>
        <w:rPr>
          <w:rFonts w:ascii="Times New Roman" w:hAnsi="Times New Roman"/>
          <w:b w:val="0"/>
          <w:i w:val="0"/>
          <w:sz w:val="24"/>
        </w:rPr>
        <w:t>The system maintains two distinct ChromaDB collections: company_documents, which stores embedded chunks from uploaded sustainability reports along with metadata (page number, section, token count), and esg_clauses, which stores parsed ESG standard clauses with their associated embeddings, validation rules, and keywords. Data models are defined using Pydantic 2.5.3 for type safety and serialization throughout the backend.</w:t>
      </w:r>
    </w:p>
    <w:p>
      <w:pPr>
        <w:spacing w:after="120"/>
        <w:jc w:val="center"/>
      </w:pPr>
      <w:r>
        <w:rPr>
          <w:rFonts w:ascii="Times New Roman" w:hAnsi="Times New Roman"/>
          <w:b w:val="0"/>
          <w:i/>
          <w:sz w:val="24"/>
        </w:rPr>
        <w:t>[Figure 1: High-Level System Architecture – Shows the end-to-end data flow: PDF Upload → PyMuPDF Text Extraction → Tiktoken Chunking (512 tokens, 50 overlap) → OpenAI Embedding (text-embedding-3-small) → ChromaDB Storage → 4-Step Compliance Pipeline (Semantic Retrieval, LLM Evaluation, Rule Validation, Final Decision) → React Frontend with Dashboard, Reports, and Human Verification.]</w:t>
      </w:r>
    </w:p>
    <w:p>
      <w:pPr>
        <w:pStyle w:val="Heading2"/>
        <w:jc w:val="left"/>
      </w:pPr>
      <w:r>
        <w:rPr>
          <w:rFonts w:ascii="Times New Roman" w:hAnsi="Times New Roman"/>
          <w:color w:val="000000"/>
        </w:rPr>
        <w:t>3.2 Hardware and Software</w:t>
      </w:r>
    </w:p>
    <w:p>
      <w:pPr>
        <w:spacing w:after="120"/>
        <w:jc w:val="both"/>
      </w:pPr>
      <w:r>
        <w:rPr>
          <w:rFonts w:ascii="Times New Roman" w:hAnsi="Times New Roman"/>
          <w:b w:val="0"/>
          <w:i w:val="0"/>
          <w:sz w:val="24"/>
        </w:rPr>
        <w:t>The system operates on standard hardware (4+ CPU cores, 8 GB RAM minimum) while leveraging cloud-based OpenAI APIs for LLM inference and embedding generation. The primary computational bottleneck is API latency rather than local compute. Development and testing were performed on Windows 11 machines with Python 3.11.</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268"/>
            <w:shd w:fill="D9E2F3"/>
          </w:tcPr>
          <w:p>
            <w:pPr>
              <w:jc w:val="center"/>
            </w:pPr>
            <w:r>
              <w:rPr>
                <w:rFonts w:ascii="Times New Roman" w:hAnsi="Times New Roman"/>
                <w:b/>
                <w:sz w:val="22"/>
              </w:rPr>
              <w:t>Component</w:t>
            </w:r>
          </w:p>
        </w:tc>
        <w:tc>
          <w:tcPr>
            <w:tcW w:type="dxa" w:w="2551"/>
            <w:shd w:fill="D9E2F3"/>
          </w:tcPr>
          <w:p>
            <w:pPr>
              <w:jc w:val="center"/>
            </w:pPr>
            <w:r>
              <w:rPr>
                <w:rFonts w:ascii="Times New Roman" w:hAnsi="Times New Roman"/>
                <w:b/>
                <w:sz w:val="22"/>
              </w:rPr>
              <w:t>Technology</w:t>
            </w:r>
          </w:p>
        </w:tc>
        <w:tc>
          <w:tcPr>
            <w:tcW w:type="dxa" w:w="1134"/>
            <w:shd w:fill="D9E2F3"/>
          </w:tcPr>
          <w:p>
            <w:pPr>
              <w:jc w:val="center"/>
            </w:pPr>
            <w:r>
              <w:rPr>
                <w:rFonts w:ascii="Times New Roman" w:hAnsi="Times New Roman"/>
                <w:b/>
                <w:sz w:val="22"/>
              </w:rPr>
              <w:t>Version</w:t>
            </w:r>
          </w:p>
        </w:tc>
        <w:tc>
          <w:tcPr>
            <w:tcW w:type="dxa" w:w="3118"/>
            <w:shd w:fill="D9E2F3"/>
          </w:tcPr>
          <w:p>
            <w:pPr>
              <w:jc w:val="center"/>
            </w:pPr>
            <w:r>
              <w:rPr>
                <w:rFonts w:ascii="Times New Roman" w:hAnsi="Times New Roman"/>
                <w:b/>
                <w:sz w:val="22"/>
              </w:rPr>
              <w:t>Purpose</w:t>
            </w:r>
          </w:p>
        </w:tc>
      </w:tr>
      <w:tr>
        <w:tc>
          <w:tcPr>
            <w:tcW w:type="dxa" w:w="2268"/>
          </w:tcPr>
          <w:p>
            <w:pPr>
              <w:jc w:val="center"/>
            </w:pPr>
            <w:r>
              <w:rPr>
                <w:rFonts w:ascii="Times New Roman" w:hAnsi="Times New Roman"/>
                <w:sz w:val="22"/>
              </w:rPr>
              <w:t>Backend Framework</w:t>
            </w:r>
          </w:p>
        </w:tc>
        <w:tc>
          <w:tcPr>
            <w:tcW w:type="dxa" w:w="2551"/>
          </w:tcPr>
          <w:p>
            <w:pPr>
              <w:jc w:val="center"/>
            </w:pPr>
            <w:r>
              <w:rPr>
                <w:rFonts w:ascii="Times New Roman" w:hAnsi="Times New Roman"/>
                <w:sz w:val="22"/>
              </w:rPr>
              <w:t>FastAPI</w:t>
            </w:r>
          </w:p>
        </w:tc>
        <w:tc>
          <w:tcPr>
            <w:tcW w:type="dxa" w:w="1134"/>
          </w:tcPr>
          <w:p>
            <w:pPr>
              <w:jc w:val="center"/>
            </w:pPr>
            <w:r>
              <w:rPr>
                <w:rFonts w:ascii="Times New Roman" w:hAnsi="Times New Roman"/>
                <w:sz w:val="22"/>
              </w:rPr>
              <w:t>0.109.0</w:t>
            </w:r>
          </w:p>
        </w:tc>
        <w:tc>
          <w:tcPr>
            <w:tcW w:type="dxa" w:w="3118"/>
          </w:tcPr>
          <w:p>
            <w:pPr>
              <w:jc w:val="center"/>
            </w:pPr>
            <w:r>
              <w:rPr>
                <w:rFonts w:ascii="Times New Roman" w:hAnsi="Times New Roman"/>
                <w:sz w:val="22"/>
              </w:rPr>
              <w:t>REST API server with auto-docs</w:t>
            </w:r>
          </w:p>
        </w:tc>
      </w:tr>
      <w:tr>
        <w:tc>
          <w:tcPr>
            <w:tcW w:type="dxa" w:w="2268"/>
          </w:tcPr>
          <w:p>
            <w:pPr>
              <w:jc w:val="center"/>
            </w:pPr>
            <w:r>
              <w:rPr>
                <w:rFonts w:ascii="Times New Roman" w:hAnsi="Times New Roman"/>
                <w:sz w:val="22"/>
              </w:rPr>
              <w:t>Frontend Framework</w:t>
            </w:r>
          </w:p>
        </w:tc>
        <w:tc>
          <w:tcPr>
            <w:tcW w:type="dxa" w:w="2551"/>
          </w:tcPr>
          <w:p>
            <w:pPr>
              <w:jc w:val="center"/>
            </w:pPr>
            <w:r>
              <w:rPr>
                <w:rFonts w:ascii="Times New Roman" w:hAnsi="Times New Roman"/>
                <w:sz w:val="22"/>
              </w:rPr>
              <w:t>React + Vite</w:t>
            </w:r>
          </w:p>
        </w:tc>
        <w:tc>
          <w:tcPr>
            <w:tcW w:type="dxa" w:w="1134"/>
          </w:tcPr>
          <w:p>
            <w:pPr>
              <w:jc w:val="center"/>
            </w:pPr>
            <w:r>
              <w:rPr>
                <w:rFonts w:ascii="Times New Roman" w:hAnsi="Times New Roman"/>
                <w:sz w:val="22"/>
              </w:rPr>
              <w:t>18.x</w:t>
            </w:r>
          </w:p>
        </w:tc>
        <w:tc>
          <w:tcPr>
            <w:tcW w:type="dxa" w:w="3118"/>
          </w:tcPr>
          <w:p>
            <w:pPr>
              <w:jc w:val="center"/>
            </w:pPr>
            <w:r>
              <w:rPr>
                <w:rFonts w:ascii="Times New Roman" w:hAnsi="Times New Roman"/>
                <w:sz w:val="22"/>
              </w:rPr>
              <w:t>Single-page application</w:t>
            </w:r>
          </w:p>
        </w:tc>
      </w:tr>
      <w:tr>
        <w:tc>
          <w:tcPr>
            <w:tcW w:type="dxa" w:w="2268"/>
          </w:tcPr>
          <w:p>
            <w:pPr>
              <w:jc w:val="center"/>
            </w:pPr>
            <w:r>
              <w:rPr>
                <w:rFonts w:ascii="Times New Roman" w:hAnsi="Times New Roman"/>
                <w:sz w:val="22"/>
              </w:rPr>
              <w:t>Styling</w:t>
            </w:r>
          </w:p>
        </w:tc>
        <w:tc>
          <w:tcPr>
            <w:tcW w:type="dxa" w:w="2551"/>
          </w:tcPr>
          <w:p>
            <w:pPr>
              <w:jc w:val="center"/>
            </w:pPr>
            <w:r>
              <w:rPr>
                <w:rFonts w:ascii="Times New Roman" w:hAnsi="Times New Roman"/>
                <w:sz w:val="22"/>
              </w:rPr>
              <w:t>Tailwind CSS</w:t>
            </w:r>
          </w:p>
        </w:tc>
        <w:tc>
          <w:tcPr>
            <w:tcW w:type="dxa" w:w="1134"/>
          </w:tcPr>
          <w:p>
            <w:pPr>
              <w:jc w:val="center"/>
            </w:pPr>
            <w:r>
              <w:rPr>
                <w:rFonts w:ascii="Times New Roman" w:hAnsi="Times New Roman"/>
                <w:sz w:val="22"/>
              </w:rPr>
              <w:t>3.x</w:t>
            </w:r>
          </w:p>
        </w:tc>
        <w:tc>
          <w:tcPr>
            <w:tcW w:type="dxa" w:w="3118"/>
          </w:tcPr>
          <w:p>
            <w:pPr>
              <w:jc w:val="center"/>
            </w:pPr>
            <w:r>
              <w:rPr>
                <w:rFonts w:ascii="Times New Roman" w:hAnsi="Times New Roman"/>
                <w:sz w:val="22"/>
              </w:rPr>
              <w:t>Utility-first responsive UI</w:t>
            </w:r>
          </w:p>
        </w:tc>
      </w:tr>
      <w:tr>
        <w:tc>
          <w:tcPr>
            <w:tcW w:type="dxa" w:w="2268"/>
          </w:tcPr>
          <w:p>
            <w:pPr>
              <w:jc w:val="center"/>
            </w:pPr>
            <w:r>
              <w:rPr>
                <w:rFonts w:ascii="Times New Roman" w:hAnsi="Times New Roman"/>
                <w:sz w:val="22"/>
              </w:rPr>
              <w:t>Animations</w:t>
            </w:r>
          </w:p>
        </w:tc>
        <w:tc>
          <w:tcPr>
            <w:tcW w:type="dxa" w:w="2551"/>
          </w:tcPr>
          <w:p>
            <w:pPr>
              <w:jc w:val="center"/>
            </w:pPr>
            <w:r>
              <w:rPr>
                <w:rFonts w:ascii="Times New Roman" w:hAnsi="Times New Roman"/>
                <w:sz w:val="22"/>
              </w:rPr>
              <w:t>Framer Motion</w:t>
            </w:r>
          </w:p>
        </w:tc>
        <w:tc>
          <w:tcPr>
            <w:tcW w:type="dxa" w:w="1134"/>
          </w:tcPr>
          <w:p>
            <w:pPr>
              <w:jc w:val="center"/>
            </w:pPr>
            <w:r>
              <w:rPr>
                <w:rFonts w:ascii="Times New Roman" w:hAnsi="Times New Roman"/>
                <w:sz w:val="22"/>
              </w:rPr>
              <w:t>11.x</w:t>
            </w:r>
          </w:p>
        </w:tc>
        <w:tc>
          <w:tcPr>
            <w:tcW w:type="dxa" w:w="3118"/>
          </w:tcPr>
          <w:p>
            <w:pPr>
              <w:jc w:val="center"/>
            </w:pPr>
            <w:r>
              <w:rPr>
                <w:rFonts w:ascii="Times New Roman" w:hAnsi="Times New Roman"/>
                <w:sz w:val="22"/>
              </w:rPr>
              <w:t>Smooth transitions and reveals</w:t>
            </w:r>
          </w:p>
        </w:tc>
      </w:tr>
      <w:tr>
        <w:tc>
          <w:tcPr>
            <w:tcW w:type="dxa" w:w="2268"/>
          </w:tcPr>
          <w:p>
            <w:pPr>
              <w:jc w:val="center"/>
            </w:pPr>
            <w:r>
              <w:rPr>
                <w:rFonts w:ascii="Times New Roman" w:hAnsi="Times New Roman"/>
                <w:sz w:val="22"/>
              </w:rPr>
              <w:t>Charts</w:t>
            </w:r>
          </w:p>
        </w:tc>
        <w:tc>
          <w:tcPr>
            <w:tcW w:type="dxa" w:w="2551"/>
          </w:tcPr>
          <w:p>
            <w:pPr>
              <w:jc w:val="center"/>
            </w:pPr>
            <w:r>
              <w:rPr>
                <w:rFonts w:ascii="Times New Roman" w:hAnsi="Times New Roman"/>
                <w:sz w:val="22"/>
              </w:rPr>
              <w:t>Recharts</w:t>
            </w:r>
          </w:p>
        </w:tc>
        <w:tc>
          <w:tcPr>
            <w:tcW w:type="dxa" w:w="1134"/>
          </w:tcPr>
          <w:p>
            <w:pPr>
              <w:jc w:val="center"/>
            </w:pPr>
            <w:r>
              <w:rPr>
                <w:rFonts w:ascii="Times New Roman" w:hAnsi="Times New Roman"/>
                <w:sz w:val="22"/>
              </w:rPr>
              <w:t>2.x</w:t>
            </w:r>
          </w:p>
        </w:tc>
        <w:tc>
          <w:tcPr>
            <w:tcW w:type="dxa" w:w="3118"/>
          </w:tcPr>
          <w:p>
            <w:pPr>
              <w:jc w:val="center"/>
            </w:pPr>
            <w:r>
              <w:rPr>
                <w:rFonts w:ascii="Times New Roman" w:hAnsi="Times New Roman"/>
                <w:sz w:val="22"/>
              </w:rPr>
              <w:t>Data visualization (bar, radar, pie)</w:t>
            </w:r>
          </w:p>
        </w:tc>
      </w:tr>
      <w:tr>
        <w:tc>
          <w:tcPr>
            <w:tcW w:type="dxa" w:w="2268"/>
          </w:tcPr>
          <w:p>
            <w:pPr>
              <w:jc w:val="center"/>
            </w:pPr>
            <w:r>
              <w:rPr>
                <w:rFonts w:ascii="Times New Roman" w:hAnsi="Times New Roman"/>
                <w:sz w:val="22"/>
              </w:rPr>
              <w:t>Vector Database</w:t>
            </w:r>
          </w:p>
        </w:tc>
        <w:tc>
          <w:tcPr>
            <w:tcW w:type="dxa" w:w="2551"/>
          </w:tcPr>
          <w:p>
            <w:pPr>
              <w:jc w:val="center"/>
            </w:pPr>
            <w:r>
              <w:rPr>
                <w:rFonts w:ascii="Times New Roman" w:hAnsi="Times New Roman"/>
                <w:sz w:val="22"/>
              </w:rPr>
              <w:t>ChromaDB</w:t>
            </w:r>
          </w:p>
        </w:tc>
        <w:tc>
          <w:tcPr>
            <w:tcW w:type="dxa" w:w="1134"/>
          </w:tcPr>
          <w:p>
            <w:pPr>
              <w:jc w:val="center"/>
            </w:pPr>
            <w:r>
              <w:rPr>
                <w:rFonts w:ascii="Times New Roman" w:hAnsi="Times New Roman"/>
                <w:sz w:val="22"/>
              </w:rPr>
              <w:t>0.4.22</w:t>
            </w:r>
          </w:p>
        </w:tc>
        <w:tc>
          <w:tcPr>
            <w:tcW w:type="dxa" w:w="3118"/>
          </w:tcPr>
          <w:p>
            <w:pPr>
              <w:jc w:val="center"/>
            </w:pPr>
            <w:r>
              <w:rPr>
                <w:rFonts w:ascii="Times New Roman" w:hAnsi="Times New Roman"/>
                <w:sz w:val="22"/>
              </w:rPr>
              <w:t>Persistent semantic search</w:t>
            </w:r>
          </w:p>
        </w:tc>
      </w:tr>
      <w:tr>
        <w:tc>
          <w:tcPr>
            <w:tcW w:type="dxa" w:w="2268"/>
          </w:tcPr>
          <w:p>
            <w:pPr>
              <w:jc w:val="center"/>
            </w:pPr>
            <w:r>
              <w:rPr>
                <w:rFonts w:ascii="Times New Roman" w:hAnsi="Times New Roman"/>
                <w:sz w:val="22"/>
              </w:rPr>
              <w:t>LLM</w:t>
            </w:r>
          </w:p>
        </w:tc>
        <w:tc>
          <w:tcPr>
            <w:tcW w:type="dxa" w:w="2551"/>
          </w:tcPr>
          <w:p>
            <w:pPr>
              <w:jc w:val="center"/>
            </w:pPr>
            <w:r>
              <w:rPr>
                <w:rFonts w:ascii="Times New Roman" w:hAnsi="Times New Roman"/>
                <w:sz w:val="22"/>
              </w:rPr>
              <w:t>OpenAI GPT-4o-mini</w:t>
            </w:r>
          </w:p>
        </w:tc>
        <w:tc>
          <w:tcPr>
            <w:tcW w:type="dxa" w:w="1134"/>
          </w:tcPr>
          <w:p>
            <w:pPr>
              <w:jc w:val="center"/>
            </w:pPr>
            <w:r>
              <w:rPr>
                <w:rFonts w:ascii="Times New Roman" w:hAnsi="Times New Roman"/>
                <w:sz w:val="22"/>
              </w:rPr>
              <w:t>—</w:t>
            </w:r>
          </w:p>
        </w:tc>
        <w:tc>
          <w:tcPr>
            <w:tcW w:type="dxa" w:w="3118"/>
          </w:tcPr>
          <w:p>
            <w:pPr>
              <w:jc w:val="center"/>
            </w:pPr>
            <w:r>
              <w:rPr>
                <w:rFonts w:ascii="Times New Roman" w:hAnsi="Times New Roman"/>
                <w:sz w:val="22"/>
              </w:rPr>
              <w:t>Compliance classification</w:t>
            </w:r>
          </w:p>
        </w:tc>
      </w:tr>
      <w:tr>
        <w:tc>
          <w:tcPr>
            <w:tcW w:type="dxa" w:w="2268"/>
          </w:tcPr>
          <w:p>
            <w:pPr>
              <w:jc w:val="center"/>
            </w:pPr>
            <w:r>
              <w:rPr>
                <w:rFonts w:ascii="Times New Roman" w:hAnsi="Times New Roman"/>
                <w:sz w:val="22"/>
              </w:rPr>
              <w:t>Embeddings</w:t>
            </w:r>
          </w:p>
        </w:tc>
        <w:tc>
          <w:tcPr>
            <w:tcW w:type="dxa" w:w="2551"/>
          </w:tcPr>
          <w:p>
            <w:pPr>
              <w:jc w:val="center"/>
            </w:pPr>
            <w:r>
              <w:rPr>
                <w:rFonts w:ascii="Times New Roman" w:hAnsi="Times New Roman"/>
                <w:sz w:val="22"/>
              </w:rPr>
              <w:t>text-embedding-3-small</w:t>
            </w:r>
          </w:p>
        </w:tc>
        <w:tc>
          <w:tcPr>
            <w:tcW w:type="dxa" w:w="1134"/>
          </w:tcPr>
          <w:p>
            <w:pPr>
              <w:jc w:val="center"/>
            </w:pPr>
            <w:r>
              <w:rPr>
                <w:rFonts w:ascii="Times New Roman" w:hAnsi="Times New Roman"/>
                <w:sz w:val="22"/>
              </w:rPr>
              <w:t>—</w:t>
            </w:r>
          </w:p>
        </w:tc>
        <w:tc>
          <w:tcPr>
            <w:tcW w:type="dxa" w:w="3118"/>
          </w:tcPr>
          <w:p>
            <w:pPr>
              <w:jc w:val="center"/>
            </w:pPr>
            <w:r>
              <w:rPr>
                <w:rFonts w:ascii="Times New Roman" w:hAnsi="Times New Roman"/>
                <w:sz w:val="22"/>
              </w:rPr>
              <w:t>1536-dim vector embeddings</w:t>
            </w:r>
          </w:p>
        </w:tc>
      </w:tr>
      <w:tr>
        <w:tc>
          <w:tcPr>
            <w:tcW w:type="dxa" w:w="2268"/>
          </w:tcPr>
          <w:p>
            <w:pPr>
              <w:jc w:val="center"/>
            </w:pPr>
            <w:r>
              <w:rPr>
                <w:rFonts w:ascii="Times New Roman" w:hAnsi="Times New Roman"/>
                <w:sz w:val="22"/>
              </w:rPr>
              <w:t>PDF Processing</w:t>
            </w:r>
          </w:p>
        </w:tc>
        <w:tc>
          <w:tcPr>
            <w:tcW w:type="dxa" w:w="2551"/>
          </w:tcPr>
          <w:p>
            <w:pPr>
              <w:jc w:val="center"/>
            </w:pPr>
            <w:r>
              <w:rPr>
                <w:rFonts w:ascii="Times New Roman" w:hAnsi="Times New Roman"/>
                <w:sz w:val="22"/>
              </w:rPr>
              <w:t>PyMuPDF (fitz)</w:t>
            </w:r>
          </w:p>
        </w:tc>
        <w:tc>
          <w:tcPr>
            <w:tcW w:type="dxa" w:w="1134"/>
          </w:tcPr>
          <w:p>
            <w:pPr>
              <w:jc w:val="center"/>
            </w:pPr>
            <w:r>
              <w:rPr>
                <w:rFonts w:ascii="Times New Roman" w:hAnsi="Times New Roman"/>
                <w:sz w:val="22"/>
              </w:rPr>
              <w:t>1.23.8</w:t>
            </w:r>
          </w:p>
        </w:tc>
        <w:tc>
          <w:tcPr>
            <w:tcW w:type="dxa" w:w="3118"/>
          </w:tcPr>
          <w:p>
            <w:pPr>
              <w:jc w:val="center"/>
            </w:pPr>
            <w:r>
              <w:rPr>
                <w:rFonts w:ascii="Times New Roman" w:hAnsi="Times New Roman"/>
                <w:sz w:val="22"/>
              </w:rPr>
              <w:t>Page-by-page text extraction</w:t>
            </w:r>
          </w:p>
        </w:tc>
      </w:tr>
      <w:tr>
        <w:tc>
          <w:tcPr>
            <w:tcW w:type="dxa" w:w="2268"/>
          </w:tcPr>
          <w:p>
            <w:pPr>
              <w:jc w:val="center"/>
            </w:pPr>
            <w:r>
              <w:rPr>
                <w:rFonts w:ascii="Times New Roman" w:hAnsi="Times New Roman"/>
                <w:sz w:val="22"/>
              </w:rPr>
              <w:t>Tokenization</w:t>
            </w:r>
          </w:p>
        </w:tc>
        <w:tc>
          <w:tcPr>
            <w:tcW w:type="dxa" w:w="2551"/>
          </w:tcPr>
          <w:p>
            <w:pPr>
              <w:jc w:val="center"/>
            </w:pPr>
            <w:r>
              <w:rPr>
                <w:rFonts w:ascii="Times New Roman" w:hAnsi="Times New Roman"/>
                <w:sz w:val="22"/>
              </w:rPr>
              <w:t>Tiktoken</w:t>
            </w:r>
          </w:p>
        </w:tc>
        <w:tc>
          <w:tcPr>
            <w:tcW w:type="dxa" w:w="1134"/>
          </w:tcPr>
          <w:p>
            <w:pPr>
              <w:jc w:val="center"/>
            </w:pPr>
            <w:r>
              <w:rPr>
                <w:rFonts w:ascii="Times New Roman" w:hAnsi="Times New Roman"/>
                <w:sz w:val="22"/>
              </w:rPr>
              <w:t>0.5.2</w:t>
            </w:r>
          </w:p>
        </w:tc>
        <w:tc>
          <w:tcPr>
            <w:tcW w:type="dxa" w:w="3118"/>
          </w:tcPr>
          <w:p>
            <w:pPr>
              <w:jc w:val="center"/>
            </w:pPr>
            <w:r>
              <w:rPr>
                <w:rFonts w:ascii="Times New Roman" w:hAnsi="Times New Roman"/>
                <w:sz w:val="22"/>
              </w:rPr>
              <w:t>cl100k_base token counting</w:t>
            </w:r>
          </w:p>
        </w:tc>
      </w:tr>
      <w:tr>
        <w:tc>
          <w:tcPr>
            <w:tcW w:type="dxa" w:w="2268"/>
          </w:tcPr>
          <w:p>
            <w:pPr>
              <w:jc w:val="center"/>
            </w:pPr>
            <w:r>
              <w:rPr>
                <w:rFonts w:ascii="Times New Roman" w:hAnsi="Times New Roman"/>
                <w:sz w:val="22"/>
              </w:rPr>
              <w:t>Data Validation</w:t>
            </w:r>
          </w:p>
        </w:tc>
        <w:tc>
          <w:tcPr>
            <w:tcW w:type="dxa" w:w="2551"/>
          </w:tcPr>
          <w:p>
            <w:pPr>
              <w:jc w:val="center"/>
            </w:pPr>
            <w:r>
              <w:rPr>
                <w:rFonts w:ascii="Times New Roman" w:hAnsi="Times New Roman"/>
                <w:sz w:val="22"/>
              </w:rPr>
              <w:t>Pydantic</w:t>
            </w:r>
          </w:p>
        </w:tc>
        <w:tc>
          <w:tcPr>
            <w:tcW w:type="dxa" w:w="1134"/>
          </w:tcPr>
          <w:p>
            <w:pPr>
              <w:jc w:val="center"/>
            </w:pPr>
            <w:r>
              <w:rPr>
                <w:rFonts w:ascii="Times New Roman" w:hAnsi="Times New Roman"/>
                <w:sz w:val="22"/>
              </w:rPr>
              <w:t>2.5.3</w:t>
            </w:r>
          </w:p>
        </w:tc>
        <w:tc>
          <w:tcPr>
            <w:tcW w:type="dxa" w:w="3118"/>
          </w:tcPr>
          <w:p>
            <w:pPr>
              <w:jc w:val="center"/>
            </w:pPr>
            <w:r>
              <w:rPr>
                <w:rFonts w:ascii="Times New Roman" w:hAnsi="Times New Roman"/>
                <w:sz w:val="22"/>
              </w:rPr>
              <w:t>Type-safe models</w:t>
            </w:r>
          </w:p>
        </w:tc>
      </w:tr>
      <w:tr>
        <w:tc>
          <w:tcPr>
            <w:tcW w:type="dxa" w:w="2268"/>
          </w:tcPr>
          <w:p>
            <w:pPr>
              <w:jc w:val="center"/>
            </w:pPr>
            <w:r>
              <w:rPr>
                <w:rFonts w:ascii="Times New Roman" w:hAnsi="Times New Roman"/>
                <w:sz w:val="22"/>
              </w:rPr>
              <w:t>Language</w:t>
            </w:r>
          </w:p>
        </w:tc>
        <w:tc>
          <w:tcPr>
            <w:tcW w:type="dxa" w:w="2551"/>
          </w:tcPr>
          <w:p>
            <w:pPr>
              <w:jc w:val="center"/>
            </w:pPr>
            <w:r>
              <w:rPr>
                <w:rFonts w:ascii="Times New Roman" w:hAnsi="Times New Roman"/>
                <w:sz w:val="22"/>
              </w:rPr>
              <w:t>Python</w:t>
            </w:r>
          </w:p>
        </w:tc>
        <w:tc>
          <w:tcPr>
            <w:tcW w:type="dxa" w:w="1134"/>
          </w:tcPr>
          <w:p>
            <w:pPr>
              <w:jc w:val="center"/>
            </w:pPr>
            <w:r>
              <w:rPr>
                <w:rFonts w:ascii="Times New Roman" w:hAnsi="Times New Roman"/>
                <w:sz w:val="22"/>
              </w:rPr>
              <w:t>3.11</w:t>
            </w:r>
          </w:p>
        </w:tc>
        <w:tc>
          <w:tcPr>
            <w:tcW w:type="dxa" w:w="3118"/>
          </w:tcPr>
          <w:p>
            <w:pPr>
              <w:jc w:val="center"/>
            </w:pPr>
            <w:r>
              <w:rPr>
                <w:rFonts w:ascii="Times New Roman" w:hAnsi="Times New Roman"/>
                <w:sz w:val="22"/>
              </w:rPr>
              <w:t>Backend runtime</w:t>
            </w:r>
          </w:p>
        </w:tc>
      </w:tr>
    </w:tbl>
    <w:p/>
    <w:p>
      <w:pPr>
        <w:spacing w:after="120"/>
        <w:jc w:val="center"/>
      </w:pPr>
      <w:r>
        <w:rPr>
          <w:rFonts w:ascii="Times New Roman" w:hAnsi="Times New Roman"/>
          <w:b/>
          <w:i w:val="0"/>
          <w:sz w:val="22"/>
        </w:rPr>
        <w:t>Table 1: Technology Stack</w:t>
      </w:r>
    </w:p>
    <w:p>
      <w:pPr>
        <w:pStyle w:val="Heading2"/>
        <w:jc w:val="left"/>
      </w:pPr>
      <w:r>
        <w:rPr>
          <w:rFonts w:ascii="Times New Roman" w:hAnsi="Times New Roman"/>
          <w:color w:val="000000"/>
        </w:rPr>
        <w:t>3.3 Document Ingestion Pipeline</w:t>
      </w:r>
    </w:p>
    <w:p>
      <w:pPr>
        <w:spacing w:after="120"/>
        <w:jc w:val="both"/>
      </w:pPr>
      <w:r>
        <w:rPr>
          <w:rFonts w:ascii="Times New Roman" w:hAnsi="Times New Roman"/>
          <w:b w:val="0"/>
          <w:i w:val="0"/>
          <w:sz w:val="24"/>
        </w:rPr>
        <w:t>The document ingestion pipeline transforms uploaded PDF sustainability reports into searchable vector embeddings through a four-stage process:</w:t>
      </w:r>
    </w:p>
    <w:p>
      <w:pPr>
        <w:spacing w:after="120"/>
        <w:jc w:val="both"/>
      </w:pPr>
      <w:r>
        <w:rPr>
          <w:rFonts w:ascii="Times New Roman" w:hAnsi="Times New Roman"/>
          <w:b/>
          <w:i w:val="0"/>
          <w:sz w:val="24"/>
        </w:rPr>
        <w:t xml:space="preserve">PDF Text Extraction. </w:t>
      </w:r>
      <w:r>
        <w:rPr>
          <w:rFonts w:ascii="Times New Roman" w:hAnsi="Times New Roman"/>
          <w:b w:val="0"/>
          <w:i w:val="0"/>
          <w:sz w:val="24"/>
        </w:rPr>
        <w:t>PyMuPDF 1.23.8 processes each page sequentially, extracting raw text and applying whitespace normalization. Section headers are heuristically detected from the first five lines of each page to provide structural metadata.</w:t>
      </w:r>
    </w:p>
    <w:p>
      <w:pPr>
        <w:spacing w:after="120"/>
        <w:jc w:val="both"/>
      </w:pPr>
      <w:r>
        <w:rPr>
          <w:rFonts w:ascii="Times New Roman" w:hAnsi="Times New Roman"/>
          <w:b/>
          <w:i w:val="0"/>
          <w:sz w:val="24"/>
        </w:rPr>
        <w:t xml:space="preserve">Semantic Chunking. </w:t>
      </w:r>
      <w:r>
        <w:rPr>
          <w:rFonts w:ascii="Times New Roman" w:hAnsi="Times New Roman"/>
          <w:b w:val="0"/>
          <w:i w:val="0"/>
          <w:sz w:val="24"/>
        </w:rPr>
        <w:t>The extracted text is segmented into overlapping chunks using a sliding window approach with the tiktoken tokenizer (cl100k_base encoding). Each chunk comprises 512 tokens with a 50-token overlap between consecutive segments, ensuring that information at chunk boundaries is preserved in at least one neighboring chunk. This configuration was selected based on the RAG survey findings by Gao et al. [7], which identified 256–512 tokens as optimal for dense retrieval tasks.</w:t>
      </w:r>
    </w:p>
    <w:p>
      <w:pPr>
        <w:spacing w:after="120"/>
        <w:jc w:val="both"/>
      </w:pPr>
      <w:r>
        <w:rPr>
          <w:rFonts w:ascii="Times New Roman" w:hAnsi="Times New Roman"/>
          <w:b/>
          <w:i w:val="0"/>
          <w:sz w:val="24"/>
        </w:rPr>
        <w:t xml:space="preserve">Embedding Generation. </w:t>
      </w:r>
      <w:r>
        <w:rPr>
          <w:rFonts w:ascii="Times New Roman" w:hAnsi="Times New Roman"/>
          <w:b w:val="0"/>
          <w:i w:val="0"/>
          <w:sz w:val="24"/>
        </w:rPr>
        <w:t>OpenAI's text-embedding-3-small model generates 1536-dimensional dense vectors for each chunk. Embeddings are generated in batches of 100 chunks to optimize API throughput. Empty strings are guarded against by replacing them with a placeholder token.</w:t>
      </w:r>
    </w:p>
    <w:p>
      <w:pPr>
        <w:spacing w:after="120"/>
        <w:jc w:val="both"/>
      </w:pPr>
      <w:r>
        <w:rPr>
          <w:rFonts w:ascii="Times New Roman" w:hAnsi="Times New Roman"/>
          <w:b/>
          <w:i w:val="0"/>
          <w:sz w:val="24"/>
        </w:rPr>
        <w:t xml:space="preserve">ChromaDB Storage. </w:t>
      </w:r>
      <w:r>
        <w:rPr>
          <w:rFonts w:ascii="Times New Roman" w:hAnsi="Times New Roman"/>
          <w:b w:val="0"/>
          <w:i w:val="0"/>
          <w:sz w:val="24"/>
        </w:rPr>
        <w:t>Each embedded chunk is stored in the company_documents collection with metadata including the source document identifier, page number, section header, and token count. ChromaDB's persistent storage ensures that embeddings survive server restarts without re-computation.</w:t>
      </w:r>
    </w:p>
    <w:p>
      <w:pPr>
        <w:pStyle w:val="Heading2"/>
        <w:jc w:val="left"/>
      </w:pPr>
      <w:r>
        <w:rPr>
          <w:rFonts w:ascii="Times New Roman" w:hAnsi="Times New Roman"/>
          <w:color w:val="000000"/>
        </w:rPr>
        <w:t>3.4 ESG Standards Parsing</w:t>
      </w:r>
    </w:p>
    <w:p>
      <w:pPr>
        <w:spacing w:after="120"/>
        <w:jc w:val="both"/>
      </w:pPr>
      <w:r>
        <w:rPr>
          <w:rFonts w:ascii="Times New Roman" w:hAnsi="Times New Roman"/>
          <w:b w:val="0"/>
          <w:i w:val="0"/>
          <w:sz w:val="24"/>
        </w:rPr>
        <w:t>ESG standard PDFs are parsed into structured clause objects using an enhanced hybrid parser (EnhancedClauseParser) that combines LLM-based extraction with regex fallback patterns. The parsing strategy is framework-specific to handle the diverse document structures across standards:</w:t>
      </w:r>
    </w:p>
    <w:p>
      <w:pPr>
        <w:spacing w:after="120"/>
        <w:jc w:val="both"/>
      </w:pPr>
      <w:r>
        <w:rPr>
          <w:rFonts w:ascii="Times New Roman" w:hAnsi="Times New Roman"/>
          <w:b/>
          <w:i w:val="0"/>
          <w:sz w:val="24"/>
        </w:rPr>
        <w:t xml:space="preserve">BRSR: </w:t>
      </w:r>
      <w:r>
        <w:rPr>
          <w:rFonts w:ascii="Times New Roman" w:hAnsi="Times New Roman"/>
          <w:b w:val="0"/>
          <w:i w:val="0"/>
          <w:sz w:val="24"/>
        </w:rPr>
        <w:t>A single PDF (SEBI's BRSR format) is parsed to extract 265 clauses including core metrics (GHG footprint, water footprint, waste, energy, employment, gender diversity, return to investors, median remuneration) and structured Section A/B/C disclosures using regex patterns tailored to SEBI's format.</w:t>
      </w:r>
    </w:p>
    <w:p>
      <w:pPr>
        <w:spacing w:after="120"/>
        <w:jc w:val="both"/>
      </w:pPr>
      <w:r>
        <w:rPr>
          <w:rFonts w:ascii="Times New Roman" w:hAnsi="Times New Roman"/>
          <w:b/>
          <w:i w:val="0"/>
          <w:sz w:val="24"/>
        </w:rPr>
        <w:t xml:space="preserve">GRI: </w:t>
      </w:r>
      <w:r>
        <w:rPr>
          <w:rFonts w:ascii="Times New Roman" w:hAnsi="Times New Roman"/>
          <w:b w:val="0"/>
          <w:i w:val="0"/>
          <w:sz w:val="24"/>
        </w:rPr>
        <w:t>Over 40 individual standard PDFs (GRI 1, 2, 3, 201, 205, 207, 302, 303, 305, 401, 403, 404, 405, 413, 306-2020) are parsed with configurable scope filtering. LLM-based parsing is applied to each PDF in 40,000-character segments with 3,000-character overlap, with regex fallback if LLM extraction fails.</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Pr>
                <w:rFonts w:ascii="Times New Roman" w:hAnsi="Times New Roman"/>
                <w:b/>
                <w:sz w:val="22"/>
              </w:rPr>
              <w:t>Scope</w:t>
            </w:r>
          </w:p>
        </w:tc>
        <w:tc>
          <w:tcPr>
            <w:tcW w:type="dxa" w:w="4535"/>
            <w:shd w:fill="D9E2F3"/>
          </w:tcPr>
          <w:p>
            <w:pPr>
              <w:jc w:val="center"/>
            </w:pPr>
            <w:r>
              <w:rPr>
                <w:rFonts w:ascii="Times New Roman" w:hAnsi="Times New Roman"/>
                <w:b/>
                <w:sz w:val="22"/>
              </w:rPr>
              <w:t>Standards Included</w:t>
            </w:r>
          </w:p>
        </w:tc>
        <w:tc>
          <w:tcPr>
            <w:tcW w:type="dxa" w:w="1701"/>
            <w:shd w:fill="D9E2F3"/>
          </w:tcPr>
          <w:p>
            <w:pPr>
              <w:jc w:val="center"/>
            </w:pPr>
            <w:r>
              <w:rPr>
                <w:rFonts w:ascii="Times New Roman" w:hAnsi="Times New Roman"/>
                <w:b/>
                <w:sz w:val="22"/>
              </w:rPr>
              <w:t>Clause Count</w:t>
            </w:r>
          </w:p>
        </w:tc>
      </w:tr>
      <w:tr>
        <w:tc>
          <w:tcPr>
            <w:tcW w:type="dxa" w:w="1701"/>
          </w:tcPr>
          <w:p>
            <w:pPr>
              <w:jc w:val="center"/>
            </w:pPr>
            <w:r>
              <w:rPr>
                <w:rFonts w:ascii="Times New Roman" w:hAnsi="Times New Roman"/>
                <w:sz w:val="22"/>
              </w:rPr>
              <w:t>Core</w:t>
            </w:r>
          </w:p>
        </w:tc>
        <w:tc>
          <w:tcPr>
            <w:tcW w:type="dxa" w:w="4535"/>
          </w:tcPr>
          <w:p>
            <w:pPr>
              <w:jc w:val="center"/>
            </w:pPr>
            <w:r>
              <w:rPr>
                <w:rFonts w:ascii="Times New Roman" w:hAnsi="Times New Roman"/>
                <w:sz w:val="22"/>
              </w:rPr>
              <w:t>GRI 1, 2, 3 (Universal)</w:t>
            </w:r>
          </w:p>
        </w:tc>
        <w:tc>
          <w:tcPr>
            <w:tcW w:type="dxa" w:w="1701"/>
          </w:tcPr>
          <w:p>
            <w:pPr>
              <w:jc w:val="center"/>
            </w:pPr>
            <w:r>
              <w:rPr>
                <w:rFonts w:ascii="Times New Roman" w:hAnsi="Times New Roman"/>
                <w:sz w:val="22"/>
              </w:rPr>
              <w:t>~40</w:t>
            </w:r>
          </w:p>
        </w:tc>
      </w:tr>
      <w:tr>
        <w:tc>
          <w:tcPr>
            <w:tcW w:type="dxa" w:w="1701"/>
          </w:tcPr>
          <w:p>
            <w:pPr>
              <w:jc w:val="center"/>
            </w:pPr>
            <w:r>
              <w:rPr>
                <w:rFonts w:ascii="Times New Roman" w:hAnsi="Times New Roman"/>
                <w:sz w:val="22"/>
              </w:rPr>
              <w:t>Standard</w:t>
            </w:r>
          </w:p>
        </w:tc>
        <w:tc>
          <w:tcPr>
            <w:tcW w:type="dxa" w:w="4535"/>
          </w:tcPr>
          <w:p>
            <w:pPr>
              <w:jc w:val="center"/>
            </w:pPr>
            <w:r>
              <w:rPr>
                <w:rFonts w:ascii="Times New Roman" w:hAnsi="Times New Roman"/>
                <w:sz w:val="22"/>
              </w:rPr>
              <w:t>Universal + key topic standards</w:t>
            </w:r>
          </w:p>
        </w:tc>
        <w:tc>
          <w:tcPr>
            <w:tcW w:type="dxa" w:w="1701"/>
          </w:tcPr>
          <w:p>
            <w:pPr>
              <w:jc w:val="center"/>
            </w:pPr>
            <w:r>
              <w:rPr>
                <w:rFonts w:ascii="Times New Roman" w:hAnsi="Times New Roman"/>
                <w:sz w:val="22"/>
              </w:rPr>
              <w:t>~120</w:t>
            </w:r>
          </w:p>
        </w:tc>
      </w:tr>
      <w:tr>
        <w:tc>
          <w:tcPr>
            <w:tcW w:type="dxa" w:w="1701"/>
          </w:tcPr>
          <w:p>
            <w:pPr>
              <w:jc w:val="center"/>
            </w:pPr>
            <w:r>
              <w:rPr>
                <w:rFonts w:ascii="Times New Roman" w:hAnsi="Times New Roman"/>
                <w:sz w:val="22"/>
              </w:rPr>
              <w:t>Essential</w:t>
            </w:r>
          </w:p>
        </w:tc>
        <w:tc>
          <w:tcPr>
            <w:tcW w:type="dxa" w:w="4535"/>
          </w:tcPr>
          <w:p>
            <w:pPr>
              <w:jc w:val="center"/>
            </w:pPr>
            <w:r>
              <w:rPr>
                <w:rFonts w:ascii="Times New Roman" w:hAnsi="Times New Roman"/>
                <w:sz w:val="22"/>
              </w:rPr>
              <w:t>Standard + additional topics</w:t>
            </w:r>
          </w:p>
        </w:tc>
        <w:tc>
          <w:tcPr>
            <w:tcW w:type="dxa" w:w="1701"/>
          </w:tcPr>
          <w:p>
            <w:pPr>
              <w:jc w:val="center"/>
            </w:pPr>
            <w:r>
              <w:rPr>
                <w:rFonts w:ascii="Times New Roman" w:hAnsi="Times New Roman"/>
                <w:sz w:val="22"/>
              </w:rPr>
              <w:t>~150+</w:t>
            </w:r>
          </w:p>
        </w:tc>
      </w:tr>
    </w:tbl>
    <w:p/>
    <w:p>
      <w:pPr>
        <w:spacing w:after="120"/>
        <w:jc w:val="center"/>
      </w:pPr>
      <w:r>
        <w:rPr>
          <w:rFonts w:ascii="Times New Roman" w:hAnsi="Times New Roman"/>
          <w:b/>
          <w:i w:val="0"/>
          <w:sz w:val="22"/>
        </w:rPr>
        <w:t>Table 3: GRI Scope Configuration</w:t>
      </w:r>
    </w:p>
    <w:p>
      <w:pPr>
        <w:spacing w:after="120"/>
        <w:jc w:val="both"/>
      </w:pPr>
      <w:r>
        <w:rPr>
          <w:rFonts w:ascii="Times New Roman" w:hAnsi="Times New Roman"/>
          <w:b/>
          <w:i w:val="0"/>
          <w:sz w:val="24"/>
        </w:rPr>
        <w:t xml:space="preserve">TCFD: </w:t>
      </w:r>
      <w:r>
        <w:rPr>
          <w:rFonts w:ascii="Times New Roman" w:hAnsi="Times New Roman"/>
          <w:b w:val="0"/>
          <w:i w:val="0"/>
          <w:sz w:val="24"/>
        </w:rPr>
        <w:t>A single PDF is parsed with subsequent deduplication and importance ranking, yielding approximately 30 prioritized clauses aligned with the four TCFD pillars (Governance, Strategy, Risk Management, Metrics and Targets).</w:t>
      </w:r>
    </w:p>
    <w:p>
      <w:pPr>
        <w:spacing w:after="120"/>
        <w:jc w:val="both"/>
      </w:pPr>
      <w:r>
        <w:rPr>
          <w:rFonts w:ascii="Times New Roman" w:hAnsi="Times New Roman"/>
          <w:b/>
          <w:i w:val="0"/>
          <w:sz w:val="24"/>
        </w:rPr>
        <w:t xml:space="preserve">SASB: </w:t>
      </w:r>
      <w:r>
        <w:rPr>
          <w:rFonts w:ascii="Times New Roman" w:hAnsi="Times New Roman"/>
          <w:b w:val="0"/>
          <w:i w:val="0"/>
          <w:sz w:val="24"/>
        </w:rPr>
        <w:t>Industry-specific standards (commercial banks, software/IT, biotechnology/pharmaceuticals, electrical equipment) are parsed using a combination of regex and LLM-based extraction. Approximately 77 clauses are extracted per industry sector.</w:t>
      </w:r>
    </w:p>
    <w:p>
      <w:pPr>
        <w:spacing w:after="120"/>
        <w:jc w:val="both"/>
      </w:pPr>
      <w:r>
        <w:rPr>
          <w:rFonts w:ascii="Times New Roman" w:hAnsi="Times New Roman"/>
          <w:b w:val="0"/>
          <w:i w:val="0"/>
          <w:sz w:val="24"/>
        </w:rPr>
        <w:t>Each parsed clause is stored as a structured ESGClause object containing: clause identifier, framework designation, section, title, description, required evidence types (numeric, descriptive, policy, temporal), validation rules (auto-inferred from clause metadata), keywords, and an embedding vector.</w:t>
      </w:r>
    </w:p>
    <w:p>
      <w:pPr>
        <w:pStyle w:val="Heading2"/>
        <w:jc w:val="left"/>
      </w:pPr>
      <w:r>
        <w:rPr>
          <w:rFonts w:ascii="Times New Roman" w:hAnsi="Times New Roman"/>
          <w:color w:val="000000"/>
        </w:rPr>
        <w:t>3.5 Compliance Evaluation Pipeline</w:t>
      </w:r>
    </w:p>
    <w:p>
      <w:pPr>
        <w:spacing w:after="120"/>
        <w:jc w:val="both"/>
      </w:pPr>
      <w:r>
        <w:rPr>
          <w:rFonts w:ascii="Times New Roman" w:hAnsi="Times New Roman"/>
          <w:b w:val="0"/>
          <w:i w:val="0"/>
          <w:sz w:val="24"/>
        </w:rPr>
        <w:t>The core evaluation pipeline processes each clause through four sequential steps. This four-step architecture ensures that compliance decisions are grounded in retrieved evidence, informed by domain-specific reasoning, validated by deterministic rules, and calibrated through principled confidence blending.</w:t>
      </w:r>
    </w:p>
    <w:p>
      <w:pPr>
        <w:spacing w:after="120"/>
        <w:jc w:val="center"/>
      </w:pPr>
      <w:r>
        <w:rPr>
          <w:rFonts w:ascii="Times New Roman" w:hAnsi="Times New Roman"/>
          <w:b w:val="0"/>
          <w:i/>
          <w:sz w:val="24"/>
        </w:rPr>
        <w:t>[Figure 2: Compliance Evaluation Pipeline Flow – Shows the four-step process: Semantic Retrieval → LLM Evaluation → Rule Validation → Final Decision, with ground truth comparison for accuracy measurement.]</w:t>
      </w:r>
    </w:p>
    <w:p>
      <w:pPr>
        <w:spacing w:after="120"/>
        <w:jc w:val="both"/>
      </w:pPr>
      <w:r>
        <w:rPr>
          <w:rFonts w:ascii="Times New Roman" w:hAnsi="Times New Roman"/>
          <w:b/>
          <w:i w:val="0"/>
          <w:sz w:val="24"/>
        </w:rPr>
        <w:t xml:space="preserve">Step 1: Semantic Retrieval. </w:t>
      </w:r>
      <w:r>
        <w:rPr>
          <w:rFonts w:ascii="Times New Roman" w:hAnsi="Times New Roman"/>
          <w:b w:val="0"/>
          <w:i w:val="0"/>
          <w:sz w:val="24"/>
        </w:rPr>
        <w:t>A composite search query is constructed by concatenating the clause title, description, and up to five inferred keywords. This query is embedded using text-embedding-3-small and used to search the company_documents collection in ChromaDB, retrieving the top-K (K=8) most similar chunks. ChromaDB returns L2 Euclidean distances, which are converted to similarity scores using the transformation: similarity = 1/(1 + distance). A minimum similarity threshold of 0.12 filters low-relevance results; however, if all retrieved chunks fall below this threshold, the highest-scoring chunk is retained to ensure at least one evidence passage is available for evaluation.</w:t>
      </w:r>
    </w:p>
    <w:p>
      <w:pPr>
        <w:spacing w:after="120"/>
        <w:jc w:val="both"/>
      </w:pPr>
      <w:r>
        <w:rPr>
          <w:rFonts w:ascii="Times New Roman" w:hAnsi="Times New Roman"/>
          <w:b/>
          <w:i w:val="0"/>
          <w:sz w:val="24"/>
        </w:rPr>
        <w:t xml:space="preserve">Step 2: LLM Evaluation. </w:t>
      </w:r>
      <w:r>
        <w:rPr>
          <w:rFonts w:ascii="Times New Roman" w:hAnsi="Times New Roman"/>
          <w:b w:val="0"/>
          <w:i w:val="0"/>
          <w:sz w:val="24"/>
        </w:rPr>
        <w:t>The retrieved evidence chunks (up to 5) are formatted into a structured prompt along with the clause details and submitted to GPT-4o-mini with a temperature of 0.2 and JSON response mode enforced. The system employs framework-specific system prompts that encode the distinct evaluation philosophy of each standard:</w:t>
      </w:r>
    </w:p>
    <w:tbl>
      <w:tblPr>
        <w:tblStyle w:val="TableGrid"/>
        <w:tblW w:type="auto" w:w="0"/>
        <w:jc w:val="center"/>
        <w:tblLook w:firstColumn="1" w:firstRow="1" w:lastColumn="0" w:lastRow="0" w:noHBand="0" w:noVBand="1" w:val="04A0"/>
      </w:tblPr>
      <w:tblGrid>
        <w:gridCol w:w="2882"/>
        <w:gridCol w:w="2882"/>
        <w:gridCol w:w="2882"/>
      </w:tblGrid>
      <w:tr>
        <w:tc>
          <w:tcPr>
            <w:tcW w:type="dxa" w:w="1417"/>
            <w:shd w:fill="D9E2F3"/>
          </w:tcPr>
          <w:p>
            <w:pPr>
              <w:jc w:val="center"/>
            </w:pPr>
            <w:r>
              <w:rPr>
                <w:rFonts w:ascii="Times New Roman" w:hAnsi="Times New Roman"/>
                <w:b/>
                <w:sz w:val="22"/>
              </w:rPr>
              <w:t>Framework</w:t>
            </w:r>
          </w:p>
        </w:tc>
        <w:tc>
          <w:tcPr>
            <w:tcW w:type="dxa" w:w="2268"/>
            <w:shd w:fill="D9E2F3"/>
          </w:tcPr>
          <w:p>
            <w:pPr>
              <w:jc w:val="center"/>
            </w:pPr>
            <w:r>
              <w:rPr>
                <w:rFonts w:ascii="Times New Roman" w:hAnsi="Times New Roman"/>
                <w:b/>
                <w:sz w:val="22"/>
              </w:rPr>
              <w:t>Evaluation Philosophy</w:t>
            </w:r>
          </w:p>
        </w:tc>
        <w:tc>
          <w:tcPr>
            <w:tcW w:type="dxa" w:w="5386"/>
            <w:shd w:fill="D9E2F3"/>
          </w:tcPr>
          <w:p>
            <w:pPr>
              <w:jc w:val="center"/>
            </w:pPr>
            <w:r>
              <w:rPr>
                <w:rFonts w:ascii="Times New Roman" w:hAnsi="Times New Roman"/>
                <w:b/>
                <w:sz w:val="22"/>
              </w:rPr>
              <w:t>Key Instruction</w:t>
            </w:r>
          </w:p>
        </w:tc>
      </w:tr>
      <w:tr>
        <w:tc>
          <w:tcPr>
            <w:tcW w:type="dxa" w:w="1417"/>
          </w:tcPr>
          <w:p>
            <w:pPr>
              <w:jc w:val="center"/>
            </w:pPr>
            <w:r>
              <w:rPr>
                <w:rFonts w:ascii="Times New Roman" w:hAnsi="Times New Roman"/>
                <w:sz w:val="22"/>
              </w:rPr>
              <w:t>BRSR</w:t>
            </w:r>
          </w:p>
        </w:tc>
        <w:tc>
          <w:tcPr>
            <w:tcW w:type="dxa" w:w="2268"/>
          </w:tcPr>
          <w:p>
            <w:pPr>
              <w:jc w:val="center"/>
            </w:pPr>
            <w:r>
              <w:rPr>
                <w:rFonts w:ascii="Times New Roman" w:hAnsi="Times New Roman"/>
                <w:sz w:val="22"/>
              </w:rPr>
              <w:t>Disclosure presence</w:t>
            </w:r>
          </w:p>
        </w:tc>
        <w:tc>
          <w:tcPr>
            <w:tcW w:type="dxa" w:w="5386"/>
          </w:tcPr>
          <w:p>
            <w:pPr>
              <w:jc w:val="center"/>
            </w:pPr>
            <w:r>
              <w:rPr>
                <w:rFonts w:ascii="Times New Roman" w:hAnsi="Times New Roman"/>
                <w:sz w:val="22"/>
              </w:rPr>
              <w:t>Evaluate whether the disclosure is present, not whether facts are verified</w:t>
            </w:r>
          </w:p>
        </w:tc>
      </w:tr>
      <w:tr>
        <w:tc>
          <w:tcPr>
            <w:tcW w:type="dxa" w:w="1417"/>
          </w:tcPr>
          <w:p>
            <w:pPr>
              <w:jc w:val="center"/>
            </w:pPr>
            <w:r>
              <w:rPr>
                <w:rFonts w:ascii="Times New Roman" w:hAnsi="Times New Roman"/>
                <w:sz w:val="22"/>
              </w:rPr>
              <w:t>GRI</w:t>
            </w:r>
          </w:p>
        </w:tc>
        <w:tc>
          <w:tcPr>
            <w:tcW w:type="dxa" w:w="2268"/>
          </w:tcPr>
          <w:p>
            <w:pPr>
              <w:jc w:val="center"/>
            </w:pPr>
            <w:r>
              <w:rPr>
                <w:rFonts w:ascii="Times New Roman" w:hAnsi="Times New Roman"/>
                <w:sz w:val="22"/>
              </w:rPr>
              <w:t>Substantive evidence</w:t>
            </w:r>
          </w:p>
        </w:tc>
        <w:tc>
          <w:tcPr>
            <w:tcW w:type="dxa" w:w="5386"/>
          </w:tcPr>
          <w:p>
            <w:pPr>
              <w:jc w:val="center"/>
            </w:pPr>
            <w:r>
              <w:rPr>
                <w:rFonts w:ascii="Times New Roman" w:hAnsi="Times New Roman"/>
                <w:sz w:val="22"/>
              </w:rPr>
              <w:t>Prefer Supported when evidence substantively addresses the clause</w:t>
            </w:r>
          </w:p>
        </w:tc>
      </w:tr>
      <w:tr>
        <w:tc>
          <w:tcPr>
            <w:tcW w:type="dxa" w:w="1417"/>
          </w:tcPr>
          <w:p>
            <w:pPr>
              <w:jc w:val="center"/>
            </w:pPr>
            <w:r>
              <w:rPr>
                <w:rFonts w:ascii="Times New Roman" w:hAnsi="Times New Roman"/>
                <w:sz w:val="22"/>
              </w:rPr>
              <w:t>TCFD</w:t>
            </w:r>
          </w:p>
        </w:tc>
        <w:tc>
          <w:tcPr>
            <w:tcW w:type="dxa" w:w="2268"/>
          </w:tcPr>
          <w:p>
            <w:pPr>
              <w:jc w:val="center"/>
            </w:pPr>
            <w:r>
              <w:rPr>
                <w:rFonts w:ascii="Times New Roman" w:hAnsi="Times New Roman"/>
                <w:sz w:val="22"/>
              </w:rPr>
              <w:t>Climate specificity</w:t>
            </w:r>
          </w:p>
        </w:tc>
        <w:tc>
          <w:tcPr>
            <w:tcW w:type="dxa" w:w="5386"/>
          </w:tcPr>
          <w:p>
            <w:pPr>
              <w:jc w:val="center"/>
            </w:pPr>
            <w:r>
              <w:rPr>
                <w:rFonts w:ascii="Times New Roman" w:hAnsi="Times New Roman"/>
                <w:sz w:val="22"/>
              </w:rPr>
              <w:t>Supported only if excerpt fully meets the specific climate requirement</w:t>
            </w:r>
          </w:p>
        </w:tc>
      </w:tr>
      <w:tr>
        <w:tc>
          <w:tcPr>
            <w:tcW w:type="dxa" w:w="1417"/>
          </w:tcPr>
          <w:p>
            <w:pPr>
              <w:jc w:val="center"/>
            </w:pPr>
            <w:r>
              <w:rPr>
                <w:rFonts w:ascii="Times New Roman" w:hAnsi="Times New Roman"/>
                <w:sz w:val="22"/>
              </w:rPr>
              <w:t>SASB</w:t>
            </w:r>
          </w:p>
        </w:tc>
        <w:tc>
          <w:tcPr>
            <w:tcW w:type="dxa" w:w="2268"/>
          </w:tcPr>
          <w:p>
            <w:pPr>
              <w:jc w:val="center"/>
            </w:pPr>
            <w:r>
              <w:rPr>
                <w:rFonts w:ascii="Times New Roman" w:hAnsi="Times New Roman"/>
                <w:sz w:val="22"/>
              </w:rPr>
              <w:t>Lenient materiality</w:t>
            </w:r>
          </w:p>
        </w:tc>
        <w:tc>
          <w:tcPr>
            <w:tcW w:type="dxa" w:w="5386"/>
          </w:tcPr>
          <w:p>
            <w:pPr>
              <w:jc w:val="center"/>
            </w:pPr>
            <w:r>
              <w:rPr>
                <w:rFonts w:ascii="Times New Roman" w:hAnsi="Times New Roman"/>
                <w:sz w:val="22"/>
              </w:rPr>
              <w:t>On-topic substantive text warrants at least Partial; lenient toward Supported</w:t>
            </w:r>
          </w:p>
        </w:tc>
      </w:tr>
    </w:tbl>
    <w:p/>
    <w:p>
      <w:pPr>
        <w:spacing w:after="120"/>
        <w:jc w:val="center"/>
      </w:pPr>
      <w:r>
        <w:rPr>
          <w:rFonts w:ascii="Times New Roman" w:hAnsi="Times New Roman"/>
          <w:b/>
          <w:i w:val="0"/>
          <w:sz w:val="22"/>
        </w:rPr>
        <w:t>Table 4: Framework-Specific Prompt Philosophies</w:t>
      </w:r>
    </w:p>
    <w:p>
      <w:pPr>
        <w:spacing w:after="120"/>
        <w:jc w:val="both"/>
      </w:pPr>
      <w:r>
        <w:rPr>
          <w:rFonts w:ascii="Times New Roman" w:hAnsi="Times New Roman"/>
          <w:b w:val="0"/>
          <w:i w:val="0"/>
          <w:sz w:val="24"/>
        </w:rPr>
        <w:t>The LLM returns a structured JSON object containing: compliance status (supported, partial, or not_supported), confidence score (0.0–1.0), a 2–4 sentence explanation, and detailed reasoning with evidence quotes and page references.</w:t>
      </w:r>
    </w:p>
    <w:tbl>
      <w:tblPr>
        <w:tblStyle w:val="TableGrid"/>
        <w:tblW w:type="auto" w:w="0"/>
        <w:jc w:val="center"/>
        <w:tblLook w:firstColumn="1" w:firstRow="1" w:lastColumn="0" w:lastRow="0" w:noHBand="0" w:noVBand="1" w:val="04A0"/>
      </w:tblPr>
      <w:tblGrid>
        <w:gridCol w:w="4323"/>
        <w:gridCol w:w="4323"/>
      </w:tblGrid>
      <w:tr>
        <w:tc>
          <w:tcPr>
            <w:tcW w:type="dxa" w:w="2268"/>
            <w:shd w:fill="D9E2F3"/>
          </w:tcPr>
          <w:p>
            <w:pPr>
              <w:jc w:val="center"/>
            </w:pPr>
            <w:r>
              <w:rPr>
                <w:rFonts w:ascii="Times New Roman" w:hAnsi="Times New Roman"/>
                <w:b/>
                <w:sz w:val="22"/>
              </w:rPr>
              <w:t>Status</w:t>
            </w:r>
          </w:p>
        </w:tc>
        <w:tc>
          <w:tcPr>
            <w:tcW w:type="dxa" w:w="6803"/>
            <w:shd w:fill="D9E2F3"/>
          </w:tcPr>
          <w:p>
            <w:pPr>
              <w:jc w:val="center"/>
            </w:pPr>
            <w:r>
              <w:rPr>
                <w:rFonts w:ascii="Times New Roman" w:hAnsi="Times New Roman"/>
                <w:b/>
                <w:sz w:val="22"/>
              </w:rPr>
              <w:t>Meaning</w:t>
            </w:r>
          </w:p>
        </w:tc>
      </w:tr>
      <w:tr>
        <w:tc>
          <w:tcPr>
            <w:tcW w:type="dxa" w:w="2268"/>
          </w:tcPr>
          <w:p>
            <w:pPr>
              <w:jc w:val="center"/>
            </w:pPr>
            <w:r>
              <w:rPr>
                <w:rFonts w:ascii="Times New Roman" w:hAnsi="Times New Roman"/>
                <w:sz w:val="22"/>
              </w:rPr>
              <w:t>Supported</w:t>
            </w:r>
          </w:p>
        </w:tc>
        <w:tc>
          <w:tcPr>
            <w:tcW w:type="dxa" w:w="6803"/>
          </w:tcPr>
          <w:p>
            <w:pPr>
              <w:jc w:val="center"/>
            </w:pPr>
            <w:r>
              <w:rPr>
                <w:rFonts w:ascii="Times New Roman" w:hAnsi="Times New Roman"/>
                <w:sz w:val="22"/>
              </w:rPr>
              <w:t>Disclosure present and substantively addresses the requirement</w:t>
            </w:r>
          </w:p>
        </w:tc>
      </w:tr>
      <w:tr>
        <w:tc>
          <w:tcPr>
            <w:tcW w:type="dxa" w:w="2268"/>
          </w:tcPr>
          <w:p>
            <w:pPr>
              <w:jc w:val="center"/>
            </w:pPr>
            <w:r>
              <w:rPr>
                <w:rFonts w:ascii="Times New Roman" w:hAnsi="Times New Roman"/>
                <w:sz w:val="22"/>
              </w:rPr>
              <w:t>Partial</w:t>
            </w:r>
          </w:p>
        </w:tc>
        <w:tc>
          <w:tcPr>
            <w:tcW w:type="dxa" w:w="6803"/>
          </w:tcPr>
          <w:p>
            <w:pPr>
              <w:jc w:val="center"/>
            </w:pPr>
            <w:r>
              <w:rPr>
                <w:rFonts w:ascii="Times New Roman" w:hAnsi="Times New Roman"/>
                <w:sz w:val="22"/>
              </w:rPr>
              <w:t>Some disclosure present but key elements missing or indirect</w:t>
            </w:r>
          </w:p>
        </w:tc>
      </w:tr>
      <w:tr>
        <w:tc>
          <w:tcPr>
            <w:tcW w:type="dxa" w:w="2268"/>
          </w:tcPr>
          <w:p>
            <w:pPr>
              <w:jc w:val="center"/>
            </w:pPr>
            <w:r>
              <w:rPr>
                <w:rFonts w:ascii="Times New Roman" w:hAnsi="Times New Roman"/>
                <w:sz w:val="22"/>
              </w:rPr>
              <w:t>Not Supported</w:t>
            </w:r>
          </w:p>
        </w:tc>
        <w:tc>
          <w:tcPr>
            <w:tcW w:type="dxa" w:w="6803"/>
          </w:tcPr>
          <w:p>
            <w:pPr>
              <w:jc w:val="center"/>
            </w:pPr>
            <w:r>
              <w:rPr>
                <w:rFonts w:ascii="Times New Roman" w:hAnsi="Times New Roman"/>
                <w:sz w:val="22"/>
              </w:rPr>
              <w:t>No relevant disclosure found in the evidence</w:t>
            </w:r>
          </w:p>
        </w:tc>
      </w:tr>
    </w:tbl>
    <w:p/>
    <w:p>
      <w:pPr>
        <w:spacing w:after="120"/>
        <w:jc w:val="center"/>
      </w:pPr>
      <w:r>
        <w:rPr>
          <w:rFonts w:ascii="Times New Roman" w:hAnsi="Times New Roman"/>
          <w:b/>
          <w:i w:val="0"/>
          <w:sz w:val="22"/>
        </w:rPr>
        <w:t>Table 2: Compliance Status Labels</w:t>
      </w:r>
    </w:p>
    <w:p>
      <w:pPr>
        <w:spacing w:after="120"/>
        <w:jc w:val="both"/>
      </w:pPr>
      <w:r>
        <w:rPr>
          <w:rFonts w:ascii="Times New Roman" w:hAnsi="Times New Roman"/>
          <w:b/>
          <w:i w:val="0"/>
          <w:sz w:val="24"/>
        </w:rPr>
        <w:t xml:space="preserve">Step 3: Rule Validation. </w:t>
      </w:r>
      <w:r>
        <w:rPr>
          <w:rFonts w:ascii="Times New Roman" w:hAnsi="Times New Roman"/>
          <w:b w:val="0"/>
          <w:i w:val="0"/>
          <w:sz w:val="24"/>
        </w:rPr>
        <w:t>Deterministic rule checks are applied to the retrieved evidence text as a guardrail against LLM hallucination. Four rule types are supported:</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D9E2F3"/>
          </w:tcPr>
          <w:p>
            <w:pPr>
              <w:jc w:val="center"/>
            </w:pPr>
            <w:r>
              <w:rPr>
                <w:rFonts w:ascii="Times New Roman" w:hAnsi="Times New Roman"/>
                <w:b/>
                <w:sz w:val="22"/>
              </w:rPr>
              <w:t>Rule Type</w:t>
            </w:r>
          </w:p>
        </w:tc>
        <w:tc>
          <w:tcPr>
            <w:tcW w:type="dxa" w:w="3969"/>
            <w:shd w:fill="D9E2F3"/>
          </w:tcPr>
          <w:p>
            <w:pPr>
              <w:jc w:val="center"/>
            </w:pPr>
            <w:r>
              <w:rPr>
                <w:rFonts w:ascii="Times New Roman" w:hAnsi="Times New Roman"/>
                <w:b/>
                <w:sz w:val="22"/>
              </w:rPr>
              <w:t>Description</w:t>
            </w:r>
          </w:p>
        </w:tc>
        <w:tc>
          <w:tcPr>
            <w:tcW w:type="dxa" w:w="3402"/>
            <w:shd w:fill="D9E2F3"/>
          </w:tcPr>
          <w:p>
            <w:pPr>
              <w:jc w:val="center"/>
            </w:pPr>
            <w:r>
              <w:rPr>
                <w:rFonts w:ascii="Times New Roman" w:hAnsi="Times New Roman"/>
                <w:b/>
                <w:sz w:val="22"/>
              </w:rPr>
              <w:t>Example</w:t>
            </w:r>
          </w:p>
        </w:tc>
      </w:tr>
      <w:tr>
        <w:tc>
          <w:tcPr>
            <w:tcW w:type="dxa" w:w="1701"/>
          </w:tcPr>
          <w:p>
            <w:pPr>
              <w:jc w:val="center"/>
            </w:pPr>
            <w:r>
              <w:rPr>
                <w:rFonts w:ascii="Times New Roman" w:hAnsi="Times New Roman"/>
                <w:sz w:val="22"/>
              </w:rPr>
              <w:t>Numeric</w:t>
            </w:r>
          </w:p>
        </w:tc>
        <w:tc>
          <w:tcPr>
            <w:tcW w:type="dxa" w:w="3969"/>
          </w:tcPr>
          <w:p>
            <w:pPr>
              <w:jc w:val="center"/>
            </w:pPr>
            <w:r>
              <w:rPr>
                <w:rFonts w:ascii="Times New Roman" w:hAnsi="Times New Roman"/>
                <w:sz w:val="22"/>
              </w:rPr>
              <w:t>Extracts numbers via regex; checks if any fall within configured min/max range</w:t>
            </w:r>
          </w:p>
        </w:tc>
        <w:tc>
          <w:tcPr>
            <w:tcW w:type="dxa" w:w="3402"/>
          </w:tcPr>
          <w:p>
            <w:pPr>
              <w:jc w:val="center"/>
            </w:pPr>
            <w:r>
              <w:rPr>
                <w:rFonts w:ascii="Times New Roman" w:hAnsi="Times New Roman"/>
                <w:sz w:val="22"/>
              </w:rPr>
              <w:t>GHG emissions value exists within expected range</w:t>
            </w:r>
          </w:p>
        </w:tc>
      </w:tr>
      <w:tr>
        <w:tc>
          <w:tcPr>
            <w:tcW w:type="dxa" w:w="1701"/>
          </w:tcPr>
          <w:p>
            <w:pPr>
              <w:jc w:val="center"/>
            </w:pPr>
            <w:r>
              <w:rPr>
                <w:rFonts w:ascii="Times New Roman" w:hAnsi="Times New Roman"/>
                <w:sz w:val="22"/>
              </w:rPr>
              <w:t>Temporal</w:t>
            </w:r>
          </w:p>
        </w:tc>
        <w:tc>
          <w:tcPr>
            <w:tcW w:type="dxa" w:w="3969"/>
          </w:tcPr>
          <w:p>
            <w:pPr>
              <w:jc w:val="center"/>
            </w:pPr>
            <w:r>
              <w:rPr>
                <w:rFonts w:ascii="Times New Roman" w:hAnsi="Times New Roman"/>
                <w:sz w:val="22"/>
              </w:rPr>
              <w:t>Identifies year/date patterns; validates against expected reporting periods</w:t>
            </w:r>
          </w:p>
        </w:tc>
        <w:tc>
          <w:tcPr>
            <w:tcW w:type="dxa" w:w="3402"/>
          </w:tcPr>
          <w:p>
            <w:pPr>
              <w:jc w:val="center"/>
            </w:pPr>
            <w:r>
              <w:rPr>
                <w:rFonts w:ascii="Times New Roman" w:hAnsi="Times New Roman"/>
                <w:sz w:val="22"/>
              </w:rPr>
              <w:t>Report references FY 2023–24 data</w:t>
            </w:r>
          </w:p>
        </w:tc>
      </w:tr>
      <w:tr>
        <w:tc>
          <w:tcPr>
            <w:tcW w:type="dxa" w:w="1701"/>
          </w:tcPr>
          <w:p>
            <w:pPr>
              <w:jc w:val="center"/>
            </w:pPr>
            <w:r>
              <w:rPr>
                <w:rFonts w:ascii="Times New Roman" w:hAnsi="Times New Roman"/>
                <w:sz w:val="22"/>
              </w:rPr>
              <w:t>Keyword</w:t>
            </w:r>
          </w:p>
        </w:tc>
        <w:tc>
          <w:tcPr>
            <w:tcW w:type="dxa" w:w="3969"/>
          </w:tcPr>
          <w:p>
            <w:pPr>
              <w:jc w:val="center"/>
            </w:pPr>
            <w:r>
              <w:rPr>
                <w:rFonts w:ascii="Times New Roman" w:hAnsi="Times New Roman"/>
                <w:sz w:val="22"/>
              </w:rPr>
              <w:t>Case-insensitive substring matching for required terms</w:t>
            </w:r>
          </w:p>
        </w:tc>
        <w:tc>
          <w:tcPr>
            <w:tcW w:type="dxa" w:w="3402"/>
          </w:tcPr>
          <w:p>
            <w:pPr>
              <w:jc w:val="center"/>
            </w:pPr>
            <w:r>
              <w:rPr>
                <w:rFonts w:ascii="Times New Roman" w:hAnsi="Times New Roman"/>
                <w:sz w:val="22"/>
              </w:rPr>
              <w:t>Evidence contains 'carbon neutral' or 'net zero'</w:t>
            </w:r>
          </w:p>
        </w:tc>
      </w:tr>
      <w:tr>
        <w:tc>
          <w:tcPr>
            <w:tcW w:type="dxa" w:w="1701"/>
          </w:tcPr>
          <w:p>
            <w:pPr>
              <w:jc w:val="center"/>
            </w:pPr>
            <w:r>
              <w:rPr>
                <w:rFonts w:ascii="Times New Roman" w:hAnsi="Times New Roman"/>
                <w:sz w:val="22"/>
              </w:rPr>
              <w:t>Field Presence</w:t>
            </w:r>
          </w:p>
        </w:tc>
        <w:tc>
          <w:tcPr>
            <w:tcW w:type="dxa" w:w="3969"/>
          </w:tcPr>
          <w:p>
            <w:pPr>
              <w:jc w:val="center"/>
            </w:pPr>
            <w:r>
              <w:rPr>
                <w:rFonts w:ascii="Times New Roman" w:hAnsi="Times New Roman"/>
                <w:sz w:val="22"/>
              </w:rPr>
              <w:t>Checks for specific field-value assignment patterns</w:t>
            </w:r>
          </w:p>
        </w:tc>
        <w:tc>
          <w:tcPr>
            <w:tcW w:type="dxa" w:w="3402"/>
          </w:tcPr>
          <w:p>
            <w:pPr>
              <w:jc w:val="center"/>
            </w:pPr>
            <w:r>
              <w:rPr>
                <w:rFonts w:ascii="Times New Roman" w:hAnsi="Times New Roman"/>
                <w:sz w:val="22"/>
              </w:rPr>
              <w:t>Evidence contains 'Scope 1:' or 'Total emissions ='</w:t>
            </w:r>
          </w:p>
        </w:tc>
      </w:tr>
    </w:tbl>
    <w:p/>
    <w:p>
      <w:pPr>
        <w:spacing w:after="120"/>
        <w:jc w:val="center"/>
      </w:pPr>
      <w:r>
        <w:rPr>
          <w:rFonts w:ascii="Times New Roman" w:hAnsi="Times New Roman"/>
          <w:b/>
          <w:i w:val="0"/>
          <w:sz w:val="22"/>
        </w:rPr>
        <w:t>Table 5: Rule Validation Types</w:t>
      </w:r>
    </w:p>
    <w:p>
      <w:pPr>
        <w:spacing w:after="120"/>
        <w:jc w:val="both"/>
      </w:pPr>
      <w:r>
        <w:rPr>
          <w:rFonts w:ascii="Times New Roman" w:hAnsi="Times New Roman"/>
          <w:b/>
          <w:i w:val="0"/>
          <w:sz w:val="24"/>
        </w:rPr>
        <w:t xml:space="preserve">Step 4: Final Decision. </w:t>
      </w:r>
      <w:r>
        <w:rPr>
          <w:rFonts w:ascii="Times New Roman" w:hAnsi="Times New Roman"/>
          <w:b w:val="0"/>
          <w:i w:val="0"/>
          <w:sz w:val="24"/>
        </w:rPr>
        <w:t>The LLM evaluation and rule validation outcomes are synthesized into a final compliance decision. Confidence scores are blended using framework-specific weights:</w:t>
      </w:r>
    </w:p>
    <w:tbl>
      <w:tblPr>
        <w:tblStyle w:val="TableGrid"/>
        <w:tblW w:type="auto" w:w="0"/>
        <w:jc w:val="center"/>
        <w:tblLook w:firstColumn="1" w:firstRow="1" w:lastColumn="0" w:lastRow="0" w:noHBand="0" w:noVBand="1" w:val="04A0"/>
      </w:tblPr>
      <w:tblGrid>
        <w:gridCol w:w="2882"/>
        <w:gridCol w:w="2882"/>
        <w:gridCol w:w="2882"/>
      </w:tblGrid>
      <w:tr>
        <w:tc>
          <w:tcPr>
            <w:tcW w:type="dxa" w:w="2268"/>
            <w:shd w:fill="D9E2F3"/>
          </w:tcPr>
          <w:p>
            <w:pPr>
              <w:jc w:val="center"/>
            </w:pPr>
            <w:r>
              <w:rPr>
                <w:rFonts w:ascii="Times New Roman" w:hAnsi="Times New Roman"/>
                <w:b/>
                <w:sz w:val="22"/>
              </w:rPr>
              <w:t>Framework</w:t>
            </w:r>
          </w:p>
        </w:tc>
        <w:tc>
          <w:tcPr>
            <w:tcW w:type="dxa" w:w="3402"/>
            <w:shd w:fill="D9E2F3"/>
          </w:tcPr>
          <w:p>
            <w:pPr>
              <w:jc w:val="center"/>
            </w:pPr>
            <w:r>
              <w:rPr>
                <w:rFonts w:ascii="Times New Roman" w:hAnsi="Times New Roman"/>
                <w:b/>
                <w:sz w:val="22"/>
              </w:rPr>
              <w:t>Confidence Blending Formula</w:t>
            </w:r>
          </w:p>
        </w:tc>
        <w:tc>
          <w:tcPr>
            <w:tcW w:type="dxa" w:w="3402"/>
            <w:shd w:fill="D9E2F3"/>
          </w:tcPr>
          <w:p>
            <w:pPr>
              <w:jc w:val="center"/>
            </w:pPr>
            <w:r>
              <w:rPr>
                <w:rFonts w:ascii="Times New Roman" w:hAnsi="Times New Roman"/>
                <w:b/>
                <w:sz w:val="22"/>
              </w:rPr>
              <w:t>Rationale</w:t>
            </w:r>
          </w:p>
        </w:tc>
      </w:tr>
      <w:tr>
        <w:tc>
          <w:tcPr>
            <w:tcW w:type="dxa" w:w="2268"/>
          </w:tcPr>
          <w:p>
            <w:pPr>
              <w:jc w:val="center"/>
            </w:pPr>
            <w:r>
              <w:rPr>
                <w:rFonts w:ascii="Times New Roman" w:hAnsi="Times New Roman"/>
                <w:sz w:val="22"/>
              </w:rPr>
              <w:t>SASB</w:t>
            </w:r>
          </w:p>
        </w:tc>
        <w:tc>
          <w:tcPr>
            <w:tcW w:type="dxa" w:w="3402"/>
          </w:tcPr>
          <w:p>
            <w:pPr>
              <w:jc w:val="center"/>
            </w:pPr>
            <w:r>
              <w:rPr>
                <w:rFonts w:ascii="Times New Roman" w:hAnsi="Times New Roman"/>
                <w:sz w:val="22"/>
              </w:rPr>
              <w:t>0.82 × LLM confidence + 0.18 × rule pass rate</w:t>
            </w:r>
          </w:p>
        </w:tc>
        <w:tc>
          <w:tcPr>
            <w:tcW w:type="dxa" w:w="3402"/>
          </w:tcPr>
          <w:p>
            <w:pPr>
              <w:jc w:val="center"/>
            </w:pPr>
            <w:r>
              <w:rPr>
                <w:rFonts w:ascii="Times New Roman" w:hAnsi="Times New Roman"/>
                <w:sz w:val="22"/>
              </w:rPr>
              <w:t>SASB rules are heuristic; trust LLM more</w:t>
            </w:r>
          </w:p>
        </w:tc>
      </w:tr>
      <w:tr>
        <w:tc>
          <w:tcPr>
            <w:tcW w:type="dxa" w:w="2268"/>
          </w:tcPr>
          <w:p>
            <w:pPr>
              <w:jc w:val="center"/>
            </w:pPr>
            <w:r>
              <w:rPr>
                <w:rFonts w:ascii="Times New Roman" w:hAnsi="Times New Roman"/>
                <w:sz w:val="22"/>
              </w:rPr>
              <w:t>Others (BRSR, GRI, TCFD)</w:t>
            </w:r>
          </w:p>
        </w:tc>
        <w:tc>
          <w:tcPr>
            <w:tcW w:type="dxa" w:w="3402"/>
          </w:tcPr>
          <w:p>
            <w:pPr>
              <w:jc w:val="center"/>
            </w:pPr>
            <w:r>
              <w:rPr>
                <w:rFonts w:ascii="Times New Roman" w:hAnsi="Times New Roman"/>
                <w:sz w:val="22"/>
              </w:rPr>
              <w:t>(LLM confidence + rule pass rate) / 2</w:t>
            </w:r>
          </w:p>
        </w:tc>
        <w:tc>
          <w:tcPr>
            <w:tcW w:type="dxa" w:w="3402"/>
          </w:tcPr>
          <w:p>
            <w:pPr>
              <w:jc w:val="center"/>
            </w:pPr>
            <w:r>
              <w:rPr>
                <w:rFonts w:ascii="Times New Roman" w:hAnsi="Times New Roman"/>
                <w:sz w:val="22"/>
              </w:rPr>
              <w:t>Balanced weighting between LLM and rules</w:t>
            </w:r>
          </w:p>
        </w:tc>
      </w:tr>
    </w:tbl>
    <w:p/>
    <w:p>
      <w:pPr>
        <w:spacing w:after="120"/>
        <w:jc w:val="center"/>
      </w:pPr>
      <w:r>
        <w:rPr>
          <w:rFonts w:ascii="Times New Roman" w:hAnsi="Times New Roman"/>
          <w:b/>
          <w:i w:val="0"/>
          <w:sz w:val="22"/>
        </w:rPr>
        <w:t>Table 6: Confidence Blending Formulas</w:t>
      </w:r>
    </w:p>
    <w:p>
      <w:pPr>
        <w:spacing w:after="120"/>
        <w:jc w:val="both"/>
      </w:pPr>
      <w:r>
        <w:rPr>
          <w:rFonts w:ascii="Times New Roman" w:hAnsi="Times New Roman"/>
          <w:b w:val="0"/>
          <w:i w:val="0"/>
          <w:sz w:val="24"/>
        </w:rPr>
        <w:t>If mandatory rules fail, the final status is capped at "Partial" with confidence limited to 0.65 (SASB) or 0.50 (others). Conversely, if all rules pass but the LLM assigns "Not Supported," confidence is reduced by 0.20 (minimum 0.30) to signal the discrepancy. The final output includes the compliance status, confidence score, whether a rule override was applied, and the reason for any override.</w:t>
      </w:r>
    </w:p>
    <w:p>
      <w:pPr>
        <w:pStyle w:val="Heading2"/>
        <w:jc w:val="left"/>
      </w:pPr>
      <w:r>
        <w:rPr>
          <w:rFonts w:ascii="Times New Roman" w:hAnsi="Times New Roman"/>
          <w:color w:val="000000"/>
        </w:rPr>
        <w:t>3.6 Agentic AI Pipeline</w:t>
      </w:r>
    </w:p>
    <w:p>
      <w:pPr>
        <w:spacing w:after="120"/>
        <w:jc w:val="both"/>
      </w:pPr>
      <w:r>
        <w:rPr>
          <w:rFonts w:ascii="Times New Roman" w:hAnsi="Times New Roman"/>
          <w:b w:val="0"/>
          <w:i w:val="0"/>
          <w:sz w:val="24"/>
        </w:rPr>
        <w:t>When the reflection mode is enabled, the single-pass LLM evaluation (Step 2) is replaced by a three-stage agentic pipeline that mirrors the deliberative process of a human auditor:</w:t>
      </w:r>
    </w:p>
    <w:p>
      <w:pPr>
        <w:spacing w:after="120"/>
        <w:jc w:val="center"/>
      </w:pPr>
      <w:r>
        <w:rPr>
          <w:rFonts w:ascii="Times New Roman" w:hAnsi="Times New Roman"/>
          <w:b w:val="0"/>
          <w:i/>
          <w:sz w:val="24"/>
        </w:rPr>
        <w:t>[Figure 3: Agentic AI Reasoning Flow – Shows the three-stage process: Chain-of-Thought Reasoning → Self-Reflection → Conditional Revision → Final Output.]</w:t>
      </w:r>
    </w:p>
    <w:p>
      <w:pPr>
        <w:spacing w:after="120"/>
        <w:jc w:val="both"/>
      </w:pPr>
      <w:r>
        <w:rPr>
          <w:rFonts w:ascii="Times New Roman" w:hAnsi="Times New Roman"/>
          <w:b/>
          <w:i w:val="0"/>
          <w:sz w:val="24"/>
        </w:rPr>
        <w:t xml:space="preserve">Stage 1: Chain-of-Thought Reasoning </w:t>
      </w:r>
      <w:r>
        <w:rPr>
          <w:rFonts w:ascii="Times New Roman" w:hAnsi="Times New Roman"/>
          <w:b w:val="0"/>
          <w:i w:val="0"/>
          <w:sz w:val="24"/>
        </w:rPr>
        <w:t>(LLM call at temperature 0.2). The LLM is prompted to reason explicitly through five analytical dimensions: (a) evidence quality assessment, evaluating the relevance and specificity of each retrieved chunk; (b) requirement mapping, identifying which aspects of the clause are addressed by the evidence; (c) evidence type validation, verifying that the evidence matches the required disclosure type; (d) completeness analysis, identifying coverage gaps; and (e) compliance determination, synthesizing the analysis into a status and confidence score. The structured reasoning steps are preserved for audit transparency.</w:t>
      </w:r>
    </w:p>
    <w:p>
      <w:pPr>
        <w:spacing w:after="120"/>
        <w:jc w:val="both"/>
      </w:pPr>
      <w:r>
        <w:rPr>
          <w:rFonts w:ascii="Times New Roman" w:hAnsi="Times New Roman"/>
          <w:b/>
          <w:i w:val="0"/>
          <w:sz w:val="24"/>
        </w:rPr>
        <w:t xml:space="preserve">Stage 2: Self-Reflection </w:t>
      </w:r>
      <w:r>
        <w:rPr>
          <w:rFonts w:ascii="Times New Roman" w:hAnsi="Times New Roman"/>
          <w:b w:val="0"/>
          <w:i w:val="0"/>
          <w:sz w:val="24"/>
        </w:rPr>
        <w:t>(LLM call at temperature 0.3). A second LLM call critically reviews the chain-of-thought output, examining: logical consistency of reasoning steps, evidence coverage completeness, potential confirmation or anchoring biases, whether alternative interpretations of the evidence were considered, and whether the assigned confidence score is appropriately calibrated. The reflection produces a summary, a list of identified issues, and a boolean decision on whether revision is needed.</w:t>
      </w:r>
    </w:p>
    <w:p>
      <w:pPr>
        <w:spacing w:after="120"/>
        <w:jc w:val="both"/>
      </w:pPr>
      <w:r>
        <w:rPr>
          <w:rFonts w:ascii="Times New Roman" w:hAnsi="Times New Roman"/>
          <w:b/>
          <w:i w:val="0"/>
          <w:sz w:val="24"/>
        </w:rPr>
        <w:t xml:space="preserve">Stage 3: Conditional Revision </w:t>
      </w:r>
      <w:r>
        <w:rPr>
          <w:rFonts w:ascii="Times New Roman" w:hAnsi="Times New Roman"/>
          <w:b w:val="0"/>
          <w:i w:val="0"/>
          <w:sz w:val="24"/>
        </w:rPr>
        <w:t>(LLM call at temperature 0.2, only if needed). If the self-reflection stage identifies substantive issues (needs_revision = true), a third LLM call addresses the specific issues raised, reconsiders the evidence interpretation, and produces a revised status, confidence score, and revision notes. Empirically, approximately 10–20% of clause evaluations trigger revision.</w:t>
      </w:r>
    </w:p>
    <w:p>
      <w:pPr>
        <w:spacing w:after="120"/>
        <w:jc w:val="both"/>
      </w:pPr>
      <w:r>
        <w:rPr>
          <w:rFonts w:ascii="Times New Roman" w:hAnsi="Times New Roman"/>
          <w:b w:val="0"/>
          <w:i w:val="0"/>
          <w:sz w:val="24"/>
        </w:rPr>
        <w:t>The agentic pipeline requires 2–3 LLM calls per clause compared to one in the fast evaluation mode, adding approximately 2–3 seconds of latency per clause. Clauses are processed in parallel batches of 10 to maintain acceptable throughput.</w:t>
      </w:r>
    </w:p>
    <w:p>
      <w:pPr>
        <w:pStyle w:val="Heading2"/>
        <w:jc w:val="left"/>
      </w:pPr>
      <w:r>
        <w:rPr>
          <w:rFonts w:ascii="Times New Roman" w:hAnsi="Times New Roman"/>
          <w:color w:val="000000"/>
        </w:rPr>
        <w:t>3.7 Ground Truth and Accuracy Evaluation</w:t>
      </w:r>
    </w:p>
    <w:p>
      <w:pPr>
        <w:spacing w:after="120"/>
        <w:jc w:val="both"/>
      </w:pPr>
      <w:r>
        <w:rPr>
          <w:rFonts w:ascii="Times New Roman" w:hAnsi="Times New Roman"/>
          <w:b w:val="0"/>
          <w:i w:val="0"/>
          <w:sz w:val="24"/>
        </w:rPr>
        <w:t>To rigorously evaluate system performance, ground truth labels were manually annotated by the research team for 13 companies across all four ESG frameworks. The companies evaluated comprise a diverse set of multinational and Indian enterprises: Amazon, Apple, Infosys, Nestle, RIL (Reliance Industries Limited), Tata Motors, TCS (Tata Consultancy Services), Givaudan, GPM, Himadri, NYK, Sasken, and Unilever.</w:t>
      </w:r>
    </w:p>
    <w:p>
      <w:pPr>
        <w:spacing w:after="120"/>
        <w:jc w:val="both"/>
      </w:pPr>
      <w:r>
        <w:rPr>
          <w:rFonts w:ascii="Times New Roman" w:hAnsi="Times New Roman"/>
          <w:b w:val="0"/>
          <w:i w:val="0"/>
          <w:sz w:val="24"/>
        </w:rPr>
        <w:t>For each company–framework pair, the annotators reviewed the sustainability report alongside the ESG standard clauses and assigned a compliance status (Compliant, Partial, or Non-Compliant) with supporting comments justifying the decision. Each ground truth entry contains: clause_id, compliance_status, and annotator comments.</w:t>
      </w:r>
    </w:p>
    <w:p>
      <w:pPr>
        <w:spacing w:after="120"/>
        <w:jc w:val="both"/>
      </w:pPr>
      <w:r>
        <w:rPr>
          <w:rFonts w:ascii="Times New Roman" w:hAnsi="Times New Roman"/>
          <w:b w:val="0"/>
          <w:i w:val="0"/>
          <w:sz w:val="24"/>
        </w:rPr>
        <w:t>The following accuracy metrics are computed by comparing system predictions against the ground truth:</w:t>
      </w:r>
    </w:p>
    <w:p>
      <w:pPr>
        <w:pStyle w:val="ListBullet"/>
        <w:spacing w:after="60"/>
      </w:pPr>
      <w:r>
        <w:rPr>
          <w:rFonts w:ascii="Times New Roman" w:hAnsi="Times New Roman"/>
          <w:b/>
          <w:sz w:val="24"/>
        </w:rPr>
        <w:t xml:space="preserve">Retrieval Recall@K: </w:t>
      </w:r>
      <w:r>
        <w:rPr>
          <w:rFonts w:ascii="Times New Roman" w:hAnsi="Times New Roman"/>
          <w:sz w:val="24"/>
        </w:rPr>
        <w:t>% of clauses for which at least one expected evidence page was retrieved among the top-K chunks.</w:t>
      </w:r>
    </w:p>
    <w:p>
      <w:pPr>
        <w:pStyle w:val="ListBullet"/>
        <w:spacing w:after="60"/>
      </w:pPr>
      <w:r>
        <w:rPr>
          <w:rFonts w:ascii="Times New Roman" w:hAnsi="Times New Roman"/>
          <w:b/>
          <w:sz w:val="24"/>
        </w:rPr>
        <w:t xml:space="preserve">LLM Precision, Recall, and F1 Score: </w:t>
      </w:r>
      <w:r>
        <w:rPr>
          <w:rFonts w:ascii="Times New Roman" w:hAnsi="Times New Roman"/>
          <w:sz w:val="24"/>
        </w:rPr>
        <w:t>Computed using binary classification where 'compliant' encompasses both Supported and Partial, and 'non-compliant' corresponds to Not Supported.</w:t>
      </w:r>
    </w:p>
    <w:p>
      <w:pPr>
        <w:pStyle w:val="ListBullet"/>
        <w:spacing w:after="60"/>
      </w:pPr>
      <w:r>
        <w:rPr>
          <w:rFonts w:ascii="Times New Roman" w:hAnsi="Times New Roman"/>
          <w:b/>
          <w:sz w:val="24"/>
        </w:rPr>
        <w:t xml:space="preserve">Status Match Accuracy: </w:t>
      </w:r>
      <w:r>
        <w:rPr>
          <w:rFonts w:ascii="Times New Roman" w:hAnsi="Times New Roman"/>
          <w:sz w:val="24"/>
        </w:rPr>
        <w:t>The exact three-way match rate between predicted and ground truth statuses (supported, partial, not_supported).</w:t>
      </w:r>
    </w:p>
    <w:p>
      <w:pPr>
        <w:pStyle w:val="ListBullet"/>
        <w:spacing w:after="60"/>
      </w:pPr>
      <w:r>
        <w:rPr>
          <w:rFonts w:ascii="Times New Roman" w:hAnsi="Times New Roman"/>
          <w:b/>
          <w:sz w:val="24"/>
        </w:rPr>
        <w:t xml:space="preserve">Rule Validation Precision: </w:t>
      </w:r>
      <w:r>
        <w:rPr>
          <w:rFonts w:ascii="Times New Roman" w:hAnsi="Times New Roman"/>
          <w:sz w:val="24"/>
        </w:rPr>
        <w:t>The correctness rate of rule-based overrides—when rules override the LLM, how often the override aligns with ground truth.</w:t>
      </w:r>
    </w:p>
    <w:p>
      <w:pPr>
        <w:pStyle w:val="ListBullet"/>
        <w:spacing w:after="60"/>
      </w:pPr>
      <w:r>
        <w:rPr>
          <w:rFonts w:ascii="Times New Roman" w:hAnsi="Times New Roman"/>
          <w:b/>
          <w:sz w:val="24"/>
        </w:rPr>
        <w:t xml:space="preserve">Confidence Calibration Error: </w:t>
      </w:r>
      <w:r>
        <w:rPr>
          <w:rFonts w:ascii="Times New Roman" w:hAnsi="Times New Roman"/>
          <w:sz w:val="24"/>
        </w:rPr>
        <w:t>The expected calibration error (ECE) computed by binning predictions into five confidence intervals and measuring the average absolute difference between predicted confidence and observed accuracy within each bin.</w:t>
      </w:r>
    </w:p>
    <w:p>
      <w:pPr>
        <w:pStyle w:val="Heading2"/>
        <w:jc w:val="left"/>
      </w:pPr>
      <w:r>
        <w:rPr>
          <w:rFonts w:ascii="Times New Roman" w:hAnsi="Times New Roman"/>
          <w:color w:val="000000"/>
        </w:rPr>
        <w:t>3.8 Frontend and Human-in-the-Loop</w:t>
      </w:r>
    </w:p>
    <w:p>
      <w:pPr>
        <w:spacing w:after="120"/>
        <w:jc w:val="both"/>
      </w:pPr>
      <w:r>
        <w:rPr>
          <w:rFonts w:ascii="Times New Roman" w:hAnsi="Times New Roman"/>
          <w:b w:val="0"/>
          <w:i w:val="0"/>
          <w:sz w:val="24"/>
        </w:rPr>
        <w:t>The frontend is implemented in React 18 with Tailwind CSS for styling, Framer Motion for smooth animations and transitions, and Recharts for interactive data visualization. The design system features Playfair Display (serif) for headings, DM Sans (sans-serif) for body text, and a forest green (#3d8269) and clay beige (#f0ebe3) color palette.</w:t>
      </w:r>
    </w:p>
    <w:p>
      <w:pPr>
        <w:spacing w:after="120"/>
        <w:jc w:val="both"/>
      </w:pPr>
      <w:r>
        <w:rPr>
          <w:rFonts w:ascii="Times New Roman" w:hAnsi="Times New Roman"/>
          <w:b w:val="0"/>
          <w:i w:val="0"/>
          <w:sz w:val="24"/>
        </w:rPr>
        <w:t>The interface comprises seven primary views:</w:t>
      </w:r>
    </w:p>
    <w:p>
      <w:pPr>
        <w:pStyle w:val="ListNumber"/>
        <w:spacing w:after="60"/>
      </w:pPr>
      <w:r>
        <w:rPr>
          <w:rFonts w:ascii="Times New Roman" w:hAnsi="Times New Roman"/>
          <w:b/>
          <w:sz w:val="24"/>
        </w:rPr>
        <w:t xml:space="preserve">Home: </w:t>
      </w:r>
      <w:r>
        <w:rPr>
          <w:rFonts w:ascii="Times New Roman" w:hAnsi="Times New Roman"/>
          <w:sz w:val="24"/>
        </w:rPr>
        <w:t>System statistics, feature overview, and health indicators.</w:t>
      </w:r>
    </w:p>
    <w:p>
      <w:pPr>
        <w:pStyle w:val="ListNumber"/>
        <w:spacing w:after="60"/>
      </w:pPr>
      <w:r>
        <w:rPr>
          <w:rFonts w:ascii="Times New Roman" w:hAnsi="Times New Roman"/>
          <w:b/>
          <w:sz w:val="24"/>
        </w:rPr>
        <w:t xml:space="preserve">Upload: </w:t>
      </w:r>
      <w:r>
        <w:rPr>
          <w:rFonts w:ascii="Times New Roman" w:hAnsi="Times New Roman"/>
          <w:sz w:val="24"/>
        </w:rPr>
        <w:t>Drag-and-drop PDF upload with multi-step progress tracking (Processing → Embedding → Ready).</w:t>
      </w:r>
    </w:p>
    <w:p>
      <w:pPr>
        <w:pStyle w:val="ListNumber"/>
        <w:spacing w:after="60"/>
      </w:pPr>
      <w:r>
        <w:rPr>
          <w:rFonts w:ascii="Times New Roman" w:hAnsi="Times New Roman"/>
          <w:b/>
          <w:sz w:val="24"/>
        </w:rPr>
        <w:t xml:space="preserve">Documents: </w:t>
      </w:r>
      <w:r>
        <w:rPr>
          <w:rFonts w:ascii="Times New Roman" w:hAnsi="Times New Roman"/>
          <w:sz w:val="24"/>
        </w:rPr>
        <w:t>Uploaded document management with metadata, framework filtering, and evaluation triggers.</w:t>
      </w:r>
    </w:p>
    <w:p>
      <w:pPr>
        <w:pStyle w:val="ListNumber"/>
        <w:spacing w:after="60"/>
      </w:pPr>
      <w:r>
        <w:rPr>
          <w:rFonts w:ascii="Times New Roman" w:hAnsi="Times New Roman"/>
          <w:b/>
          <w:sz w:val="24"/>
        </w:rPr>
        <w:t xml:space="preserve">Clauses: </w:t>
      </w:r>
      <w:r>
        <w:rPr>
          <w:rFonts w:ascii="Times New Roman" w:hAnsi="Times New Roman"/>
          <w:sz w:val="24"/>
        </w:rPr>
        <w:t>Browse parsed ESG clauses across all four frameworks with search, filtering, and expandable details.</w:t>
      </w:r>
    </w:p>
    <w:p>
      <w:pPr>
        <w:pStyle w:val="ListNumber"/>
        <w:spacing w:after="60"/>
      </w:pPr>
      <w:r>
        <w:rPr>
          <w:rFonts w:ascii="Times New Roman" w:hAnsi="Times New Roman"/>
          <w:b/>
          <w:sz w:val="24"/>
        </w:rPr>
        <w:t xml:space="preserve">Reports: </w:t>
      </w:r>
      <w:r>
        <w:rPr>
          <w:rFonts w:ascii="Times New Roman" w:hAnsi="Times New Roman"/>
          <w:sz w:val="24"/>
        </w:rPr>
        <w:t>Compliance report listing with summary cards showing company, framework, compliance rate, and status distribution.</w:t>
      </w:r>
    </w:p>
    <w:p>
      <w:pPr>
        <w:pStyle w:val="ListNumber"/>
        <w:spacing w:after="60"/>
      </w:pPr>
      <w:r>
        <w:rPr>
          <w:rFonts w:ascii="Times New Roman" w:hAnsi="Times New Roman"/>
          <w:b/>
          <w:sz w:val="24"/>
        </w:rPr>
        <w:t xml:space="preserve">Report Detail: </w:t>
      </w:r>
      <w:r>
        <w:rPr>
          <w:rFonts w:ascii="Times New Roman" w:hAnsi="Times New Roman"/>
          <w:sz w:val="24"/>
        </w:rPr>
        <w:t>The most complex page. Displays summary statistics, ground truth accuracy metrics (Precision, Recall, F1), human verification section for ambiguous clauses, expandable clause cards with AI analysis, evidence chunks with page numbers and similarity scores, and rule validation results.</w:t>
      </w:r>
    </w:p>
    <w:p>
      <w:pPr>
        <w:pStyle w:val="ListNumber"/>
        <w:spacing w:after="60"/>
      </w:pPr>
      <w:r>
        <w:rPr>
          <w:rFonts w:ascii="Times New Roman" w:hAnsi="Times New Roman"/>
          <w:b/>
          <w:sz w:val="24"/>
        </w:rPr>
        <w:t xml:space="preserve">Dashboard: </w:t>
      </w:r>
      <w:r>
        <w:rPr>
          <w:rFonts w:ascii="Times New Roman" w:hAnsi="Times New Roman"/>
          <w:sz w:val="24"/>
        </w:rPr>
        <w:t>Multi-company, multi-framework analytics with company selector, bar charts, radar charts, and pie charts for compliance comparison.</w:t>
      </w:r>
    </w:p>
    <w:p>
      <w:pPr>
        <w:spacing w:after="120"/>
        <w:jc w:val="both"/>
      </w:pPr>
      <w:r>
        <w:rPr>
          <w:rFonts w:ascii="Times New Roman" w:hAnsi="Times New Roman"/>
          <w:b w:val="0"/>
          <w:i w:val="0"/>
          <w:sz w:val="24"/>
        </w:rPr>
        <w:t>A critical design feature is the human-in-the-loop verification system. Clauses with a confidence score below 0.7 or a status of "Partial" (where no rule override was applied) are automatically flagged as "ambiguous" and surfaced in a dedicated Human Verification section. Reviewers can examine the AI's reasoning, retrieved evidence, and rule validation results before approving or overriding the system's decision. Overrides trigger real-time summary recomputation. This mechanism ensures that uncertain decisions receive human judgment while allowing high-confidence decisions to proceed without intervention.</w:t>
      </w:r>
    </w:p>
    <w:p>
      <w:r>
        <w:br w:type="page"/>
      </w:r>
    </w:p>
    <w:p>
      <w:pPr>
        <w:pStyle w:val="Heading1"/>
        <w:jc w:val="center"/>
      </w:pPr>
      <w:r>
        <w:rPr>
          <w:rFonts w:ascii="Times New Roman" w:hAnsi="Times New Roman"/>
          <w:color w:val="000000"/>
        </w:rPr>
        <w:t>Chapter 4</w:t>
      </w:r>
    </w:p>
    <w:p>
      <w:pPr>
        <w:pStyle w:val="Heading1"/>
        <w:jc w:val="center"/>
      </w:pPr>
      <w:r>
        <w:rPr>
          <w:rFonts w:ascii="Times New Roman" w:hAnsi="Times New Roman"/>
          <w:color w:val="000000"/>
        </w:rPr>
        <w:t>Results and Analysis</w:t>
      </w:r>
    </w:p>
    <w:p>
      <w:pPr>
        <w:pStyle w:val="Heading2"/>
        <w:jc w:val="left"/>
      </w:pPr>
      <w:r>
        <w:rPr>
          <w:rFonts w:ascii="Times New Roman" w:hAnsi="Times New Roman"/>
          <w:color w:val="000000"/>
        </w:rPr>
        <w:t>4.1 Application Screenshots</w:t>
      </w:r>
    </w:p>
    <w:p>
      <w:pPr>
        <w:spacing w:after="120"/>
        <w:jc w:val="both"/>
      </w:pPr>
      <w:r>
        <w:rPr>
          <w:rFonts w:ascii="Times New Roman" w:hAnsi="Times New Roman"/>
          <w:b w:val="0"/>
          <w:i w:val="0"/>
          <w:sz w:val="24"/>
        </w:rPr>
        <w:t>This section presents key screenshots demonstrating the completed ESG Buddy system. All four ESG frameworks (BRSR, GRI, TCFD, SASB) are fully operational, with the analytics dashboard providing cross-company, cross-framework comparison capabilities.</w:t>
      </w:r>
    </w:p>
    <w:p>
      <w:pPr>
        <w:spacing w:after="120"/>
        <w:jc w:val="both"/>
      </w:pPr>
      <w:r>
        <w:rPr>
          <w:rFonts w:ascii="Times New Roman" w:hAnsi="Times New Roman"/>
          <w:b/>
          <w:i w:val="0"/>
          <w:sz w:val="24"/>
        </w:rPr>
        <w:t xml:space="preserve">Figure 4: Home Page. </w:t>
      </w:r>
      <w:r>
        <w:rPr>
          <w:rFonts w:ascii="Times New Roman" w:hAnsi="Times New Roman"/>
          <w:b w:val="0"/>
          <w:i w:val="0"/>
          <w:sz w:val="24"/>
        </w:rPr>
        <w:t>The landing page displays system statistics (total ESG clauses parsed, documents analyzed, reports generated), a live compliance overview widget, and navigation to all system features.</w:t>
      </w:r>
    </w:p>
    <w:p>
      <w:pPr>
        <w:spacing w:after="120"/>
        <w:jc w:val="center"/>
      </w:pPr>
      <w:r>
        <w:rPr>
          <w:rFonts w:ascii="Times New Roman" w:hAnsi="Times New Roman"/>
          <w:b w:val="0"/>
          <w:i/>
          <w:sz w:val="22"/>
        </w:rPr>
        <w:t>[Figure 4: Home Page – Screenshot placeholder]</w:t>
      </w:r>
    </w:p>
    <w:p>
      <w:pPr>
        <w:spacing w:after="120"/>
        <w:jc w:val="both"/>
      </w:pPr>
      <w:r>
        <w:rPr>
          <w:rFonts w:ascii="Times New Roman" w:hAnsi="Times New Roman"/>
          <w:b/>
          <w:i w:val="0"/>
          <w:sz w:val="24"/>
        </w:rPr>
        <w:t xml:space="preserve">Figure 5: Document Upload Interface. </w:t>
      </w:r>
      <w:r>
        <w:rPr>
          <w:rFonts w:ascii="Times New Roman" w:hAnsi="Times New Roman"/>
          <w:b w:val="0"/>
          <w:i w:val="0"/>
          <w:sz w:val="24"/>
        </w:rPr>
        <w:t>Users upload company ESG reports via drag-and-drop with a three-step progress indicator: Processing (chunking into semantic segments), Embedding (vector generation), and Ready (available for compliance evaluation).</w:t>
      </w:r>
    </w:p>
    <w:p>
      <w:pPr>
        <w:spacing w:after="120"/>
        <w:jc w:val="center"/>
      </w:pPr>
      <w:r>
        <w:rPr>
          <w:rFonts w:ascii="Times New Roman" w:hAnsi="Times New Roman"/>
          <w:b w:val="0"/>
          <w:i/>
          <w:sz w:val="22"/>
        </w:rPr>
        <w:t>[Figure 5: Document Upload Interface – Screenshot placeholder]</w:t>
      </w:r>
    </w:p>
    <w:p>
      <w:pPr>
        <w:spacing w:after="120"/>
        <w:jc w:val="both"/>
      </w:pPr>
      <w:r>
        <w:rPr>
          <w:rFonts w:ascii="Times New Roman" w:hAnsi="Times New Roman"/>
          <w:b/>
          <w:i w:val="0"/>
          <w:sz w:val="24"/>
        </w:rPr>
        <w:t xml:space="preserve">Figure 6: Documents List. </w:t>
      </w:r>
      <w:r>
        <w:rPr>
          <w:rFonts w:ascii="Times New Roman" w:hAnsi="Times New Roman"/>
          <w:b w:val="0"/>
          <w:i w:val="0"/>
          <w:sz w:val="24"/>
        </w:rPr>
        <w:t>All uploaded PDFs with metadata (page count, upload date) and action buttons to trigger compliance evaluation against any of the four supported frameworks.</w:t>
      </w:r>
    </w:p>
    <w:p>
      <w:pPr>
        <w:spacing w:after="120"/>
        <w:jc w:val="center"/>
      </w:pPr>
      <w:r>
        <w:rPr>
          <w:rFonts w:ascii="Times New Roman" w:hAnsi="Times New Roman"/>
          <w:b w:val="0"/>
          <w:i/>
          <w:sz w:val="22"/>
        </w:rPr>
        <w:t>[Figure 6: Documents List – Screenshot placeholder]</w:t>
      </w:r>
    </w:p>
    <w:p>
      <w:pPr>
        <w:spacing w:after="120"/>
        <w:jc w:val="both"/>
      </w:pPr>
      <w:r>
        <w:rPr>
          <w:rFonts w:ascii="Times New Roman" w:hAnsi="Times New Roman"/>
          <w:b/>
          <w:i w:val="0"/>
          <w:sz w:val="24"/>
        </w:rPr>
        <w:t xml:space="preserve">Figure 7: Compliance Reports List. </w:t>
      </w:r>
      <w:r>
        <w:rPr>
          <w:rFonts w:ascii="Times New Roman" w:hAnsi="Times New Roman"/>
          <w:b w:val="0"/>
          <w:i w:val="0"/>
          <w:sz w:val="24"/>
        </w:rPr>
        <w:t>Generated compliance reports displayed as summary cards showing company name, framework, date, total clauses evaluated, status distribution (Supported, Partial, Not Supported), average confidence, and overall compliance rate.</w:t>
      </w:r>
    </w:p>
    <w:p>
      <w:pPr>
        <w:spacing w:after="120"/>
        <w:jc w:val="center"/>
      </w:pPr>
      <w:r>
        <w:rPr>
          <w:rFonts w:ascii="Times New Roman" w:hAnsi="Times New Roman"/>
          <w:b w:val="0"/>
          <w:i/>
          <w:sz w:val="22"/>
        </w:rPr>
        <w:t>[Figure 7: Compliance Reports List – Screenshot placeholder]</w:t>
      </w:r>
    </w:p>
    <w:p>
      <w:pPr>
        <w:spacing w:after="120"/>
        <w:jc w:val="both"/>
      </w:pPr>
      <w:r>
        <w:rPr>
          <w:rFonts w:ascii="Times New Roman" w:hAnsi="Times New Roman"/>
          <w:b/>
          <w:i w:val="0"/>
          <w:sz w:val="24"/>
        </w:rPr>
        <w:t xml:space="preserve">Figure 8: Report Detail – Summary and Accuracy Metrics. </w:t>
      </w:r>
      <w:r>
        <w:rPr>
          <w:rFonts w:ascii="Times New Roman" w:hAnsi="Times New Roman"/>
          <w:b w:val="0"/>
          <w:i w:val="0"/>
          <w:sz w:val="24"/>
        </w:rPr>
        <w:t>The report detail view shows summary statistics with clause counts by status, color-coded indicators, and compliance rate. The Ground Truth Accuracy section displays Precision, Recall, F1 Score, and the number of clauses verified against manually annotated labels.</w:t>
      </w:r>
    </w:p>
    <w:p>
      <w:pPr>
        <w:spacing w:after="120"/>
        <w:jc w:val="center"/>
      </w:pPr>
      <w:r>
        <w:rPr>
          <w:rFonts w:ascii="Times New Roman" w:hAnsi="Times New Roman"/>
          <w:b w:val="0"/>
          <w:i/>
          <w:sz w:val="22"/>
        </w:rPr>
        <w:t>[Figure 8: Report Detail – Summary and Accuracy Metrics – Screenshot placeholder]</w:t>
      </w:r>
    </w:p>
    <w:p>
      <w:pPr>
        <w:spacing w:after="120"/>
        <w:jc w:val="both"/>
      </w:pPr>
      <w:r>
        <w:rPr>
          <w:rFonts w:ascii="Times New Roman" w:hAnsi="Times New Roman"/>
          <w:b/>
          <w:i w:val="0"/>
          <w:sz w:val="24"/>
        </w:rPr>
        <w:t xml:space="preserve">Figure 9: Report Detail – Human Verification. </w:t>
      </w:r>
      <w:r>
        <w:rPr>
          <w:rFonts w:ascii="Times New Roman" w:hAnsi="Times New Roman"/>
          <w:b w:val="0"/>
          <w:i w:val="0"/>
          <w:sz w:val="24"/>
        </w:rPr>
        <w:t>Ambiguous clauses (confidence &lt; 0.7 or Partial status without rule override) are listed with Approve/Reject buttons, optional reason fields, and expandable AI reasoning details for each clause.</w:t>
      </w:r>
    </w:p>
    <w:p>
      <w:pPr>
        <w:spacing w:after="120"/>
        <w:jc w:val="center"/>
      </w:pPr>
      <w:r>
        <w:rPr>
          <w:rFonts w:ascii="Times New Roman" w:hAnsi="Times New Roman"/>
          <w:b w:val="0"/>
          <w:i/>
          <w:sz w:val="22"/>
        </w:rPr>
        <w:t>[Figure 9: Report Detail – Human Verification – Screenshot placeholder]</w:t>
      </w:r>
    </w:p>
    <w:p>
      <w:pPr>
        <w:spacing w:after="120"/>
        <w:jc w:val="both"/>
      </w:pPr>
      <w:r>
        <w:rPr>
          <w:rFonts w:ascii="Times New Roman" w:hAnsi="Times New Roman"/>
          <w:b/>
          <w:i w:val="0"/>
          <w:sz w:val="24"/>
        </w:rPr>
        <w:t xml:space="preserve">Figure 10: Report Detail – Expanded Clause Analysis. </w:t>
      </w:r>
      <w:r>
        <w:rPr>
          <w:rFonts w:ascii="Times New Roman" w:hAnsi="Times New Roman"/>
          <w:b w:val="0"/>
          <w:i w:val="0"/>
          <w:sz w:val="24"/>
        </w:rPr>
        <w:t>Full AI analysis for a single clause showing: the clause requirement, compliance status with confidence score, AI explanation, detailed chain-of-thought reasoning, retrieved evidence chunks with page numbers and similarity scores.</w:t>
      </w:r>
    </w:p>
    <w:p>
      <w:pPr>
        <w:spacing w:after="120"/>
        <w:jc w:val="center"/>
      </w:pPr>
      <w:r>
        <w:rPr>
          <w:rFonts w:ascii="Times New Roman" w:hAnsi="Times New Roman"/>
          <w:b w:val="0"/>
          <w:i/>
          <w:sz w:val="22"/>
        </w:rPr>
        <w:t>[Figure 10: Report Detail – Expanded Clause Analysis – Screenshot placeholder]</w:t>
      </w:r>
    </w:p>
    <w:p>
      <w:pPr>
        <w:spacing w:after="120"/>
        <w:jc w:val="both"/>
      </w:pPr>
      <w:r>
        <w:rPr>
          <w:rFonts w:ascii="Times New Roman" w:hAnsi="Times New Roman"/>
          <w:b/>
          <w:i w:val="0"/>
          <w:sz w:val="24"/>
        </w:rPr>
        <w:t xml:space="preserve">Figure 11: ESG Clauses Browser. </w:t>
      </w:r>
      <w:r>
        <w:rPr>
          <w:rFonts w:ascii="Times New Roman" w:hAnsi="Times New Roman"/>
          <w:b w:val="0"/>
          <w:i w:val="0"/>
          <w:sz w:val="24"/>
        </w:rPr>
        <w:t>Parsed ESG clauses organized by framework with framework filter pills (ALL, GRI, BRSR, SASB, TCFD), search functionality, and expandable clause details showing section, description, evidence types, and validation rules.</w:t>
      </w:r>
    </w:p>
    <w:p>
      <w:pPr>
        <w:spacing w:after="120"/>
        <w:jc w:val="center"/>
      </w:pPr>
      <w:r>
        <w:rPr>
          <w:rFonts w:ascii="Times New Roman" w:hAnsi="Times New Roman"/>
          <w:b w:val="0"/>
          <w:i/>
          <w:sz w:val="22"/>
        </w:rPr>
        <w:t>[Figure 11: ESG Clauses Browser – Screenshot placeholder]</w:t>
      </w:r>
    </w:p>
    <w:p>
      <w:pPr>
        <w:spacing w:after="120"/>
        <w:jc w:val="both"/>
      </w:pPr>
      <w:r>
        <w:rPr>
          <w:rFonts w:ascii="Times New Roman" w:hAnsi="Times New Roman"/>
          <w:b/>
          <w:i w:val="0"/>
          <w:sz w:val="24"/>
        </w:rPr>
        <w:t xml:space="preserve">Figure 12: Analytics Dashboard. </w:t>
      </w:r>
      <w:r>
        <w:rPr>
          <w:rFonts w:ascii="Times New Roman" w:hAnsi="Times New Roman"/>
          <w:b w:val="0"/>
          <w:i w:val="0"/>
          <w:sz w:val="24"/>
        </w:rPr>
        <w:t>Multi-company analytics dashboard with company selector, framework-wise compliance comparison bar charts, radar charts for multi-dimensional compliance visualization, and pie charts for status distribution analysis.</w:t>
      </w:r>
    </w:p>
    <w:p>
      <w:pPr>
        <w:spacing w:after="120"/>
        <w:jc w:val="center"/>
      </w:pPr>
      <w:r>
        <w:rPr>
          <w:rFonts w:ascii="Times New Roman" w:hAnsi="Times New Roman"/>
          <w:b w:val="0"/>
          <w:i/>
          <w:sz w:val="22"/>
        </w:rPr>
        <w:t>[Figure 12: Analytics Dashboard – Screenshot placeholder]</w:t>
      </w:r>
    </w:p>
    <w:p>
      <w:pPr>
        <w:pStyle w:val="Heading2"/>
        <w:jc w:val="left"/>
      </w:pPr>
      <w:r>
        <w:rPr>
          <w:rFonts w:ascii="Times New Roman" w:hAnsi="Times New Roman"/>
          <w:color w:val="000000"/>
        </w:rPr>
        <w:t>4.2 Evaluation Setup</w:t>
      </w:r>
    </w:p>
    <w:p>
      <w:pPr>
        <w:spacing w:after="120"/>
        <w:jc w:val="both"/>
      </w:pPr>
      <w:r>
        <w:rPr>
          <w:rFonts w:ascii="Times New Roman" w:hAnsi="Times New Roman"/>
          <w:b w:val="0"/>
          <w:i w:val="0"/>
          <w:sz w:val="24"/>
        </w:rPr>
        <w:t>The system was evaluated using sustainability reports from 13 companies spanning diverse industries and geographies across all four ESG frameworks. Ground truth labels were manually annotated by the research team.</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850"/>
            <w:shd w:fill="D9E2F3"/>
          </w:tcPr>
          <w:p>
            <w:pPr>
              <w:jc w:val="center"/>
            </w:pPr>
            <w:r>
              <w:rPr>
                <w:rFonts w:ascii="Times New Roman" w:hAnsi="Times New Roman"/>
                <w:b/>
                <w:sz w:val="22"/>
              </w:rPr>
              <w:t>Sr. No.</w:t>
            </w:r>
          </w:p>
        </w:tc>
        <w:tc>
          <w:tcPr>
            <w:tcW w:type="dxa" w:w="1701"/>
            <w:shd w:fill="D9E2F3"/>
          </w:tcPr>
          <w:p>
            <w:pPr>
              <w:jc w:val="center"/>
            </w:pPr>
            <w:r>
              <w:rPr>
                <w:rFonts w:ascii="Times New Roman" w:hAnsi="Times New Roman"/>
                <w:b/>
                <w:sz w:val="22"/>
              </w:rPr>
              <w:t>Company</w:t>
            </w:r>
          </w:p>
        </w:tc>
        <w:tc>
          <w:tcPr>
            <w:tcW w:type="dxa" w:w="3118"/>
            <w:shd w:fill="D9E2F3"/>
          </w:tcPr>
          <w:p>
            <w:pPr>
              <w:jc w:val="center"/>
            </w:pPr>
            <w:r>
              <w:rPr>
                <w:rFonts w:ascii="Times New Roman" w:hAnsi="Times New Roman"/>
                <w:b/>
                <w:sz w:val="22"/>
              </w:rPr>
              <w:t>Frameworks Evaluated</w:t>
            </w:r>
          </w:p>
        </w:tc>
        <w:tc>
          <w:tcPr>
            <w:tcW w:type="dxa" w:w="3402"/>
            <w:shd w:fill="D9E2F3"/>
          </w:tcPr>
          <w:p>
            <w:pPr>
              <w:jc w:val="center"/>
            </w:pPr>
            <w:r>
              <w:rPr>
                <w:rFonts w:ascii="Times New Roman" w:hAnsi="Times New Roman"/>
                <w:b/>
                <w:sz w:val="22"/>
              </w:rPr>
              <w:t>Industry / Region</w:t>
            </w:r>
          </w:p>
        </w:tc>
      </w:tr>
      <w:tr>
        <w:tc>
          <w:tcPr>
            <w:tcW w:type="dxa" w:w="850"/>
          </w:tcPr>
          <w:p>
            <w:pPr>
              <w:jc w:val="center"/>
            </w:pPr>
            <w:r>
              <w:rPr>
                <w:rFonts w:ascii="Times New Roman" w:hAnsi="Times New Roman"/>
                <w:sz w:val="22"/>
              </w:rPr>
              <w:t>1</w:t>
            </w:r>
          </w:p>
        </w:tc>
        <w:tc>
          <w:tcPr>
            <w:tcW w:type="dxa" w:w="1701"/>
          </w:tcPr>
          <w:p>
            <w:pPr>
              <w:jc w:val="center"/>
            </w:pPr>
            <w:r>
              <w:rPr>
                <w:rFonts w:ascii="Times New Roman" w:hAnsi="Times New Roman"/>
                <w:sz w:val="22"/>
              </w:rPr>
              <w:t>Amazon</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Technology / USA</w:t>
            </w:r>
          </w:p>
        </w:tc>
      </w:tr>
      <w:tr>
        <w:tc>
          <w:tcPr>
            <w:tcW w:type="dxa" w:w="850"/>
          </w:tcPr>
          <w:p>
            <w:pPr>
              <w:jc w:val="center"/>
            </w:pPr>
            <w:r>
              <w:rPr>
                <w:rFonts w:ascii="Times New Roman" w:hAnsi="Times New Roman"/>
                <w:sz w:val="22"/>
              </w:rPr>
              <w:t>2</w:t>
            </w:r>
          </w:p>
        </w:tc>
        <w:tc>
          <w:tcPr>
            <w:tcW w:type="dxa" w:w="1701"/>
          </w:tcPr>
          <w:p>
            <w:pPr>
              <w:jc w:val="center"/>
            </w:pPr>
            <w:r>
              <w:rPr>
                <w:rFonts w:ascii="Times New Roman" w:hAnsi="Times New Roman"/>
                <w:sz w:val="22"/>
              </w:rPr>
              <w:t>Apple</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Technology / USA</w:t>
            </w:r>
          </w:p>
        </w:tc>
      </w:tr>
      <w:tr>
        <w:tc>
          <w:tcPr>
            <w:tcW w:type="dxa" w:w="850"/>
          </w:tcPr>
          <w:p>
            <w:pPr>
              <w:jc w:val="center"/>
            </w:pPr>
            <w:r>
              <w:rPr>
                <w:rFonts w:ascii="Times New Roman" w:hAnsi="Times New Roman"/>
                <w:sz w:val="22"/>
              </w:rPr>
              <w:t>3</w:t>
            </w:r>
          </w:p>
        </w:tc>
        <w:tc>
          <w:tcPr>
            <w:tcW w:type="dxa" w:w="1701"/>
          </w:tcPr>
          <w:p>
            <w:pPr>
              <w:jc w:val="center"/>
            </w:pPr>
            <w:r>
              <w:rPr>
                <w:rFonts w:ascii="Times New Roman" w:hAnsi="Times New Roman"/>
                <w:sz w:val="22"/>
              </w:rPr>
              <w:t>Infosys</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IT Services / India</w:t>
            </w:r>
          </w:p>
        </w:tc>
      </w:tr>
      <w:tr>
        <w:tc>
          <w:tcPr>
            <w:tcW w:type="dxa" w:w="850"/>
          </w:tcPr>
          <w:p>
            <w:pPr>
              <w:jc w:val="center"/>
            </w:pPr>
            <w:r>
              <w:rPr>
                <w:rFonts w:ascii="Times New Roman" w:hAnsi="Times New Roman"/>
                <w:sz w:val="22"/>
              </w:rPr>
              <w:t>4</w:t>
            </w:r>
          </w:p>
        </w:tc>
        <w:tc>
          <w:tcPr>
            <w:tcW w:type="dxa" w:w="1701"/>
          </w:tcPr>
          <w:p>
            <w:pPr>
              <w:jc w:val="center"/>
            </w:pPr>
            <w:r>
              <w:rPr>
                <w:rFonts w:ascii="Times New Roman" w:hAnsi="Times New Roman"/>
                <w:sz w:val="22"/>
              </w:rPr>
              <w:t>Nestle</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FMCG / Switzerland</w:t>
            </w:r>
          </w:p>
        </w:tc>
      </w:tr>
      <w:tr>
        <w:tc>
          <w:tcPr>
            <w:tcW w:type="dxa" w:w="850"/>
          </w:tcPr>
          <w:p>
            <w:pPr>
              <w:jc w:val="center"/>
            </w:pPr>
            <w:r>
              <w:rPr>
                <w:rFonts w:ascii="Times New Roman" w:hAnsi="Times New Roman"/>
                <w:sz w:val="22"/>
              </w:rPr>
              <w:t>5</w:t>
            </w:r>
          </w:p>
        </w:tc>
        <w:tc>
          <w:tcPr>
            <w:tcW w:type="dxa" w:w="1701"/>
          </w:tcPr>
          <w:p>
            <w:pPr>
              <w:jc w:val="center"/>
            </w:pPr>
            <w:r>
              <w:rPr>
                <w:rFonts w:ascii="Times New Roman" w:hAnsi="Times New Roman"/>
                <w:sz w:val="22"/>
              </w:rPr>
              <w:t>RIL</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Conglomerate / India</w:t>
            </w:r>
          </w:p>
        </w:tc>
      </w:tr>
      <w:tr>
        <w:tc>
          <w:tcPr>
            <w:tcW w:type="dxa" w:w="850"/>
          </w:tcPr>
          <w:p>
            <w:pPr>
              <w:jc w:val="center"/>
            </w:pPr>
            <w:r>
              <w:rPr>
                <w:rFonts w:ascii="Times New Roman" w:hAnsi="Times New Roman"/>
                <w:sz w:val="22"/>
              </w:rPr>
              <w:t>6</w:t>
            </w:r>
          </w:p>
        </w:tc>
        <w:tc>
          <w:tcPr>
            <w:tcW w:type="dxa" w:w="1701"/>
          </w:tcPr>
          <w:p>
            <w:pPr>
              <w:jc w:val="center"/>
            </w:pPr>
            <w:r>
              <w:rPr>
                <w:rFonts w:ascii="Times New Roman" w:hAnsi="Times New Roman"/>
                <w:sz w:val="22"/>
              </w:rPr>
              <w:t>Tata Motors</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Automotive / India</w:t>
            </w:r>
          </w:p>
        </w:tc>
      </w:tr>
      <w:tr>
        <w:tc>
          <w:tcPr>
            <w:tcW w:type="dxa" w:w="850"/>
          </w:tcPr>
          <w:p>
            <w:pPr>
              <w:jc w:val="center"/>
            </w:pPr>
            <w:r>
              <w:rPr>
                <w:rFonts w:ascii="Times New Roman" w:hAnsi="Times New Roman"/>
                <w:sz w:val="22"/>
              </w:rPr>
              <w:t>7</w:t>
            </w:r>
          </w:p>
        </w:tc>
        <w:tc>
          <w:tcPr>
            <w:tcW w:type="dxa" w:w="1701"/>
          </w:tcPr>
          <w:p>
            <w:pPr>
              <w:jc w:val="center"/>
            </w:pPr>
            <w:r>
              <w:rPr>
                <w:rFonts w:ascii="Times New Roman" w:hAnsi="Times New Roman"/>
                <w:sz w:val="22"/>
              </w:rPr>
              <w:t>TCS</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IT Services / India</w:t>
            </w:r>
          </w:p>
        </w:tc>
      </w:tr>
      <w:tr>
        <w:tc>
          <w:tcPr>
            <w:tcW w:type="dxa" w:w="850"/>
          </w:tcPr>
          <w:p>
            <w:pPr>
              <w:jc w:val="center"/>
            </w:pPr>
            <w:r>
              <w:rPr>
                <w:rFonts w:ascii="Times New Roman" w:hAnsi="Times New Roman"/>
                <w:sz w:val="22"/>
              </w:rPr>
              <w:t>8</w:t>
            </w:r>
          </w:p>
        </w:tc>
        <w:tc>
          <w:tcPr>
            <w:tcW w:type="dxa" w:w="1701"/>
          </w:tcPr>
          <w:p>
            <w:pPr>
              <w:jc w:val="center"/>
            </w:pPr>
            <w:r>
              <w:rPr>
                <w:rFonts w:ascii="Times New Roman" w:hAnsi="Times New Roman"/>
                <w:sz w:val="22"/>
              </w:rPr>
              <w:t>Givaudan</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Specialty Chemicals / Switzerland</w:t>
            </w:r>
          </w:p>
        </w:tc>
      </w:tr>
      <w:tr>
        <w:tc>
          <w:tcPr>
            <w:tcW w:type="dxa" w:w="850"/>
          </w:tcPr>
          <w:p>
            <w:pPr>
              <w:jc w:val="center"/>
            </w:pPr>
            <w:r>
              <w:rPr>
                <w:rFonts w:ascii="Times New Roman" w:hAnsi="Times New Roman"/>
                <w:sz w:val="22"/>
              </w:rPr>
              <w:t>9</w:t>
            </w:r>
          </w:p>
        </w:tc>
        <w:tc>
          <w:tcPr>
            <w:tcW w:type="dxa" w:w="1701"/>
          </w:tcPr>
          <w:p>
            <w:pPr>
              <w:jc w:val="center"/>
            </w:pPr>
            <w:r>
              <w:rPr>
                <w:rFonts w:ascii="Times New Roman" w:hAnsi="Times New Roman"/>
                <w:sz w:val="22"/>
              </w:rPr>
              <w:t>GPM</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Manufacturing / India</w:t>
            </w:r>
          </w:p>
        </w:tc>
      </w:tr>
      <w:tr>
        <w:tc>
          <w:tcPr>
            <w:tcW w:type="dxa" w:w="850"/>
          </w:tcPr>
          <w:p>
            <w:pPr>
              <w:jc w:val="center"/>
            </w:pPr>
            <w:r>
              <w:rPr>
                <w:rFonts w:ascii="Times New Roman" w:hAnsi="Times New Roman"/>
                <w:sz w:val="22"/>
              </w:rPr>
              <w:t>10</w:t>
            </w:r>
          </w:p>
        </w:tc>
        <w:tc>
          <w:tcPr>
            <w:tcW w:type="dxa" w:w="1701"/>
          </w:tcPr>
          <w:p>
            <w:pPr>
              <w:jc w:val="center"/>
            </w:pPr>
            <w:r>
              <w:rPr>
                <w:rFonts w:ascii="Times New Roman" w:hAnsi="Times New Roman"/>
                <w:sz w:val="22"/>
              </w:rPr>
              <w:t>Himadri</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Specialty Chemicals / India</w:t>
            </w:r>
          </w:p>
        </w:tc>
      </w:tr>
      <w:tr>
        <w:tc>
          <w:tcPr>
            <w:tcW w:type="dxa" w:w="850"/>
          </w:tcPr>
          <w:p>
            <w:pPr>
              <w:jc w:val="center"/>
            </w:pPr>
            <w:r>
              <w:rPr>
                <w:rFonts w:ascii="Times New Roman" w:hAnsi="Times New Roman"/>
                <w:sz w:val="22"/>
              </w:rPr>
              <w:t>11</w:t>
            </w:r>
          </w:p>
        </w:tc>
        <w:tc>
          <w:tcPr>
            <w:tcW w:type="dxa" w:w="1701"/>
          </w:tcPr>
          <w:p>
            <w:pPr>
              <w:jc w:val="center"/>
            </w:pPr>
            <w:r>
              <w:rPr>
                <w:rFonts w:ascii="Times New Roman" w:hAnsi="Times New Roman"/>
                <w:sz w:val="22"/>
              </w:rPr>
              <w:t>NYK</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Shipping / Japan</w:t>
            </w:r>
          </w:p>
        </w:tc>
      </w:tr>
      <w:tr>
        <w:tc>
          <w:tcPr>
            <w:tcW w:type="dxa" w:w="850"/>
          </w:tcPr>
          <w:p>
            <w:pPr>
              <w:jc w:val="center"/>
            </w:pPr>
            <w:r>
              <w:rPr>
                <w:rFonts w:ascii="Times New Roman" w:hAnsi="Times New Roman"/>
                <w:sz w:val="22"/>
              </w:rPr>
              <w:t>12</w:t>
            </w:r>
          </w:p>
        </w:tc>
        <w:tc>
          <w:tcPr>
            <w:tcW w:type="dxa" w:w="1701"/>
          </w:tcPr>
          <w:p>
            <w:pPr>
              <w:jc w:val="center"/>
            </w:pPr>
            <w:r>
              <w:rPr>
                <w:rFonts w:ascii="Times New Roman" w:hAnsi="Times New Roman"/>
                <w:sz w:val="22"/>
              </w:rPr>
              <w:t>Sasken</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Technology / India</w:t>
            </w:r>
          </w:p>
        </w:tc>
      </w:tr>
      <w:tr>
        <w:tc>
          <w:tcPr>
            <w:tcW w:type="dxa" w:w="850"/>
          </w:tcPr>
          <w:p>
            <w:pPr>
              <w:jc w:val="center"/>
            </w:pPr>
            <w:r>
              <w:rPr>
                <w:rFonts w:ascii="Times New Roman" w:hAnsi="Times New Roman"/>
                <w:sz w:val="22"/>
              </w:rPr>
              <w:t>13</w:t>
            </w:r>
          </w:p>
        </w:tc>
        <w:tc>
          <w:tcPr>
            <w:tcW w:type="dxa" w:w="1701"/>
          </w:tcPr>
          <w:p>
            <w:pPr>
              <w:jc w:val="center"/>
            </w:pPr>
            <w:r>
              <w:rPr>
                <w:rFonts w:ascii="Times New Roman" w:hAnsi="Times New Roman"/>
                <w:sz w:val="22"/>
              </w:rPr>
              <w:t>Unilever</w:t>
            </w:r>
          </w:p>
        </w:tc>
        <w:tc>
          <w:tcPr>
            <w:tcW w:type="dxa" w:w="3118"/>
          </w:tcPr>
          <w:p>
            <w:pPr>
              <w:jc w:val="center"/>
            </w:pPr>
            <w:r>
              <w:rPr>
                <w:rFonts w:ascii="Times New Roman" w:hAnsi="Times New Roman"/>
                <w:sz w:val="22"/>
              </w:rPr>
              <w:t>BRSR, GRI, TCFD, SASB</w:t>
            </w:r>
          </w:p>
        </w:tc>
        <w:tc>
          <w:tcPr>
            <w:tcW w:type="dxa" w:w="3402"/>
          </w:tcPr>
          <w:p>
            <w:pPr>
              <w:jc w:val="center"/>
            </w:pPr>
            <w:r>
              <w:rPr>
                <w:rFonts w:ascii="Times New Roman" w:hAnsi="Times New Roman"/>
                <w:sz w:val="22"/>
              </w:rPr>
              <w:t>FMCG / UK/Netherlands</w:t>
            </w:r>
          </w:p>
        </w:tc>
      </w:tr>
    </w:tbl>
    <w:p/>
    <w:p>
      <w:pPr>
        <w:spacing w:after="120"/>
        <w:jc w:val="center"/>
      </w:pPr>
      <w:r>
        <w:rPr>
          <w:rFonts w:ascii="Times New Roman" w:hAnsi="Times New Roman"/>
          <w:b/>
          <w:i w:val="0"/>
          <w:sz w:val="22"/>
        </w:rPr>
        <w:t>Table 7: Dataset Summary – Companies Evaluated</w:t>
      </w:r>
    </w:p>
    <w:p>
      <w:pPr>
        <w:pStyle w:val="Heading2"/>
        <w:jc w:val="left"/>
      </w:pPr>
      <w:r>
        <w:rPr>
          <w:rFonts w:ascii="Times New Roman" w:hAnsi="Times New Roman"/>
          <w:color w:val="000000"/>
        </w:rPr>
        <w:t>4.3 Accuracy Results</w:t>
      </w:r>
    </w:p>
    <w:p>
      <w:pPr>
        <w:spacing w:after="120"/>
        <w:jc w:val="both"/>
      </w:pPr>
      <w:r>
        <w:rPr>
          <w:rFonts w:ascii="Times New Roman" w:hAnsi="Times New Roman"/>
          <w:b w:val="0"/>
          <w:i w:val="0"/>
          <w:sz w:val="24"/>
        </w:rPr>
        <w:t>Table 8 presents the framework-wise accuracy metrics obtained from the evaluation against human-annotated ground truth labels.</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2268"/>
            <w:shd w:fill="D9E2F3"/>
          </w:tcPr>
          <w:p>
            <w:pPr>
              <w:jc w:val="center"/>
            </w:pPr>
            <w:r>
              <w:rPr>
                <w:rFonts w:ascii="Times New Roman" w:hAnsi="Times New Roman"/>
                <w:b/>
                <w:sz w:val="22"/>
              </w:rPr>
              <w:t>Metric (%)</w:t>
            </w:r>
          </w:p>
        </w:tc>
        <w:tc>
          <w:tcPr>
            <w:tcW w:type="dxa" w:w="1417"/>
            <w:shd w:fill="D9E2F3"/>
          </w:tcPr>
          <w:p>
            <w:pPr>
              <w:jc w:val="center"/>
            </w:pPr>
            <w:r>
              <w:rPr>
                <w:rFonts w:ascii="Times New Roman" w:hAnsi="Times New Roman"/>
                <w:b/>
                <w:sz w:val="22"/>
              </w:rPr>
              <w:t>BRSR</w:t>
            </w:r>
          </w:p>
        </w:tc>
        <w:tc>
          <w:tcPr>
            <w:tcW w:type="dxa" w:w="1417"/>
            <w:shd w:fill="D9E2F3"/>
          </w:tcPr>
          <w:p>
            <w:pPr>
              <w:jc w:val="center"/>
            </w:pPr>
            <w:r>
              <w:rPr>
                <w:rFonts w:ascii="Times New Roman" w:hAnsi="Times New Roman"/>
                <w:b/>
                <w:sz w:val="22"/>
              </w:rPr>
              <w:t>GRI</w:t>
            </w:r>
          </w:p>
        </w:tc>
        <w:tc>
          <w:tcPr>
            <w:tcW w:type="dxa" w:w="1417"/>
            <w:shd w:fill="D9E2F3"/>
          </w:tcPr>
          <w:p>
            <w:pPr>
              <w:jc w:val="center"/>
            </w:pPr>
            <w:r>
              <w:rPr>
                <w:rFonts w:ascii="Times New Roman" w:hAnsi="Times New Roman"/>
                <w:b/>
                <w:sz w:val="22"/>
              </w:rPr>
              <w:t>TCFD</w:t>
            </w:r>
          </w:p>
        </w:tc>
        <w:tc>
          <w:tcPr>
            <w:tcW w:type="dxa" w:w="1417"/>
            <w:shd w:fill="D9E2F3"/>
          </w:tcPr>
          <w:p>
            <w:pPr>
              <w:jc w:val="center"/>
            </w:pPr>
            <w:r>
              <w:rPr>
                <w:rFonts w:ascii="Times New Roman" w:hAnsi="Times New Roman"/>
                <w:b/>
                <w:sz w:val="22"/>
              </w:rPr>
              <w:t>SASB</w:t>
            </w:r>
          </w:p>
        </w:tc>
        <w:tc>
          <w:tcPr>
            <w:tcW w:type="dxa" w:w="1417"/>
            <w:shd w:fill="D9E2F3"/>
          </w:tcPr>
          <w:p>
            <w:pPr>
              <w:jc w:val="center"/>
            </w:pPr>
            <w:r>
              <w:rPr>
                <w:rFonts w:ascii="Times New Roman" w:hAnsi="Times New Roman"/>
                <w:b/>
                <w:sz w:val="22"/>
              </w:rPr>
              <w:t>Overall</w:t>
            </w:r>
          </w:p>
        </w:tc>
      </w:tr>
      <w:tr>
        <w:tc>
          <w:tcPr>
            <w:tcW w:type="dxa" w:w="2268"/>
          </w:tcPr>
          <w:p>
            <w:pPr>
              <w:jc w:val="center"/>
            </w:pPr>
            <w:r>
              <w:rPr>
                <w:rFonts w:ascii="Times New Roman" w:hAnsi="Times New Roman"/>
                <w:sz w:val="22"/>
              </w:rPr>
              <w:t>LLM Precision</w:t>
            </w:r>
          </w:p>
        </w:tc>
        <w:tc>
          <w:tcPr>
            <w:tcW w:type="dxa" w:w="1417"/>
          </w:tcPr>
          <w:p>
            <w:pPr>
              <w:jc w:val="center"/>
            </w:pPr>
            <w:r>
              <w:rPr>
                <w:rFonts w:ascii="Times New Roman" w:hAnsi="Times New Roman"/>
                <w:sz w:val="22"/>
              </w:rPr>
              <w:t>88.2</w:t>
            </w:r>
          </w:p>
        </w:tc>
        <w:tc>
          <w:tcPr>
            <w:tcW w:type="dxa" w:w="1417"/>
          </w:tcPr>
          <w:p>
            <w:pPr>
              <w:jc w:val="center"/>
            </w:pPr>
            <w:r>
              <w:rPr>
                <w:rFonts w:ascii="Times New Roman" w:hAnsi="Times New Roman"/>
                <w:sz w:val="22"/>
              </w:rPr>
              <w:t>82.5</w:t>
            </w:r>
          </w:p>
        </w:tc>
        <w:tc>
          <w:tcPr>
            <w:tcW w:type="dxa" w:w="1417"/>
          </w:tcPr>
          <w:p>
            <w:pPr>
              <w:jc w:val="center"/>
            </w:pPr>
            <w:r>
              <w:rPr>
                <w:rFonts w:ascii="Times New Roman" w:hAnsi="Times New Roman"/>
                <w:sz w:val="22"/>
              </w:rPr>
              <w:t>78.4</w:t>
            </w:r>
          </w:p>
        </w:tc>
        <w:tc>
          <w:tcPr>
            <w:tcW w:type="dxa" w:w="1417"/>
          </w:tcPr>
          <w:p>
            <w:pPr>
              <w:jc w:val="center"/>
            </w:pPr>
            <w:r>
              <w:rPr>
                <w:rFonts w:ascii="Times New Roman" w:hAnsi="Times New Roman"/>
                <w:sz w:val="22"/>
              </w:rPr>
              <w:t>85.1</w:t>
            </w:r>
          </w:p>
        </w:tc>
        <w:tc>
          <w:tcPr>
            <w:tcW w:type="dxa" w:w="1417"/>
          </w:tcPr>
          <w:p>
            <w:pPr>
              <w:jc w:val="center"/>
            </w:pPr>
            <w:r>
              <w:rPr>
                <w:rFonts w:ascii="Times New Roman" w:hAnsi="Times New Roman"/>
                <w:sz w:val="22"/>
              </w:rPr>
              <w:t>83.6</w:t>
            </w:r>
          </w:p>
        </w:tc>
      </w:tr>
      <w:tr>
        <w:tc>
          <w:tcPr>
            <w:tcW w:type="dxa" w:w="2268"/>
          </w:tcPr>
          <w:p>
            <w:pPr>
              <w:jc w:val="center"/>
            </w:pPr>
            <w:r>
              <w:rPr>
                <w:rFonts w:ascii="Times New Roman" w:hAnsi="Times New Roman"/>
                <w:sz w:val="22"/>
              </w:rPr>
              <w:t>LLM Recall</w:t>
            </w:r>
          </w:p>
        </w:tc>
        <w:tc>
          <w:tcPr>
            <w:tcW w:type="dxa" w:w="1417"/>
          </w:tcPr>
          <w:p>
            <w:pPr>
              <w:jc w:val="center"/>
            </w:pPr>
            <w:r>
              <w:rPr>
                <w:rFonts w:ascii="Times New Roman" w:hAnsi="Times New Roman"/>
                <w:sz w:val="22"/>
              </w:rPr>
              <w:t>87.0</w:t>
            </w:r>
          </w:p>
        </w:tc>
        <w:tc>
          <w:tcPr>
            <w:tcW w:type="dxa" w:w="1417"/>
          </w:tcPr>
          <w:p>
            <w:pPr>
              <w:jc w:val="center"/>
            </w:pPr>
            <w:r>
              <w:rPr>
                <w:rFonts w:ascii="Times New Roman" w:hAnsi="Times New Roman"/>
                <w:sz w:val="22"/>
              </w:rPr>
              <w:t>81.3</w:t>
            </w:r>
          </w:p>
        </w:tc>
        <w:tc>
          <w:tcPr>
            <w:tcW w:type="dxa" w:w="1417"/>
          </w:tcPr>
          <w:p>
            <w:pPr>
              <w:jc w:val="center"/>
            </w:pPr>
            <w:r>
              <w:rPr>
                <w:rFonts w:ascii="Times New Roman" w:hAnsi="Times New Roman"/>
                <w:sz w:val="22"/>
              </w:rPr>
              <w:t>76.9</w:t>
            </w:r>
          </w:p>
        </w:tc>
        <w:tc>
          <w:tcPr>
            <w:tcW w:type="dxa" w:w="1417"/>
          </w:tcPr>
          <w:p>
            <w:pPr>
              <w:jc w:val="center"/>
            </w:pPr>
            <w:r>
              <w:rPr>
                <w:rFonts w:ascii="Times New Roman" w:hAnsi="Times New Roman"/>
                <w:sz w:val="22"/>
              </w:rPr>
              <w:t>83.7</w:t>
            </w:r>
          </w:p>
        </w:tc>
        <w:tc>
          <w:tcPr>
            <w:tcW w:type="dxa" w:w="1417"/>
          </w:tcPr>
          <w:p>
            <w:pPr>
              <w:jc w:val="center"/>
            </w:pPr>
            <w:r>
              <w:rPr>
                <w:rFonts w:ascii="Times New Roman" w:hAnsi="Times New Roman"/>
                <w:sz w:val="22"/>
              </w:rPr>
              <w:t>82.2</w:t>
            </w:r>
          </w:p>
        </w:tc>
      </w:tr>
      <w:tr>
        <w:tc>
          <w:tcPr>
            <w:tcW w:type="dxa" w:w="2268"/>
          </w:tcPr>
          <w:p>
            <w:pPr>
              <w:jc w:val="center"/>
            </w:pPr>
            <w:r>
              <w:rPr>
                <w:rFonts w:ascii="Times New Roman" w:hAnsi="Times New Roman"/>
                <w:sz w:val="22"/>
              </w:rPr>
              <w:t>LLM F1 Score</w:t>
            </w:r>
          </w:p>
        </w:tc>
        <w:tc>
          <w:tcPr>
            <w:tcW w:type="dxa" w:w="1417"/>
          </w:tcPr>
          <w:p>
            <w:pPr>
              <w:jc w:val="center"/>
            </w:pPr>
            <w:r>
              <w:rPr>
                <w:rFonts w:ascii="Times New Roman" w:hAnsi="Times New Roman"/>
                <w:sz w:val="22"/>
              </w:rPr>
              <w:t>87.6</w:t>
            </w:r>
          </w:p>
        </w:tc>
        <w:tc>
          <w:tcPr>
            <w:tcW w:type="dxa" w:w="1417"/>
          </w:tcPr>
          <w:p>
            <w:pPr>
              <w:jc w:val="center"/>
            </w:pPr>
            <w:r>
              <w:rPr>
                <w:rFonts w:ascii="Times New Roman" w:hAnsi="Times New Roman"/>
                <w:sz w:val="22"/>
              </w:rPr>
              <w:t>81.9</w:t>
            </w:r>
          </w:p>
        </w:tc>
        <w:tc>
          <w:tcPr>
            <w:tcW w:type="dxa" w:w="1417"/>
          </w:tcPr>
          <w:p>
            <w:pPr>
              <w:jc w:val="center"/>
            </w:pPr>
            <w:r>
              <w:rPr>
                <w:rFonts w:ascii="Times New Roman" w:hAnsi="Times New Roman"/>
                <w:sz w:val="22"/>
              </w:rPr>
              <w:t>77.6</w:t>
            </w:r>
          </w:p>
        </w:tc>
        <w:tc>
          <w:tcPr>
            <w:tcW w:type="dxa" w:w="1417"/>
          </w:tcPr>
          <w:p>
            <w:pPr>
              <w:jc w:val="center"/>
            </w:pPr>
            <w:r>
              <w:rPr>
                <w:rFonts w:ascii="Times New Roman" w:hAnsi="Times New Roman"/>
                <w:sz w:val="22"/>
              </w:rPr>
              <w:t>84.4</w:t>
            </w:r>
          </w:p>
        </w:tc>
        <w:tc>
          <w:tcPr>
            <w:tcW w:type="dxa" w:w="1417"/>
          </w:tcPr>
          <w:p>
            <w:pPr>
              <w:jc w:val="center"/>
            </w:pPr>
            <w:r>
              <w:rPr>
                <w:rFonts w:ascii="Times New Roman" w:hAnsi="Times New Roman"/>
                <w:sz w:val="22"/>
              </w:rPr>
              <w:t>82.9</w:t>
            </w:r>
          </w:p>
        </w:tc>
      </w:tr>
      <w:tr>
        <w:tc>
          <w:tcPr>
            <w:tcW w:type="dxa" w:w="2268"/>
          </w:tcPr>
          <w:p>
            <w:pPr>
              <w:jc w:val="center"/>
            </w:pPr>
            <w:r>
              <w:rPr>
                <w:rFonts w:ascii="Times New Roman" w:hAnsi="Times New Roman"/>
                <w:sz w:val="22"/>
              </w:rPr>
              <w:t>Status Match Accuracy</w:t>
            </w:r>
          </w:p>
        </w:tc>
        <w:tc>
          <w:tcPr>
            <w:tcW w:type="dxa" w:w="1417"/>
          </w:tcPr>
          <w:p>
            <w:pPr>
              <w:jc w:val="center"/>
            </w:pPr>
            <w:r>
              <w:rPr>
                <w:rFonts w:ascii="Times New Roman" w:hAnsi="Times New Roman"/>
                <w:sz w:val="22"/>
              </w:rPr>
              <w:t>85.3</w:t>
            </w:r>
          </w:p>
        </w:tc>
        <w:tc>
          <w:tcPr>
            <w:tcW w:type="dxa" w:w="1417"/>
          </w:tcPr>
          <w:p>
            <w:pPr>
              <w:jc w:val="center"/>
            </w:pPr>
            <w:r>
              <w:rPr>
                <w:rFonts w:ascii="Times New Roman" w:hAnsi="Times New Roman"/>
                <w:sz w:val="22"/>
              </w:rPr>
              <w:t>79.8</w:t>
            </w:r>
          </w:p>
        </w:tc>
        <w:tc>
          <w:tcPr>
            <w:tcW w:type="dxa" w:w="1417"/>
          </w:tcPr>
          <w:p>
            <w:pPr>
              <w:jc w:val="center"/>
            </w:pPr>
            <w:r>
              <w:rPr>
                <w:rFonts w:ascii="Times New Roman" w:hAnsi="Times New Roman"/>
                <w:sz w:val="22"/>
              </w:rPr>
              <w:t>75.2</w:t>
            </w:r>
          </w:p>
        </w:tc>
        <w:tc>
          <w:tcPr>
            <w:tcW w:type="dxa" w:w="1417"/>
          </w:tcPr>
          <w:p>
            <w:pPr>
              <w:jc w:val="center"/>
            </w:pPr>
            <w:r>
              <w:rPr>
                <w:rFonts w:ascii="Times New Roman" w:hAnsi="Times New Roman"/>
                <w:sz w:val="22"/>
              </w:rPr>
              <w:t>82.6</w:t>
            </w:r>
          </w:p>
        </w:tc>
        <w:tc>
          <w:tcPr>
            <w:tcW w:type="dxa" w:w="1417"/>
          </w:tcPr>
          <w:p>
            <w:pPr>
              <w:jc w:val="center"/>
            </w:pPr>
            <w:r>
              <w:rPr>
                <w:rFonts w:ascii="Times New Roman" w:hAnsi="Times New Roman"/>
                <w:sz w:val="22"/>
              </w:rPr>
              <w:t>80.7</w:t>
            </w:r>
          </w:p>
        </w:tc>
      </w:tr>
    </w:tbl>
    <w:p/>
    <w:p>
      <w:pPr>
        <w:spacing w:after="120"/>
        <w:jc w:val="center"/>
      </w:pPr>
      <w:r>
        <w:rPr>
          <w:rFonts w:ascii="Times New Roman" w:hAnsi="Times New Roman"/>
          <w:b/>
          <w:i w:val="0"/>
          <w:sz w:val="22"/>
        </w:rPr>
        <w:t>Table 8: Framework-Wise Accuracy Metrics</w:t>
      </w:r>
    </w:p>
    <w:p>
      <w:pPr>
        <w:spacing w:after="120"/>
        <w:jc w:val="both"/>
      </w:pPr>
      <w:r>
        <w:rPr>
          <w:rFonts w:ascii="Times New Roman" w:hAnsi="Times New Roman"/>
          <w:b w:val="0"/>
          <w:i w:val="0"/>
          <w:sz w:val="24"/>
        </w:rPr>
        <w:t>The results demonstrate consistently strong performance across all four frameworks, with overall LLM Precision of 83.6%, Recall of 82.2%, F1 Score of 82.9%, and Status Match Accuracy of 80.7%. All metrics fall within the 75–90% range, confirming the viability of the hybrid pipeline for automated ESG compliance verification.</w:t>
      </w:r>
    </w:p>
    <w:p>
      <w:pPr>
        <w:spacing w:after="120"/>
        <w:jc w:val="both"/>
      </w:pPr>
      <w:r>
        <w:rPr>
          <w:rFonts w:ascii="Times New Roman" w:hAnsi="Times New Roman"/>
          <w:b w:val="0"/>
          <w:i w:val="0"/>
          <w:sz w:val="24"/>
        </w:rPr>
        <w:t>Retrieval Recall@K performance averaged 78–84% across frameworks, indicating that the semantic retrieval component successfully identifies relevant evidence pages for approximately four out of five clauses. Rule Validation Precision exceeded 90% across all frameworks, indicating that rule-based overrides are overwhelmingly correct.</w:t>
      </w:r>
    </w:p>
    <w:p>
      <w:pPr>
        <w:pStyle w:val="Heading2"/>
        <w:jc w:val="left"/>
      </w:pPr>
      <w:r>
        <w:rPr>
          <w:rFonts w:ascii="Times New Roman" w:hAnsi="Times New Roman"/>
          <w:color w:val="000000"/>
        </w:rPr>
        <w:t>4.4 Framework-Specific Analysis</w:t>
      </w:r>
    </w:p>
    <w:p>
      <w:pPr>
        <w:spacing w:after="120"/>
        <w:jc w:val="both"/>
      </w:pPr>
      <w:r>
        <w:rPr>
          <w:rFonts w:ascii="Times New Roman" w:hAnsi="Times New Roman"/>
          <w:b/>
          <w:i w:val="0"/>
          <w:sz w:val="24"/>
        </w:rPr>
        <w:t xml:space="preserve">BRSR (F1: 87.6%). </w:t>
      </w:r>
      <w:r>
        <w:rPr>
          <w:rFonts w:ascii="Times New Roman" w:hAnsi="Times New Roman"/>
          <w:b w:val="0"/>
          <w:i w:val="0"/>
          <w:sz w:val="24"/>
        </w:rPr>
        <w:t>Achieved the highest accuracy owing to the structured, standardized format mandated by SEBI. Indian regulatory disclosures follow predictable patterns with clearly delineated sections, making both retrieval and LLM evaluation more reliable. The BRSR prompt's focus on 'disclosure presence rather than fact verification' aligns well with how Indian companies structure their reports.</w:t>
      </w:r>
    </w:p>
    <w:p>
      <w:pPr>
        <w:spacing w:after="120"/>
        <w:jc w:val="both"/>
      </w:pPr>
      <w:r>
        <w:rPr>
          <w:rFonts w:ascii="Times New Roman" w:hAnsi="Times New Roman"/>
          <w:b/>
          <w:i w:val="0"/>
          <w:sz w:val="24"/>
        </w:rPr>
        <w:t xml:space="preserve">SASB (F1: 84.4%). </w:t>
      </w:r>
      <w:r>
        <w:rPr>
          <w:rFonts w:ascii="Times New Roman" w:hAnsi="Times New Roman"/>
          <w:b w:val="0"/>
          <w:i w:val="0"/>
          <w:sz w:val="24"/>
        </w:rPr>
        <w:t>Demonstrated the second-highest performance, benefiting from the lenient prompting strategy that prioritizes disclosure presence over strict metric matching. The hard rule that any thematically relevant evidence precludes a 'Not Supported' classification reduces false negatives for on-topic disclosures. The SASB confidence blending (0.82 × LLM + 0.18 × rules) appropriately trusts the LLM's thematic judgment.</w:t>
      </w:r>
    </w:p>
    <w:p>
      <w:pPr>
        <w:spacing w:after="120"/>
        <w:jc w:val="both"/>
      </w:pPr>
      <w:r>
        <w:rPr>
          <w:rFonts w:ascii="Times New Roman" w:hAnsi="Times New Roman"/>
          <w:b/>
          <w:i w:val="0"/>
          <w:sz w:val="24"/>
        </w:rPr>
        <w:t xml:space="preserve">GRI (F1: 81.9%). </w:t>
      </w:r>
      <w:r>
        <w:rPr>
          <w:rFonts w:ascii="Times New Roman" w:hAnsi="Times New Roman"/>
          <w:b w:val="0"/>
          <w:i w:val="0"/>
          <w:sz w:val="24"/>
        </w:rPr>
        <w:t>Yielded moderate performance, reflecting the broader scope and greater clause diversity of the GRI standard (approximately 120 clauses at standard scope). The diversity of required evidence types across GRI topic standards—ranging from quantitative emissions data (GRI 305) to qualitative governance descriptions (GRI 2)—introduces greater evaluation complexity. Scope filtering (core/standard/essential) helps focus evaluation on the most relevant clauses.</w:t>
      </w:r>
    </w:p>
    <w:p>
      <w:pPr>
        <w:spacing w:after="120"/>
        <w:jc w:val="both"/>
      </w:pPr>
      <w:r>
        <w:rPr>
          <w:rFonts w:ascii="Times New Roman" w:hAnsi="Times New Roman"/>
          <w:b/>
          <w:i w:val="0"/>
          <w:sz w:val="24"/>
        </w:rPr>
        <w:t xml:space="preserve">TCFD (F1: 77.6%). </w:t>
      </w:r>
      <w:r>
        <w:rPr>
          <w:rFonts w:ascii="Times New Roman" w:hAnsi="Times New Roman"/>
          <w:b w:val="0"/>
          <w:i w:val="0"/>
          <w:sz w:val="24"/>
        </w:rPr>
        <w:t>Presented the most challenging evaluation context, consistent with expectations. TCFD clauses require specific, substantive climate-related disclosures (scenario analysis, Scope 3 emissions methodology, climate risk integration into enterprise risk management), and the strict prompting philosophy penalizes generic or indirect climate language. The 11 core recommended disclosures plus sub-clauses demand a level of climate specificity that many companies' reports do not fully achieve.</w:t>
      </w:r>
    </w:p>
    <w:p>
      <w:pPr>
        <w:pStyle w:val="Heading2"/>
        <w:jc w:val="left"/>
      </w:pPr>
      <w:r>
        <w:rPr>
          <w:rFonts w:ascii="Times New Roman" w:hAnsi="Times New Roman"/>
          <w:color w:val="000000"/>
        </w:rPr>
        <w:t>4.5 Agentic AI Impact</w:t>
      </w:r>
    </w:p>
    <w:p>
      <w:pPr>
        <w:spacing w:after="120"/>
        <w:jc w:val="both"/>
      </w:pPr>
      <w:r>
        <w:rPr>
          <w:rFonts w:ascii="Times New Roman" w:hAnsi="Times New Roman"/>
          <w:b w:val="0"/>
          <w:i w:val="0"/>
          <w:sz w:val="24"/>
        </w:rPr>
        <w:t>When the agentic pipeline was enabled, self-reflection identified issues in approximately 12–18% of clause evaluations, triggering revisions that adjusted compliance status or confidence scores. Qualitative analysis revealed that revisions most commonly addressed:</w:t>
      </w:r>
    </w:p>
    <w:p>
      <w:pPr>
        <w:pStyle w:val="ListBullet"/>
        <w:spacing w:after="60"/>
      </w:pPr>
      <w:r>
        <w:rPr>
          <w:rFonts w:ascii="Times New Roman" w:hAnsi="Times New Roman"/>
          <w:sz w:val="24"/>
        </w:rPr>
        <w:t>Overconfidence in cases where evidence was thematically related but did not specifically address the clause requirement.</w:t>
      </w:r>
    </w:p>
    <w:p>
      <w:pPr>
        <w:pStyle w:val="ListBullet"/>
        <w:spacing w:after="60"/>
      </w:pPr>
      <w:r>
        <w:rPr>
          <w:rFonts w:ascii="Times New Roman" w:hAnsi="Times New Roman"/>
          <w:sz w:val="24"/>
        </w:rPr>
        <w:t>Under-recognition of implicit compliance signals in consolidated ESG narratives.</w:t>
      </w:r>
    </w:p>
    <w:p>
      <w:pPr>
        <w:pStyle w:val="ListBullet"/>
        <w:spacing w:after="60"/>
      </w:pPr>
      <w:r>
        <w:rPr>
          <w:rFonts w:ascii="Times New Roman" w:hAnsi="Times New Roman"/>
          <w:sz w:val="24"/>
        </w:rPr>
        <w:t>Misclassification at the supported/partial boundary where evidence was substantive but incomplete.</w:t>
      </w:r>
    </w:p>
    <w:p>
      <w:pPr>
        <w:spacing w:after="120"/>
        <w:jc w:val="both"/>
      </w:pPr>
      <w:r>
        <w:rPr>
          <w:rFonts w:ascii="Times New Roman" w:hAnsi="Times New Roman"/>
          <w:b w:val="0"/>
          <w:i w:val="0"/>
          <w:sz w:val="24"/>
        </w:rPr>
        <w:t>The chain-of-thought reasoning traces provide substantial value for audit transparency, as compliance officers can review the model's step-by-step analysis rather than relying on opaque classification outputs. The latency trade-off of 2–3 additional seconds per clause is acceptable for compliance workflows where accuracy and explainability take precedence over speed.</w:t>
      </w:r>
    </w:p>
    <w:p>
      <w:pPr>
        <w:spacing w:after="120"/>
        <w:jc w:val="both"/>
      </w:pPr>
      <w:r>
        <w:rPr>
          <w:rFonts w:ascii="Times New Roman" w:hAnsi="Times New Roman"/>
          <w:b w:val="0"/>
          <w:i w:val="0"/>
          <w:sz w:val="24"/>
        </w:rPr>
        <w:t>The confidence blending mechanism—weighting LLM confidence against rule pass rates—improved confidence calibration by 8–12% compared to raw LLM confidence alone, as measured by expected calibration error.</w:t>
      </w:r>
    </w:p>
    <w:p>
      <w:pPr>
        <w:pStyle w:val="Heading2"/>
        <w:jc w:val="left"/>
      </w:pPr>
      <w:r>
        <w:rPr>
          <w:rFonts w:ascii="Times New Roman" w:hAnsi="Times New Roman"/>
          <w:color w:val="000000"/>
        </w:rPr>
        <w:t>4.6 Processing Performance</w:t>
      </w:r>
    </w:p>
    <w:tbl>
      <w:tblPr>
        <w:tblStyle w:val="TableGrid"/>
        <w:tblW w:type="auto" w:w="0"/>
        <w:jc w:val="center"/>
        <w:tblLook w:firstColumn="1" w:firstRow="1" w:lastColumn="0" w:lastRow="0" w:noHBand="0" w:noVBand="1" w:val="04A0"/>
      </w:tblPr>
      <w:tblGrid>
        <w:gridCol w:w="2882"/>
        <w:gridCol w:w="2882"/>
        <w:gridCol w:w="2882"/>
      </w:tblGrid>
      <w:tr>
        <w:tc>
          <w:tcPr>
            <w:tcW w:type="dxa" w:w="2835"/>
            <w:shd w:fill="D9E2F3"/>
          </w:tcPr>
          <w:p>
            <w:pPr>
              <w:jc w:val="center"/>
            </w:pPr>
            <w:r>
              <w:rPr>
                <w:rFonts w:ascii="Times New Roman" w:hAnsi="Times New Roman"/>
                <w:b/>
                <w:sz w:val="22"/>
              </w:rPr>
              <w:t>Operation</w:t>
            </w:r>
          </w:p>
        </w:tc>
        <w:tc>
          <w:tcPr>
            <w:tcW w:type="dxa" w:w="2268"/>
            <w:shd w:fill="D9E2F3"/>
          </w:tcPr>
          <w:p>
            <w:pPr>
              <w:jc w:val="center"/>
            </w:pPr>
            <w:r>
              <w:rPr>
                <w:rFonts w:ascii="Times New Roman" w:hAnsi="Times New Roman"/>
                <w:b/>
                <w:sz w:val="22"/>
              </w:rPr>
              <w:t>Time</w:t>
            </w:r>
          </w:p>
        </w:tc>
        <w:tc>
          <w:tcPr>
            <w:tcW w:type="dxa" w:w="3969"/>
            <w:shd w:fill="D9E2F3"/>
          </w:tcPr>
          <w:p>
            <w:pPr>
              <w:jc w:val="center"/>
            </w:pPr>
            <w:r>
              <w:rPr>
                <w:rFonts w:ascii="Times New Roman" w:hAnsi="Times New Roman"/>
                <w:b/>
                <w:sz w:val="22"/>
              </w:rPr>
              <w:t>Notes</w:t>
            </w:r>
          </w:p>
        </w:tc>
      </w:tr>
      <w:tr>
        <w:tc>
          <w:tcPr>
            <w:tcW w:type="dxa" w:w="2835"/>
          </w:tcPr>
          <w:p>
            <w:pPr>
              <w:jc w:val="center"/>
            </w:pPr>
            <w:r>
              <w:rPr>
                <w:rFonts w:ascii="Times New Roman" w:hAnsi="Times New Roman"/>
                <w:sz w:val="22"/>
              </w:rPr>
              <w:t>PDF Upload &amp; Processing</w:t>
            </w:r>
          </w:p>
        </w:tc>
        <w:tc>
          <w:tcPr>
            <w:tcW w:type="dxa" w:w="2268"/>
          </w:tcPr>
          <w:p>
            <w:pPr>
              <w:jc w:val="center"/>
            </w:pPr>
            <w:r>
              <w:rPr>
                <w:rFonts w:ascii="Times New Roman" w:hAnsi="Times New Roman"/>
                <w:sz w:val="22"/>
              </w:rPr>
              <w:t>5–15 seconds</w:t>
            </w:r>
          </w:p>
        </w:tc>
        <w:tc>
          <w:tcPr>
            <w:tcW w:type="dxa" w:w="3969"/>
          </w:tcPr>
          <w:p>
            <w:pPr>
              <w:jc w:val="center"/>
            </w:pPr>
            <w:r>
              <w:rPr>
                <w:rFonts w:ascii="Times New Roman" w:hAnsi="Times New Roman"/>
                <w:sz w:val="22"/>
              </w:rPr>
              <w:t>For 50–200 page PDFs</w:t>
            </w:r>
          </w:p>
        </w:tc>
      </w:tr>
      <w:tr>
        <w:tc>
          <w:tcPr>
            <w:tcW w:type="dxa" w:w="2835"/>
          </w:tcPr>
          <w:p>
            <w:pPr>
              <w:jc w:val="center"/>
            </w:pPr>
            <w:r>
              <w:rPr>
                <w:rFonts w:ascii="Times New Roman" w:hAnsi="Times New Roman"/>
                <w:sz w:val="22"/>
              </w:rPr>
              <w:t>BRSR Evaluation (265 clauses)</w:t>
            </w:r>
          </w:p>
        </w:tc>
        <w:tc>
          <w:tcPr>
            <w:tcW w:type="dxa" w:w="2268"/>
          </w:tcPr>
          <w:p>
            <w:pPr>
              <w:jc w:val="center"/>
            </w:pPr>
            <w:r>
              <w:rPr>
                <w:rFonts w:ascii="Times New Roman" w:hAnsi="Times New Roman"/>
                <w:sz w:val="22"/>
              </w:rPr>
              <w:t>5–10 minutes</w:t>
            </w:r>
          </w:p>
        </w:tc>
        <w:tc>
          <w:tcPr>
            <w:tcW w:type="dxa" w:w="3969"/>
          </w:tcPr>
          <w:p>
            <w:pPr>
              <w:jc w:val="center"/>
            </w:pPr>
            <w:r>
              <w:rPr>
                <w:rFonts w:ascii="Times New Roman" w:hAnsi="Times New Roman"/>
                <w:sz w:val="22"/>
              </w:rPr>
              <w:t>Fast mode, parallel batches of 10</w:t>
            </w:r>
          </w:p>
        </w:tc>
      </w:tr>
      <w:tr>
        <w:tc>
          <w:tcPr>
            <w:tcW w:type="dxa" w:w="2835"/>
          </w:tcPr>
          <w:p>
            <w:pPr>
              <w:jc w:val="center"/>
            </w:pPr>
            <w:r>
              <w:rPr>
                <w:rFonts w:ascii="Times New Roman" w:hAnsi="Times New Roman"/>
                <w:sz w:val="22"/>
              </w:rPr>
              <w:t>GRI Standard Scope (~120 clauses)</w:t>
            </w:r>
          </w:p>
        </w:tc>
        <w:tc>
          <w:tcPr>
            <w:tcW w:type="dxa" w:w="2268"/>
          </w:tcPr>
          <w:p>
            <w:pPr>
              <w:jc w:val="center"/>
            </w:pPr>
            <w:r>
              <w:rPr>
                <w:rFonts w:ascii="Times New Roman" w:hAnsi="Times New Roman"/>
                <w:sz w:val="22"/>
              </w:rPr>
              <w:t>3–6 minutes</w:t>
            </w:r>
          </w:p>
        </w:tc>
        <w:tc>
          <w:tcPr>
            <w:tcW w:type="dxa" w:w="3969"/>
          </w:tcPr>
          <w:p>
            <w:pPr>
              <w:jc w:val="center"/>
            </w:pPr>
            <w:r>
              <w:rPr>
                <w:rFonts w:ascii="Times New Roman" w:hAnsi="Times New Roman"/>
                <w:sz w:val="22"/>
              </w:rPr>
              <w:t>Fast mode</w:t>
            </w:r>
          </w:p>
        </w:tc>
      </w:tr>
      <w:tr>
        <w:tc>
          <w:tcPr>
            <w:tcW w:type="dxa" w:w="2835"/>
          </w:tcPr>
          <w:p>
            <w:pPr>
              <w:jc w:val="center"/>
            </w:pPr>
            <w:r>
              <w:rPr>
                <w:rFonts w:ascii="Times New Roman" w:hAnsi="Times New Roman"/>
                <w:sz w:val="22"/>
              </w:rPr>
              <w:t>TCFD Evaluation (~30 clauses)</w:t>
            </w:r>
          </w:p>
        </w:tc>
        <w:tc>
          <w:tcPr>
            <w:tcW w:type="dxa" w:w="2268"/>
          </w:tcPr>
          <w:p>
            <w:pPr>
              <w:jc w:val="center"/>
            </w:pPr>
            <w:r>
              <w:rPr>
                <w:rFonts w:ascii="Times New Roman" w:hAnsi="Times New Roman"/>
                <w:sz w:val="22"/>
              </w:rPr>
              <w:t>1–2 minutes</w:t>
            </w:r>
          </w:p>
        </w:tc>
        <w:tc>
          <w:tcPr>
            <w:tcW w:type="dxa" w:w="3969"/>
          </w:tcPr>
          <w:p>
            <w:pPr>
              <w:jc w:val="center"/>
            </w:pPr>
            <w:r>
              <w:rPr>
                <w:rFonts w:ascii="Times New Roman" w:hAnsi="Times New Roman"/>
                <w:sz w:val="22"/>
              </w:rPr>
              <w:t>Fast mode</w:t>
            </w:r>
          </w:p>
        </w:tc>
      </w:tr>
      <w:tr>
        <w:tc>
          <w:tcPr>
            <w:tcW w:type="dxa" w:w="2835"/>
          </w:tcPr>
          <w:p>
            <w:pPr>
              <w:jc w:val="center"/>
            </w:pPr>
            <w:r>
              <w:rPr>
                <w:rFonts w:ascii="Times New Roman" w:hAnsi="Times New Roman"/>
                <w:sz w:val="22"/>
              </w:rPr>
              <w:t>SASB Evaluation (~77 clauses)</w:t>
            </w:r>
          </w:p>
        </w:tc>
        <w:tc>
          <w:tcPr>
            <w:tcW w:type="dxa" w:w="2268"/>
          </w:tcPr>
          <w:p>
            <w:pPr>
              <w:jc w:val="center"/>
            </w:pPr>
            <w:r>
              <w:rPr>
                <w:rFonts w:ascii="Times New Roman" w:hAnsi="Times New Roman"/>
                <w:sz w:val="22"/>
              </w:rPr>
              <w:t>2–4 minutes</w:t>
            </w:r>
          </w:p>
        </w:tc>
        <w:tc>
          <w:tcPr>
            <w:tcW w:type="dxa" w:w="3969"/>
          </w:tcPr>
          <w:p>
            <w:pPr>
              <w:jc w:val="center"/>
            </w:pPr>
            <w:r>
              <w:rPr>
                <w:rFonts w:ascii="Times New Roman" w:hAnsi="Times New Roman"/>
                <w:sz w:val="22"/>
              </w:rPr>
              <w:t>Fast mode</w:t>
            </w:r>
          </w:p>
        </w:tc>
      </w:tr>
      <w:tr>
        <w:tc>
          <w:tcPr>
            <w:tcW w:type="dxa" w:w="2835"/>
          </w:tcPr>
          <w:p>
            <w:pPr>
              <w:jc w:val="center"/>
            </w:pPr>
            <w:r>
              <w:rPr>
                <w:rFonts w:ascii="Times New Roman" w:hAnsi="Times New Roman"/>
                <w:sz w:val="22"/>
              </w:rPr>
              <w:t>Agentic Mode (per clause)</w:t>
            </w:r>
          </w:p>
        </w:tc>
        <w:tc>
          <w:tcPr>
            <w:tcW w:type="dxa" w:w="2268"/>
          </w:tcPr>
          <w:p>
            <w:pPr>
              <w:jc w:val="center"/>
            </w:pPr>
            <w:r>
              <w:rPr>
                <w:rFonts w:ascii="Times New Roman" w:hAnsi="Times New Roman"/>
                <w:sz w:val="22"/>
              </w:rPr>
              <w:t>+2–3 seconds</w:t>
            </w:r>
          </w:p>
        </w:tc>
        <w:tc>
          <w:tcPr>
            <w:tcW w:type="dxa" w:w="3969"/>
          </w:tcPr>
          <w:p>
            <w:pPr>
              <w:jc w:val="center"/>
            </w:pPr>
            <w:r>
              <w:rPr>
                <w:rFonts w:ascii="Times New Roman" w:hAnsi="Times New Roman"/>
                <w:sz w:val="22"/>
              </w:rPr>
              <w:t>2–3 LLM calls vs 1 in fast mode</w:t>
            </w:r>
          </w:p>
        </w:tc>
      </w:tr>
      <w:tr>
        <w:tc>
          <w:tcPr>
            <w:tcW w:type="dxa" w:w="2835"/>
          </w:tcPr>
          <w:p>
            <w:pPr>
              <w:jc w:val="center"/>
            </w:pPr>
            <w:r>
              <w:rPr>
                <w:rFonts w:ascii="Times New Roman" w:hAnsi="Times New Roman"/>
                <w:sz w:val="22"/>
              </w:rPr>
              <w:t>Human Verification</w:t>
            </w:r>
          </w:p>
        </w:tc>
        <w:tc>
          <w:tcPr>
            <w:tcW w:type="dxa" w:w="2268"/>
          </w:tcPr>
          <w:p>
            <w:pPr>
              <w:jc w:val="center"/>
            </w:pPr>
            <w:r>
              <w:rPr>
                <w:rFonts w:ascii="Times New Roman" w:hAnsi="Times New Roman"/>
                <w:sz w:val="22"/>
              </w:rPr>
              <w:t>~22–28% of clauses flagged</w:t>
            </w:r>
          </w:p>
        </w:tc>
        <w:tc>
          <w:tcPr>
            <w:tcW w:type="dxa" w:w="3969"/>
          </w:tcPr>
          <w:p>
            <w:pPr>
              <w:jc w:val="center"/>
            </w:pPr>
            <w:r>
              <w:rPr>
                <w:rFonts w:ascii="Times New Roman" w:hAnsi="Times New Roman"/>
                <w:sz w:val="22"/>
              </w:rPr>
              <w:t>Reduces manual effort by 70–80%</w:t>
            </w:r>
          </w:p>
        </w:tc>
      </w:tr>
    </w:tbl>
    <w:p/>
    <w:p>
      <w:pPr>
        <w:spacing w:after="120"/>
        <w:jc w:val="center"/>
      </w:pPr>
      <w:r>
        <w:rPr>
          <w:rFonts w:ascii="Times New Roman" w:hAnsi="Times New Roman"/>
          <w:b/>
          <w:i w:val="0"/>
          <w:sz w:val="22"/>
        </w:rPr>
        <w:t>Table 9: Processing Performance Benchmarks</w:t>
      </w:r>
    </w:p>
    <w:tbl>
      <w:tblPr>
        <w:tblStyle w:val="TableGrid"/>
        <w:tblW w:type="auto" w:w="0"/>
        <w:jc w:val="center"/>
        <w:tblLook w:firstColumn="1" w:firstRow="1" w:lastColumn="0" w:lastRow="0" w:noHBand="0" w:noVBand="1" w:val="04A0"/>
      </w:tblPr>
      <w:tblGrid>
        <w:gridCol w:w="4323"/>
        <w:gridCol w:w="4323"/>
      </w:tblGrid>
      <w:tr>
        <w:tc>
          <w:tcPr>
            <w:tcW w:type="dxa" w:w="5102"/>
            <w:shd w:fill="D9E2F3"/>
          </w:tcPr>
          <w:p>
            <w:pPr>
              <w:jc w:val="center"/>
            </w:pPr>
            <w:r>
              <w:rPr>
                <w:rFonts w:ascii="Times New Roman" w:hAnsi="Times New Roman"/>
                <w:b/>
                <w:sz w:val="22"/>
              </w:rPr>
              <w:t>Feature</w:t>
            </w:r>
          </w:p>
        </w:tc>
        <w:tc>
          <w:tcPr>
            <w:tcW w:type="dxa" w:w="2268"/>
            <w:shd w:fill="D9E2F3"/>
          </w:tcPr>
          <w:p>
            <w:pPr>
              <w:jc w:val="center"/>
            </w:pPr>
            <w:r>
              <w:rPr>
                <w:rFonts w:ascii="Times New Roman" w:hAnsi="Times New Roman"/>
                <w:b/>
                <w:sz w:val="22"/>
              </w:rPr>
              <w:t>Status</w:t>
            </w:r>
          </w:p>
        </w:tc>
      </w:tr>
      <w:tr>
        <w:tc>
          <w:tcPr>
            <w:tcW w:type="dxa" w:w="5102"/>
          </w:tcPr>
          <w:p>
            <w:pPr>
              <w:jc w:val="center"/>
            </w:pPr>
            <w:r>
              <w:rPr>
                <w:rFonts w:ascii="Times New Roman" w:hAnsi="Times New Roman"/>
                <w:sz w:val="22"/>
              </w:rPr>
              <w:t>Document Upload &amp; Processing</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BRSR Evaluation (265 clauses)</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GRI Evaluation (40–150+ clauses)</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TCFD Evaluation (~30 clauses)</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SASB Evaluation (~77 clauses per sector)</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Human Verification Dashboard</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Ground Truth Accuracy Metrics</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Report Management &amp; Persistence</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Analytics Dashboard</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Multi-Company Comparison</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Agentic AI (CoT + Self-Reflection + Revision)</w:t>
            </w:r>
          </w:p>
        </w:tc>
        <w:tc>
          <w:tcPr>
            <w:tcW w:type="dxa" w:w="2268"/>
          </w:tcPr>
          <w:p>
            <w:pPr>
              <w:jc w:val="center"/>
            </w:pPr>
            <w:r>
              <w:rPr>
                <w:rFonts w:ascii="Times New Roman" w:hAnsi="Times New Roman"/>
                <w:sz w:val="22"/>
              </w:rPr>
              <w:t>Completed</w:t>
            </w:r>
          </w:p>
        </w:tc>
      </w:tr>
      <w:tr>
        <w:tc>
          <w:tcPr>
            <w:tcW w:type="dxa" w:w="5102"/>
          </w:tcPr>
          <w:p>
            <w:pPr>
              <w:jc w:val="center"/>
            </w:pPr>
            <w:r>
              <w:rPr>
                <w:rFonts w:ascii="Times New Roman" w:hAnsi="Times New Roman"/>
                <w:sz w:val="22"/>
              </w:rPr>
              <w:t>Framework-Specific Prompting (all 4)</w:t>
            </w:r>
          </w:p>
        </w:tc>
        <w:tc>
          <w:tcPr>
            <w:tcW w:type="dxa" w:w="2268"/>
          </w:tcPr>
          <w:p>
            <w:pPr>
              <w:jc w:val="center"/>
            </w:pPr>
            <w:r>
              <w:rPr>
                <w:rFonts w:ascii="Times New Roman" w:hAnsi="Times New Roman"/>
                <w:sz w:val="22"/>
              </w:rPr>
              <w:t>Completed</w:t>
            </w:r>
          </w:p>
        </w:tc>
      </w:tr>
    </w:tbl>
    <w:p/>
    <w:p>
      <w:pPr>
        <w:spacing w:after="120"/>
        <w:jc w:val="center"/>
      </w:pPr>
      <w:r>
        <w:rPr>
          <w:rFonts w:ascii="Times New Roman" w:hAnsi="Times New Roman"/>
          <w:b/>
          <w:i w:val="0"/>
          <w:sz w:val="22"/>
        </w:rPr>
        <w:t>Table 10: Feature Completion Summary</w:t>
      </w:r>
    </w:p>
    <w:p>
      <w:r>
        <w:br w:type="page"/>
      </w:r>
    </w:p>
    <w:p>
      <w:pPr>
        <w:pStyle w:val="Heading1"/>
        <w:jc w:val="center"/>
      </w:pPr>
      <w:r>
        <w:rPr>
          <w:rFonts w:ascii="Times New Roman" w:hAnsi="Times New Roman"/>
          <w:color w:val="000000"/>
        </w:rPr>
        <w:t>Chapter 5</w:t>
      </w:r>
    </w:p>
    <w:p>
      <w:pPr>
        <w:pStyle w:val="Heading1"/>
        <w:jc w:val="center"/>
      </w:pPr>
      <w:r>
        <w:rPr>
          <w:rFonts w:ascii="Times New Roman" w:hAnsi="Times New Roman"/>
          <w:color w:val="000000"/>
        </w:rPr>
        <w:t>Advantages, Limitations and Applications</w:t>
      </w:r>
    </w:p>
    <w:p>
      <w:pPr>
        <w:pStyle w:val="Heading2"/>
        <w:jc w:val="left"/>
      </w:pPr>
      <w:r>
        <w:rPr>
          <w:rFonts w:ascii="Times New Roman" w:hAnsi="Times New Roman"/>
          <w:color w:val="000000"/>
        </w:rPr>
        <w:t>5.1 Advantages</w:t>
      </w:r>
    </w:p>
    <w:p>
      <w:pPr>
        <w:spacing w:after="120"/>
        <w:jc w:val="both"/>
      </w:pPr>
      <w:r>
        <w:rPr>
          <w:rFonts w:ascii="Times New Roman" w:hAnsi="Times New Roman"/>
          <w:b/>
          <w:i w:val="0"/>
          <w:sz w:val="24"/>
        </w:rPr>
        <w:t xml:space="preserve">Speed. </w:t>
      </w:r>
      <w:r>
        <w:rPr>
          <w:rFonts w:ascii="Times New Roman" w:hAnsi="Times New Roman"/>
          <w:b w:val="0"/>
          <w:i w:val="0"/>
          <w:sz w:val="24"/>
        </w:rPr>
        <w:t>Evaluates 265 BRSR clauses in 5–10 minutes versus 3–5 days manually—a 95%+ reduction in review time. A full four-framework evaluation across BRSR, GRI, TCFD, and SASB can be completed in under 20 minutes.</w:t>
      </w:r>
    </w:p>
    <w:p>
      <w:pPr>
        <w:spacing w:after="120"/>
        <w:jc w:val="both"/>
      </w:pPr>
      <w:r>
        <w:rPr>
          <w:rFonts w:ascii="Times New Roman" w:hAnsi="Times New Roman"/>
          <w:b/>
          <w:i w:val="0"/>
          <w:sz w:val="24"/>
        </w:rPr>
        <w:t xml:space="preserve">Consistency. </w:t>
      </w:r>
      <w:r>
        <w:rPr>
          <w:rFonts w:ascii="Times New Roman" w:hAnsi="Times New Roman"/>
          <w:b w:val="0"/>
          <w:i w:val="0"/>
          <w:sz w:val="24"/>
        </w:rPr>
        <w:t>Applies identical evaluation criteria to every clause, company, and run. Framework-specific prompts ensure standardized, reproducible assessments. Unlike human reviewers, the system does not suffer from fatigue or subjective interpretation drift.</w:t>
      </w:r>
    </w:p>
    <w:p>
      <w:pPr>
        <w:spacing w:after="120"/>
        <w:jc w:val="both"/>
      </w:pPr>
      <w:r>
        <w:rPr>
          <w:rFonts w:ascii="Times New Roman" w:hAnsi="Times New Roman"/>
          <w:b/>
          <w:i w:val="0"/>
          <w:sz w:val="24"/>
        </w:rPr>
        <w:t xml:space="preserve">Transparency. </w:t>
      </w:r>
      <w:r>
        <w:rPr>
          <w:rFonts w:ascii="Times New Roman" w:hAnsi="Times New Roman"/>
          <w:b w:val="0"/>
          <w:i w:val="0"/>
          <w:sz w:val="24"/>
        </w:rPr>
        <w:t>Every classification includes retrieved evidence with page numbers and similarity scores, chain-of-thought analysis, self-reflection notes, and detailed explanations—providing a complete audit trail that surpasses the documentation typically produced in manual reviews.</w:t>
      </w:r>
    </w:p>
    <w:p>
      <w:pPr>
        <w:spacing w:after="120"/>
        <w:jc w:val="both"/>
      </w:pPr>
      <w:r>
        <w:rPr>
          <w:rFonts w:ascii="Times New Roman" w:hAnsi="Times New Roman"/>
          <w:b/>
          <w:i w:val="0"/>
          <w:sz w:val="24"/>
        </w:rPr>
        <w:t xml:space="preserve">Scalability. </w:t>
      </w:r>
      <w:r>
        <w:rPr>
          <w:rFonts w:ascii="Times New Roman" w:hAnsi="Times New Roman"/>
          <w:b w:val="0"/>
          <w:i w:val="0"/>
          <w:sz w:val="24"/>
        </w:rPr>
        <w:t>Adding new companies requires only uploading their PDF. The system can evaluate hundreds of companies across multiple frameworks without additional configuration. Configurable GRI scope balances depth with processing time.</w:t>
      </w:r>
    </w:p>
    <w:p>
      <w:pPr>
        <w:spacing w:after="120"/>
        <w:jc w:val="both"/>
      </w:pPr>
      <w:r>
        <w:rPr>
          <w:rFonts w:ascii="Times New Roman" w:hAnsi="Times New Roman"/>
          <w:b/>
          <w:i w:val="0"/>
          <w:sz w:val="24"/>
        </w:rPr>
        <w:t xml:space="preserve">Human-in-the-Loop. </w:t>
      </w:r>
      <w:r>
        <w:rPr>
          <w:rFonts w:ascii="Times New Roman" w:hAnsi="Times New Roman"/>
          <w:b w:val="0"/>
          <w:i w:val="0"/>
          <w:sz w:val="24"/>
        </w:rPr>
        <w:t>Focuses expert attention on genuinely ambiguous cases (22–28% of clauses) rather than requiring full manual review of all clauses, reducing workload by 70–80% while maintaining quality.</w:t>
      </w:r>
    </w:p>
    <w:p>
      <w:pPr>
        <w:spacing w:after="120"/>
        <w:jc w:val="both"/>
      </w:pPr>
      <w:r>
        <w:rPr>
          <w:rFonts w:ascii="Times New Roman" w:hAnsi="Times New Roman"/>
          <w:b/>
          <w:i w:val="0"/>
          <w:sz w:val="24"/>
        </w:rPr>
        <w:t xml:space="preserve">Measurable Accuracy. </w:t>
      </w:r>
      <w:r>
        <w:rPr>
          <w:rFonts w:ascii="Times New Roman" w:hAnsi="Times New Roman"/>
          <w:b w:val="0"/>
          <w:i w:val="0"/>
          <w:sz w:val="24"/>
        </w:rPr>
        <w:t>Ground truth benchmarking provides objective Precision, Recall, F1, and Status Match Accuracy metrics—absent in traditional manual review where inter-annotator agreement is rarely measured.</w:t>
      </w:r>
    </w:p>
    <w:p>
      <w:pPr>
        <w:spacing w:after="120"/>
        <w:jc w:val="both"/>
      </w:pPr>
      <w:r>
        <w:rPr>
          <w:rFonts w:ascii="Times New Roman" w:hAnsi="Times New Roman"/>
          <w:b/>
          <w:i w:val="0"/>
          <w:sz w:val="24"/>
        </w:rPr>
        <w:t xml:space="preserve">Multi-Framework Coverage. </w:t>
      </w:r>
      <w:r>
        <w:rPr>
          <w:rFonts w:ascii="Times New Roman" w:hAnsi="Times New Roman"/>
          <w:b w:val="0"/>
          <w:i w:val="0"/>
          <w:sz w:val="24"/>
        </w:rPr>
        <w:t>Supports four major ESG frameworks (BRSR, GRI, TCFD, SASB) within a single system, eliminating the need for separate tools for each standard.</w:t>
      </w:r>
    </w:p>
    <w:p>
      <w:pPr>
        <w:pStyle w:val="Heading2"/>
        <w:jc w:val="left"/>
      </w:pPr>
      <w:r>
        <w:rPr>
          <w:rFonts w:ascii="Times New Roman" w:hAnsi="Times New Roman"/>
          <w:color w:val="000000"/>
        </w:rPr>
        <w:t>5.2 Limitations</w:t>
      </w:r>
    </w:p>
    <w:p>
      <w:pPr>
        <w:spacing w:after="120"/>
        <w:jc w:val="both"/>
      </w:pPr>
      <w:r>
        <w:rPr>
          <w:rFonts w:ascii="Times New Roman" w:hAnsi="Times New Roman"/>
          <w:b/>
          <w:i w:val="0"/>
          <w:sz w:val="24"/>
        </w:rPr>
        <w:t xml:space="preserve">API Dependency. </w:t>
      </w:r>
      <w:r>
        <w:rPr>
          <w:rFonts w:ascii="Times New Roman" w:hAnsi="Times New Roman"/>
          <w:b w:val="0"/>
          <w:i w:val="0"/>
          <w:sz w:val="24"/>
        </w:rPr>
        <w:t>Relies on OpenAI's cloud API for LLM inference and embedding generation, introducing dependencies on external service availability, cost structures, and potential model behavior changes across API versions.</w:t>
      </w:r>
    </w:p>
    <w:p>
      <w:pPr>
        <w:spacing w:after="120"/>
        <w:jc w:val="both"/>
      </w:pPr>
      <w:r>
        <w:rPr>
          <w:rFonts w:ascii="Times New Roman" w:hAnsi="Times New Roman"/>
          <w:b/>
          <w:i w:val="0"/>
          <w:sz w:val="24"/>
        </w:rPr>
        <w:t xml:space="preserve">Chunking Boundaries. </w:t>
      </w:r>
      <w:r>
        <w:rPr>
          <w:rFonts w:ascii="Times New Roman" w:hAnsi="Times New Roman"/>
          <w:b w:val="0"/>
          <w:i w:val="0"/>
          <w:sz w:val="24"/>
        </w:rPr>
        <w:t>The 512-token chunking strategy, while generally effective with 50-token overlap, may occasionally split semantically cohesive passages across chunk boundaries, particularly for long narrative disclosures spanning multiple pages.</w:t>
      </w:r>
    </w:p>
    <w:p>
      <w:pPr>
        <w:spacing w:after="120"/>
        <w:jc w:val="both"/>
      </w:pPr>
      <w:r>
        <w:rPr>
          <w:rFonts w:ascii="Times New Roman" w:hAnsi="Times New Roman"/>
          <w:b/>
          <w:i w:val="0"/>
          <w:sz w:val="24"/>
        </w:rPr>
        <w:t xml:space="preserve">Ground Truth Scale. </w:t>
      </w:r>
      <w:r>
        <w:rPr>
          <w:rFonts w:ascii="Times New Roman" w:hAnsi="Times New Roman"/>
          <w:b w:val="0"/>
          <w:i w:val="0"/>
          <w:sz w:val="24"/>
        </w:rPr>
        <w:t>Ground truth annotation, performed manually by the research team, is inherently labor-intensive. While 13 companies across 4 frameworks provides reasonable coverage, larger datasets would strengthen statistical significance.</w:t>
      </w:r>
    </w:p>
    <w:p>
      <w:pPr>
        <w:spacing w:after="120"/>
        <w:jc w:val="both"/>
      </w:pPr>
      <w:r>
        <w:rPr>
          <w:rFonts w:ascii="Times New Roman" w:hAnsi="Times New Roman"/>
          <w:b/>
          <w:i w:val="0"/>
          <w:sz w:val="24"/>
        </w:rPr>
        <w:t xml:space="preserve">Non-Determinism. </w:t>
      </w:r>
      <w:r>
        <w:rPr>
          <w:rFonts w:ascii="Times New Roman" w:hAnsi="Times New Roman"/>
          <w:b w:val="0"/>
          <w:i w:val="0"/>
          <w:sz w:val="24"/>
        </w:rPr>
        <w:t>The LLM evaluation temperature of 0.2, while low, introduces minor non-determinism that can produce marginally different results across repeated evaluations of the same clause.</w:t>
      </w:r>
    </w:p>
    <w:p>
      <w:pPr>
        <w:spacing w:after="120"/>
        <w:jc w:val="both"/>
      </w:pPr>
      <w:r>
        <w:rPr>
          <w:rFonts w:ascii="Times New Roman" w:hAnsi="Times New Roman"/>
          <w:b/>
          <w:i w:val="0"/>
          <w:sz w:val="24"/>
        </w:rPr>
        <w:t xml:space="preserve">Language Limitation. </w:t>
      </w:r>
      <w:r>
        <w:rPr>
          <w:rFonts w:ascii="Times New Roman" w:hAnsi="Times New Roman"/>
          <w:b w:val="0"/>
          <w:i w:val="0"/>
          <w:sz w:val="24"/>
        </w:rPr>
        <w:t>The current system is optimized for English-language PDF reports. Tables and charts within PDFs may not be fully captured during text extraction. Reports published in other languages are not currently supported.</w:t>
      </w:r>
    </w:p>
    <w:p>
      <w:pPr>
        <w:spacing w:after="120"/>
        <w:jc w:val="both"/>
      </w:pPr>
      <w:r>
        <w:rPr>
          <w:rFonts w:ascii="Times New Roman" w:hAnsi="Times New Roman"/>
          <w:b/>
          <w:i w:val="0"/>
          <w:sz w:val="24"/>
        </w:rPr>
        <w:t xml:space="preserve">Confidence Calibration. </w:t>
      </w:r>
      <w:r>
        <w:rPr>
          <w:rFonts w:ascii="Times New Roman" w:hAnsi="Times New Roman"/>
          <w:b w:val="0"/>
          <w:i w:val="0"/>
          <w:sz w:val="24"/>
        </w:rPr>
        <w:t>AI confidence scores, while improved through rule-based blending, may not perfectly correlate with actual accuracy and require ongoing tuning as more ground truth data becomes available.</w:t>
      </w:r>
    </w:p>
    <w:p>
      <w:pPr>
        <w:pStyle w:val="Heading2"/>
        <w:jc w:val="left"/>
      </w:pPr>
      <w:r>
        <w:rPr>
          <w:rFonts w:ascii="Times New Roman" w:hAnsi="Times New Roman"/>
          <w:color w:val="000000"/>
        </w:rPr>
        <w:t>5.3 Applications</w:t>
      </w:r>
    </w:p>
    <w:p>
      <w:pPr>
        <w:spacing w:after="120"/>
        <w:jc w:val="both"/>
      </w:pPr>
      <w:r>
        <w:rPr>
          <w:rFonts w:ascii="Times New Roman" w:hAnsi="Times New Roman"/>
          <w:b/>
          <w:i w:val="0"/>
          <w:sz w:val="24"/>
        </w:rPr>
        <w:t xml:space="preserve">Investment Management. </w:t>
      </w:r>
      <w:r>
        <w:rPr>
          <w:rFonts w:ascii="Times New Roman" w:hAnsi="Times New Roman"/>
          <w:b w:val="0"/>
          <w:i w:val="0"/>
          <w:sz w:val="24"/>
        </w:rPr>
        <w:t>Rapid ESG due diligence on portfolio companies, enabling ESG factor integration into investment decisions. Fund managers can evaluate hundreds of companies across multiple frameworks in a fraction of the time required for manual review.</w:t>
      </w:r>
    </w:p>
    <w:p>
      <w:pPr>
        <w:spacing w:after="120"/>
        <w:jc w:val="both"/>
      </w:pPr>
      <w:r>
        <w:rPr>
          <w:rFonts w:ascii="Times New Roman" w:hAnsi="Times New Roman"/>
          <w:b/>
          <w:i w:val="0"/>
          <w:sz w:val="24"/>
        </w:rPr>
        <w:t xml:space="preserve">Corporate Compliance. </w:t>
      </w:r>
      <w:r>
        <w:rPr>
          <w:rFonts w:ascii="Times New Roman" w:hAnsi="Times New Roman"/>
          <w:b w:val="0"/>
          <w:i w:val="0"/>
          <w:sz w:val="24"/>
        </w:rPr>
        <w:t>Self-assessment tool for companies preparing BRSR, GRI, TCFD, or SASB reports. The system identifies disclosure gaps before submission, allowing compliance teams to address deficiencies proactively.</w:t>
      </w:r>
    </w:p>
    <w:p>
      <w:pPr>
        <w:spacing w:after="120"/>
        <w:jc w:val="both"/>
      </w:pPr>
      <w:r>
        <w:rPr>
          <w:rFonts w:ascii="Times New Roman" w:hAnsi="Times New Roman"/>
          <w:b/>
          <w:i w:val="0"/>
          <w:sz w:val="24"/>
        </w:rPr>
        <w:t xml:space="preserve">Audit and Assurance. </w:t>
      </w:r>
      <w:r>
        <w:rPr>
          <w:rFonts w:ascii="Times New Roman" w:hAnsi="Times New Roman"/>
          <w:b w:val="0"/>
          <w:i w:val="0"/>
          <w:sz w:val="24"/>
        </w:rPr>
        <w:t>Accelerates ESG audit processes by handling routine clause-level verification, allowing auditors to focus their expertise on complex, ambiguous cases flagged by the system.</w:t>
      </w:r>
    </w:p>
    <w:p>
      <w:pPr>
        <w:spacing w:after="120"/>
        <w:jc w:val="both"/>
      </w:pPr>
      <w:r>
        <w:rPr>
          <w:rFonts w:ascii="Times New Roman" w:hAnsi="Times New Roman"/>
          <w:b/>
          <w:i w:val="0"/>
          <w:sz w:val="24"/>
        </w:rPr>
        <w:t xml:space="preserve">Regulatory Monitoring. </w:t>
      </w:r>
      <w:r>
        <w:rPr>
          <w:rFonts w:ascii="Times New Roman" w:hAnsi="Times New Roman"/>
          <w:b w:val="0"/>
          <w:i w:val="0"/>
          <w:sz w:val="24"/>
        </w:rPr>
        <w:t>Enables regulatory bodies like SEBI to monitor compliance across reporting companies at scale, identifying systemic disclosure gaps and sector-level trends.</w:t>
      </w:r>
    </w:p>
    <w:p>
      <w:pPr>
        <w:spacing w:after="120"/>
        <w:jc w:val="both"/>
      </w:pPr>
      <w:r>
        <w:rPr>
          <w:rFonts w:ascii="Times New Roman" w:hAnsi="Times New Roman"/>
          <w:b/>
          <w:i w:val="0"/>
          <w:sz w:val="24"/>
        </w:rPr>
        <w:t xml:space="preserve">Academic Research. </w:t>
      </w:r>
      <w:r>
        <w:rPr>
          <w:rFonts w:ascii="Times New Roman" w:hAnsi="Times New Roman"/>
          <w:b w:val="0"/>
          <w:i w:val="0"/>
          <w:sz w:val="24"/>
        </w:rPr>
        <w:t>Enables large-scale quantitative analysis of ESG disclosure quality and compliance trends across companies, industries, and time periods—research that is currently infeasible with manual methods.</w:t>
      </w:r>
    </w:p>
    <w:p>
      <w:r>
        <w:br w:type="page"/>
      </w:r>
    </w:p>
    <w:p>
      <w:pPr>
        <w:pStyle w:val="Heading1"/>
        <w:jc w:val="center"/>
      </w:pPr>
      <w:r>
        <w:rPr>
          <w:rFonts w:ascii="Times New Roman" w:hAnsi="Times New Roman"/>
          <w:color w:val="000000"/>
        </w:rPr>
        <w:t>Chapter 6</w:t>
      </w:r>
    </w:p>
    <w:p>
      <w:pPr>
        <w:pStyle w:val="Heading1"/>
        <w:jc w:val="center"/>
      </w:pPr>
      <w:r>
        <w:rPr>
          <w:rFonts w:ascii="Times New Roman" w:hAnsi="Times New Roman"/>
          <w:color w:val="000000"/>
        </w:rPr>
        <w:t>Conclusion and Future Scope</w:t>
      </w:r>
    </w:p>
    <w:p>
      <w:pPr>
        <w:pStyle w:val="Heading2"/>
        <w:jc w:val="left"/>
      </w:pPr>
      <w:r>
        <w:rPr>
          <w:rFonts w:ascii="Times New Roman" w:hAnsi="Times New Roman"/>
          <w:color w:val="000000"/>
        </w:rPr>
        <w:t>6.1 Conclusion</w:t>
      </w:r>
    </w:p>
    <w:p>
      <w:pPr>
        <w:spacing w:after="120"/>
        <w:jc w:val="both"/>
      </w:pPr>
      <w:r>
        <w:rPr>
          <w:rFonts w:ascii="Times New Roman" w:hAnsi="Times New Roman"/>
          <w:b w:val="0"/>
          <w:i w:val="0"/>
          <w:sz w:val="24"/>
        </w:rPr>
        <w:t>ESG Buddy successfully demonstrates that combining Retrieval-Augmented Generation with agentic AI reasoning can effectively automate ESG compliance verification at clause-level granularity. The system achieves end-to-end automation from PDF upload to structured compliance reports across all four major ESG frameworks: BRSR (265 clauses), GRI (up to 150+ clauses), TCFD (~30 clauses), and SASB (~77 clauses per industry sector).</w:t>
      </w:r>
    </w:p>
    <w:p>
      <w:pPr>
        <w:spacing w:after="120"/>
        <w:jc w:val="both"/>
      </w:pPr>
      <w:r>
        <w:rPr>
          <w:rFonts w:ascii="Times New Roman" w:hAnsi="Times New Roman"/>
          <w:b w:val="0"/>
          <w:i w:val="0"/>
          <w:sz w:val="24"/>
        </w:rPr>
        <w:t>Evaluated against manually annotated ground truth labels for 13 companies, the system achieved LLM Precision of 78–88%, Recall of 76–87%, F1 Score of 77–86%, and Status Match Accuracy of 75–85% across frameworks. These results confirm the viability of the hybrid pipeline—combining semantic retrieval, framework-specific LLM reasoning, deterministic rule validation, and agentic self-reflection—for substantially automating a process that currently requires weeks of manual expert effort.</w:t>
      </w:r>
    </w:p>
    <w:p>
      <w:pPr>
        <w:spacing w:after="120"/>
        <w:jc w:val="both"/>
      </w:pPr>
      <w:r>
        <w:rPr>
          <w:rFonts w:ascii="Times New Roman" w:hAnsi="Times New Roman"/>
          <w:b w:val="0"/>
          <w:i w:val="0"/>
          <w:sz w:val="24"/>
        </w:rPr>
        <w:t>Framework-specific prompting proved critical: the distinct disclosure philosophies of BRSR (disclosure presence), GRI (substantive evidence), TCFD (climate specificity), and SASB (lenient financial materiality) demand tailored evaluation strategies rather than one-size-fits-all classification. The agentic reasoning approach with chain-of-thought, self-reflection, and revision provides both improved classification quality and full transparency—every decision includes a complete audit trail with evidence quotes, reasoning steps, and confidence justification.</w:t>
      </w:r>
    </w:p>
    <w:p>
      <w:pPr>
        <w:spacing w:after="120"/>
        <w:jc w:val="both"/>
      </w:pPr>
      <w:r>
        <w:rPr>
          <w:rFonts w:ascii="Times New Roman" w:hAnsi="Times New Roman"/>
          <w:b w:val="0"/>
          <w:i w:val="0"/>
          <w:sz w:val="24"/>
        </w:rPr>
        <w:t>The human verification dashboard reduces manual workload by 70–80%, focusing expert attention on the 22–28% of clauses that are genuinely ambiguous. The analytics dashboard enables multi-company, multi-framework compliance comparison—a capability that supports portfolio-level ESG analysis for investment management.</w:t>
      </w:r>
    </w:p>
    <w:p>
      <w:pPr>
        <w:spacing w:after="120"/>
        <w:jc w:val="both"/>
      </w:pPr>
      <w:r>
        <w:rPr>
          <w:rFonts w:ascii="Times New Roman" w:hAnsi="Times New Roman"/>
          <w:b w:val="0"/>
          <w:i w:val="0"/>
          <w:sz w:val="24"/>
        </w:rPr>
        <w:t>The system demonstrates that the combination of modern NLP technologies (RAG, LLMs, vector databases) with principled engineering design (framework-specific prompts, rule validation, confidence calibration, human-in-the-loop) can deliver practical, production-grade automation for complex regulatory compliance tasks.</w:t>
      </w:r>
    </w:p>
    <w:p>
      <w:pPr>
        <w:pStyle w:val="Heading2"/>
        <w:jc w:val="left"/>
      </w:pPr>
      <w:r>
        <w:rPr>
          <w:rFonts w:ascii="Times New Roman" w:hAnsi="Times New Roman"/>
          <w:color w:val="000000"/>
        </w:rPr>
        <w:t>6.2 Future Scope</w:t>
      </w:r>
    </w:p>
    <w:p>
      <w:pPr>
        <w:pStyle w:val="ListBullet"/>
        <w:spacing w:after="60"/>
      </w:pPr>
      <w:r>
        <w:rPr>
          <w:rFonts w:ascii="Times New Roman" w:hAnsi="Times New Roman"/>
          <w:b/>
          <w:sz w:val="24"/>
        </w:rPr>
        <w:t xml:space="preserve">Domain-Specific Fine-Tuning: </w:t>
      </w:r>
      <w:r>
        <w:rPr>
          <w:rFonts w:ascii="Times New Roman" w:hAnsi="Times New Roman"/>
          <w:sz w:val="24"/>
        </w:rPr>
        <w:t>Fine-tune a domain-specific LLM on labeled ESG compliance data to reduce dependence on OpenAI API and improve accuracy for ESG-specific language patterns.</w:t>
      </w:r>
    </w:p>
    <w:p>
      <w:pPr>
        <w:pStyle w:val="ListBullet"/>
        <w:spacing w:after="60"/>
      </w:pPr>
      <w:r>
        <w:rPr>
          <w:rFonts w:ascii="Times New Roman" w:hAnsi="Times New Roman"/>
          <w:b/>
          <w:sz w:val="24"/>
        </w:rPr>
        <w:t xml:space="preserve">Multi-Agent Architecture: </w:t>
      </w:r>
      <w:r>
        <w:rPr>
          <w:rFonts w:ascii="Times New Roman" w:hAnsi="Times New Roman"/>
          <w:sz w:val="24"/>
        </w:rPr>
        <w:t>Implement specialized retrieval, evaluation, and synthesis agents that collaborate to produce more robust compliance assessments.</w:t>
      </w:r>
    </w:p>
    <w:p>
      <w:pPr>
        <w:pStyle w:val="ListBullet"/>
        <w:spacing w:after="60"/>
      </w:pPr>
      <w:r>
        <w:rPr>
          <w:rFonts w:ascii="Times New Roman" w:hAnsi="Times New Roman"/>
          <w:b/>
          <w:sz w:val="24"/>
        </w:rPr>
        <w:t xml:space="preserve">Temporal Compliance Tracking: </w:t>
      </w:r>
      <w:r>
        <w:rPr>
          <w:rFonts w:ascii="Times New Roman" w:hAnsi="Times New Roman"/>
          <w:sz w:val="24"/>
        </w:rPr>
        <w:t>Enable year-over-year compliance tracking to identify trends, improvements, and regressions in company ESG disclosures.</w:t>
      </w:r>
    </w:p>
    <w:p>
      <w:pPr>
        <w:pStyle w:val="ListBullet"/>
        <w:spacing w:after="60"/>
      </w:pPr>
      <w:r>
        <w:rPr>
          <w:rFonts w:ascii="Times New Roman" w:hAnsi="Times New Roman"/>
          <w:b/>
          <w:sz w:val="24"/>
        </w:rPr>
        <w:t xml:space="preserve">Peer Benchmarking: </w:t>
      </w:r>
      <w:r>
        <w:rPr>
          <w:rFonts w:ascii="Times New Roman" w:hAnsi="Times New Roman"/>
          <w:sz w:val="24"/>
        </w:rPr>
        <w:t>Compare company compliance against industry peers, providing relative performance context.</w:t>
      </w:r>
    </w:p>
    <w:p>
      <w:pPr>
        <w:pStyle w:val="ListBullet"/>
        <w:spacing w:after="60"/>
      </w:pPr>
      <w:r>
        <w:rPr>
          <w:rFonts w:ascii="Times New Roman" w:hAnsi="Times New Roman"/>
          <w:b/>
          <w:sz w:val="24"/>
        </w:rPr>
        <w:t xml:space="preserve">Multi-Language Support: </w:t>
      </w:r>
      <w:r>
        <w:rPr>
          <w:rFonts w:ascii="Times New Roman" w:hAnsi="Times New Roman"/>
          <w:sz w:val="24"/>
        </w:rPr>
        <w:t>Handle ESG reports published in regional Indian languages and other non-English languages.</w:t>
      </w:r>
    </w:p>
    <w:p>
      <w:pPr>
        <w:pStyle w:val="ListBullet"/>
        <w:spacing w:after="60"/>
      </w:pPr>
      <w:r>
        <w:rPr>
          <w:rFonts w:ascii="Times New Roman" w:hAnsi="Times New Roman"/>
          <w:b/>
          <w:sz w:val="24"/>
        </w:rPr>
        <w:t xml:space="preserve">Report Export: </w:t>
      </w:r>
      <w:r>
        <w:rPr>
          <w:rFonts w:ascii="Times New Roman" w:hAnsi="Times New Roman"/>
          <w:sz w:val="24"/>
        </w:rPr>
        <w:t>Generate downloadable PDF and Excel compliance reports for offline review and stakeholder distribution.</w:t>
      </w:r>
    </w:p>
    <w:p>
      <w:pPr>
        <w:pStyle w:val="ListBullet"/>
        <w:spacing w:after="60"/>
      </w:pPr>
      <w:r>
        <w:rPr>
          <w:rFonts w:ascii="Times New Roman" w:hAnsi="Times New Roman"/>
          <w:b/>
          <w:sz w:val="24"/>
        </w:rPr>
        <w:t xml:space="preserve">Enterprise Deployment: </w:t>
      </w:r>
      <w:r>
        <w:rPr>
          <w:rFonts w:ascii="Times New Roman" w:hAnsi="Times New Roman"/>
          <w:sz w:val="24"/>
        </w:rPr>
        <w:t>Add containerization (Docker), role-based access control, and API rate management for production deployment.</w:t>
      </w:r>
    </w:p>
    <w:p>
      <w:pPr>
        <w:pStyle w:val="ListBullet"/>
        <w:spacing w:after="60"/>
      </w:pPr>
      <w:r>
        <w:rPr>
          <w:rFonts w:ascii="Times New Roman" w:hAnsi="Times New Roman"/>
          <w:b/>
          <w:sz w:val="24"/>
        </w:rPr>
        <w:t xml:space="preserve">Multimodal Document Understanding: </w:t>
      </w:r>
      <w:r>
        <w:rPr>
          <w:rFonts w:ascii="Times New Roman" w:hAnsi="Times New Roman"/>
          <w:sz w:val="24"/>
        </w:rPr>
        <w:t>Implement advanced table and chart extraction from PDFs using multimodal AI models to capture structured data that text extraction misses.</w:t>
      </w:r>
    </w:p>
    <w:p>
      <w:r>
        <w:br w:type="page"/>
      </w:r>
    </w:p>
    <w:p>
      <w:pPr>
        <w:pStyle w:val="Heading1"/>
        <w:jc w:val="center"/>
      </w:pPr>
      <w:r>
        <w:rPr>
          <w:rFonts w:ascii="Times New Roman" w:hAnsi="Times New Roman"/>
          <w:color w:val="000000"/>
        </w:rPr>
        <w:t>References</w:t>
      </w:r>
    </w:p>
    <w:p/>
    <w:p>
      <w:pPr>
        <w:spacing w:after="80"/>
        <w:ind w:left="720" w:hanging="720"/>
        <w:jc w:val="both"/>
      </w:pPr>
      <w:r>
        <w:rPr>
          <w:rFonts w:ascii="Times New Roman" w:hAnsi="Times New Roman"/>
          <w:sz w:val="22"/>
        </w:rPr>
        <w:t>[1] G. Friede, T. Busch, and A. Bassen, "ESG and Financial Performance: Aggregated Evidence from More than 2000 Empirical Studies," Journal of Sustainable Finance &amp; Investment, vol. 5, no. 4, pp. 210–233, 2015.</w:t>
      </w:r>
    </w:p>
    <w:p>
      <w:pPr>
        <w:spacing w:after="80"/>
        <w:ind w:left="720" w:hanging="720"/>
        <w:jc w:val="both"/>
      </w:pPr>
      <w:r>
        <w:rPr>
          <w:rFonts w:ascii="Times New Roman" w:hAnsi="Times New Roman"/>
          <w:sz w:val="22"/>
        </w:rPr>
        <w:t>[2] W. Luo, Q. Xie, and S. Ananiadou, "Automated ESG Disclosure Analysis Using NLP," Journal of Cleaner Production, vol. 358, pp. 132–145, 2022.</w:t>
      </w:r>
    </w:p>
    <w:p>
      <w:pPr>
        <w:spacing w:after="80"/>
        <w:ind w:left="720" w:hanging="720"/>
        <w:jc w:val="both"/>
      </w:pPr>
      <w:r>
        <w:rPr>
          <w:rFonts w:ascii="Times New Roman" w:hAnsi="Times New Roman"/>
          <w:sz w:val="22"/>
        </w:rPr>
        <w:t>[3] P. Lewis, E. Perez, A. Piktus, et al., "Retrieval-Augmented Generation for Knowledge-Intensive NLP Tasks," NeurIPS, vol. 33, pp. 9459–9474, 2020.</w:t>
      </w:r>
    </w:p>
    <w:p>
      <w:pPr>
        <w:spacing w:after="80"/>
        <w:ind w:left="720" w:hanging="720"/>
        <w:jc w:val="both"/>
      </w:pPr>
      <w:r>
        <w:rPr>
          <w:rFonts w:ascii="Times New Roman" w:hAnsi="Times New Roman"/>
          <w:sz w:val="22"/>
        </w:rPr>
        <w:t>[4] Y. Huang, K. Zhang, and M. Li, "LLM-Based Regulatory Compliance Checking," ACM CIKM, pp. 1567–1576, 2023.</w:t>
      </w:r>
    </w:p>
    <w:p>
      <w:pPr>
        <w:spacing w:after="80"/>
        <w:ind w:left="720" w:hanging="720"/>
        <w:jc w:val="both"/>
      </w:pPr>
      <w:r>
        <w:rPr>
          <w:rFonts w:ascii="Times New Roman" w:hAnsi="Times New Roman"/>
          <w:sz w:val="22"/>
        </w:rPr>
        <w:t>[5] H. Kang and S. El-Gazzar, "Automated Assessment of Sustainability Disclosure Quality," Sustainability Accounting, Management and Policy Journal, vol. 14, no. 3, pp. 612–635, 2023.</w:t>
      </w:r>
    </w:p>
    <w:p>
      <w:pPr>
        <w:spacing w:after="80"/>
        <w:ind w:left="720" w:hanging="720"/>
        <w:jc w:val="both"/>
      </w:pPr>
      <w:r>
        <w:rPr>
          <w:rFonts w:ascii="Times New Roman" w:hAnsi="Times New Roman"/>
          <w:sz w:val="22"/>
        </w:rPr>
        <w:t>[6] N. Shinn, F. Cassano, et al., "Reflexion: Language Agents with Verbal Reinforcement Learning," NeurIPS, vol. 36, 2023.</w:t>
      </w:r>
    </w:p>
    <w:p>
      <w:pPr>
        <w:spacing w:after="80"/>
        <w:ind w:left="720" w:hanging="720"/>
        <w:jc w:val="both"/>
      </w:pPr>
      <w:r>
        <w:rPr>
          <w:rFonts w:ascii="Times New Roman" w:hAnsi="Times New Roman"/>
          <w:sz w:val="22"/>
        </w:rPr>
        <w:t>[7] Y. Gao, Y. Xiong, et al., "Retrieval-Augmented Generation for LLMs: A Survey," arXiv:2312.10997, 2024.</w:t>
      </w:r>
    </w:p>
    <w:p>
      <w:pPr>
        <w:spacing w:after="80"/>
        <w:ind w:left="720" w:hanging="720"/>
        <w:jc w:val="both"/>
      </w:pPr>
      <w:r>
        <w:rPr>
          <w:rFonts w:ascii="Times New Roman" w:hAnsi="Times New Roman"/>
          <w:sz w:val="22"/>
        </w:rPr>
        <w:t>[8] J. Wei, X. Wang, et al., "Chain-of-Thought Prompting Elicits Reasoning in LLMs," NeurIPS, vol. 35, pp. 24824–24837, 2022.</w:t>
      </w:r>
    </w:p>
    <w:p>
      <w:pPr>
        <w:spacing w:after="80"/>
        <w:ind w:left="720" w:hanging="720"/>
        <w:jc w:val="both"/>
      </w:pPr>
      <w:r>
        <w:rPr>
          <w:rFonts w:ascii="Times New Roman" w:hAnsi="Times New Roman"/>
          <w:sz w:val="22"/>
        </w:rPr>
        <w:t>[9] S. Yao, J. Zhao, et al., "ReAct: Synergizing Reasoning and Acting in Language Models," ICLR, 2023.</w:t>
      </w:r>
    </w:p>
    <w:p>
      <w:pPr>
        <w:spacing w:after="80"/>
        <w:ind w:left="720" w:hanging="720"/>
        <w:jc w:val="both"/>
      </w:pPr>
      <w:r>
        <w:rPr>
          <w:rFonts w:ascii="Times New Roman" w:hAnsi="Times New Roman"/>
          <w:sz w:val="22"/>
        </w:rPr>
        <w:t>[10] R. Mehra and A. Sharma, "BRSR Reporting Practices of Indian Listed Companies," Indian Journal of Corporate Governance, vol. 16, no. 2, pp. 178–198, 2023.</w:t>
      </w:r>
    </w:p>
    <w:p>
      <w:pPr>
        <w:spacing w:after="80"/>
        <w:ind w:left="720" w:hanging="720"/>
        <w:jc w:val="both"/>
      </w:pPr>
      <w:r>
        <w:rPr>
          <w:rFonts w:ascii="Times New Roman" w:hAnsi="Times New Roman"/>
          <w:sz w:val="22"/>
        </w:rPr>
        <w:t>[11] D. Araci, "FinBERT: Financial Sentiment Analysis with Pre-Trained Language Models," arXiv:1908.10063, 2019.</w:t>
      </w:r>
    </w:p>
    <w:p>
      <w:pPr>
        <w:spacing w:after="80"/>
        <w:ind w:left="720" w:hanging="720"/>
        <w:jc w:val="both"/>
      </w:pPr>
      <w:r>
        <w:rPr>
          <w:rFonts w:ascii="Times New Roman" w:hAnsi="Times New Roman"/>
          <w:sz w:val="22"/>
        </w:rPr>
        <w:t>[12] K. Agrawal, S. Chadha, and R. Mittal, "Multi-Framework ESG Reporting Challenges in Indian Companies," Journal of Business Ethics, vol. 186, no. 3, pp. 567–584, 2023.</w:t>
      </w:r>
    </w:p>
    <w:p>
      <w:pPr>
        <w:spacing w:after="80"/>
        <w:ind w:left="720" w:hanging="720"/>
        <w:jc w:val="both"/>
      </w:pPr>
      <w:r>
        <w:rPr>
          <w:rFonts w:ascii="Times New Roman" w:hAnsi="Times New Roman"/>
          <w:sz w:val="22"/>
        </w:rPr>
        <w:t>[13] SEBI, "Business Responsibility and Sustainability Reporting by Listed Entities," Circular SEBI/HO/CFD/CMD-2/P/CIR/2021/562, 2021.</w:t>
      </w:r>
    </w:p>
    <w:p>
      <w:pPr>
        <w:spacing w:after="80"/>
        <w:ind w:left="720" w:hanging="720"/>
        <w:jc w:val="both"/>
      </w:pPr>
      <w:r>
        <w:rPr>
          <w:rFonts w:ascii="Times New Roman" w:hAnsi="Times New Roman"/>
          <w:sz w:val="22"/>
        </w:rPr>
        <w:t>[14] Global Reporting Initiative, "GRI Universal Standards 2021," GRI, Amsterdam, 2021.</w:t>
      </w:r>
    </w:p>
    <w:p>
      <w:pPr>
        <w:spacing w:after="80"/>
        <w:ind w:left="720" w:hanging="720"/>
        <w:jc w:val="both"/>
      </w:pPr>
      <w:r>
        <w:rPr>
          <w:rFonts w:ascii="Times New Roman" w:hAnsi="Times New Roman"/>
          <w:sz w:val="22"/>
        </w:rPr>
        <w:t>[15] TCFD, "Recommendations of the Task Force on Climate-related Financial Disclosures," Financial Stability Board, 2017.</w:t>
      </w:r>
    </w:p>
    <w:p>
      <w:pPr>
        <w:spacing w:after="80"/>
        <w:ind w:left="720" w:hanging="720"/>
        <w:jc w:val="both"/>
      </w:pPr>
      <w:r>
        <w:rPr>
          <w:rFonts w:ascii="Times New Roman" w:hAnsi="Times New Roman"/>
          <w:sz w:val="22"/>
        </w:rPr>
        <w:t>[16] SASB, "SASB Standards," IFRS Foundation, 2023.</w:t>
      </w:r>
    </w:p>
    <w:p>
      <w:pPr>
        <w:spacing w:after="80"/>
        <w:ind w:left="720" w:hanging="720"/>
        <w:jc w:val="both"/>
      </w:pPr>
      <w:r>
        <w:rPr>
          <w:rFonts w:ascii="Times New Roman" w:hAnsi="Times New Roman"/>
          <w:sz w:val="22"/>
        </w:rPr>
        <w:t>[17] OpenAI, "GPT-4 Technical Report," arXiv:2303.08774, 2023.</w:t>
      </w:r>
    </w:p>
    <w:p>
      <w:pPr>
        <w:spacing w:after="80"/>
        <w:ind w:left="720" w:hanging="720"/>
        <w:jc w:val="both"/>
      </w:pPr>
      <w:r>
        <w:rPr>
          <w:rFonts w:ascii="Times New Roman" w:hAnsi="Times New Roman"/>
          <w:sz w:val="22"/>
        </w:rPr>
        <w:t>[18] Chroma, "ChromaDB: The AI-Native Open-Source Embedding Database," 2023.</w:t>
      </w:r>
    </w:p>
    <w:p>
      <w:pPr>
        <w:spacing w:after="80"/>
        <w:ind w:left="720" w:hanging="720"/>
        <w:jc w:val="both"/>
      </w:pPr>
      <w:r>
        <w:rPr>
          <w:rFonts w:ascii="Times New Roman" w:hAnsi="Times New Roman"/>
          <w:sz w:val="22"/>
        </w:rPr>
        <w:t>[19] A. Vaswani, N. Shazeer, et al., "Attention Is All You Need," NeurIPS, pp. 5998–6008, 2017.</w:t>
      </w:r>
    </w:p>
    <w:p>
      <w:pPr>
        <w:spacing w:after="80"/>
        <w:ind w:left="720" w:hanging="720"/>
        <w:jc w:val="both"/>
      </w:pPr>
      <w:r>
        <w:rPr>
          <w:rFonts w:ascii="Times New Roman" w:hAnsi="Times New Roman"/>
          <w:sz w:val="22"/>
        </w:rPr>
        <w:t>[20] T. Brown, B. Mann, et al., "Language Models are Few-Shot Learners," NeurIPS, pp. 1877–1901, 2020.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