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Units shipped by quarter</w:t>
      </w:r>
    </w:p>
    <w:p>
      <w:r>
        <w:t>Synthetic figures for the chart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Q4</w:t>
            </w:r>
          </w:p>
        </w:tc>
      </w:tr>
      <w:tr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1,350</w:t>
            </w:r>
          </w:p>
        </w:tc>
        <w:tc>
          <w:tcPr>
            <w:tcW w:type="dxa" w:w="1728"/>
          </w:tcPr>
          <w:p>
            <w:r>
              <w:t>1,100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</w:tr>
      <w:tr>
        <w:tc>
          <w:tcPr>
            <w:tcW w:type="dxa" w:w="1728"/>
          </w:tcPr>
          <w:p>
            <w:r>
              <w:t>Bravo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1,020</w:t>
            </w:r>
          </w:p>
        </w:tc>
        <w:tc>
          <w:tcPr>
            <w:tcW w:type="dxa" w:w="1728"/>
          </w:tcPr>
          <w:p>
            <w:r>
              <w:t>1,100</w:t>
            </w:r>
          </w:p>
        </w:tc>
      </w:tr>
      <w:tr>
        <w:tc>
          <w:tcPr>
            <w:tcW w:type="dxa" w:w="1728"/>
          </w:tcPr>
          <w:p>
            <w:r>
              <w:t>Charlie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610</w:t>
            </w:r>
          </w:p>
        </w:tc>
      </w:tr>
      <w:tr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1,420</w:t>
            </w:r>
          </w:p>
        </w:tc>
        <w:tc>
          <w:tcPr>
            <w:tcW w:type="dxa" w:w="1728"/>
          </w:tcPr>
          <w:p>
            <w:r>
              <w:t>1,390</w:t>
            </w:r>
          </w:p>
        </w:tc>
        <w:tc>
          <w:tcPr>
            <w:tcW w:type="dxa" w:w="1728"/>
          </w:tcPr>
          <w:p>
            <w:r>
              <w:t>1,600</w:t>
            </w:r>
          </w:p>
        </w:tc>
      </w:tr>
      <w:tr>
        <w:tc>
          <w:tcPr>
            <w:tcW w:type="dxa" w:w="1728"/>
          </w:tcPr>
          <w:p>
            <w:r>
              <w:t>Echo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