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BDB1" w14:textId="77777777" w:rsidR="003B0F55" w:rsidRDefault="003B0F55">
      <w:pPr>
        <w:spacing w:before="400"/>
      </w:pPr>
    </w:p>
    <w:p w14:paraId="13A206B5" w14:textId="77777777" w:rsidR="003B0F55" w:rsidRDefault="00000000">
      <w:pPr>
        <w:spacing w:after="120"/>
        <w:jc w:val="center"/>
      </w:pPr>
      <w:r>
        <w:rPr>
          <w:b/>
          <w:bCs/>
          <w:color w:val="1F3864"/>
          <w:sz w:val="52"/>
          <w:szCs w:val="52"/>
        </w:rPr>
        <w:t>SOLAR POWER FORECASTING</w:t>
      </w:r>
    </w:p>
    <w:p w14:paraId="49E80FFE" w14:textId="77777777" w:rsidR="003B0F55" w:rsidRDefault="00000000">
      <w:pPr>
        <w:spacing w:after="80"/>
        <w:jc w:val="center"/>
      </w:pPr>
      <w:r>
        <w:rPr>
          <w:color w:val="2E75B6"/>
          <w:sz w:val="30"/>
          <w:szCs w:val="30"/>
        </w:rPr>
        <w:t>Machine Learning Project Report</w:t>
      </w:r>
    </w:p>
    <w:p w14:paraId="66BA4CA0" w14:textId="77777777" w:rsidR="003B0F55" w:rsidRDefault="003B0F55">
      <w:pPr>
        <w:pBdr>
          <w:bottom w:val="single" w:sz="12" w:space="8" w:color="2E75B6"/>
        </w:pBdr>
        <w:spacing w:after="240"/>
        <w:jc w:val="center"/>
      </w:pPr>
    </w:p>
    <w:p w14:paraId="3A0F5024" w14:textId="3FE64ABC" w:rsidR="003B0F55" w:rsidRDefault="00192A92" w:rsidP="00B661C0">
      <w:pPr>
        <w:spacing w:before="600"/>
      </w:pPr>
      <w:r w:rsidRPr="00192A92">
        <w:rPr>
          <w:b/>
          <w:bCs/>
          <w:color w:val="000000"/>
          <w:sz w:val="40"/>
          <w:szCs w:val="40"/>
        </w:rPr>
        <w:t>Team Members:</w:t>
      </w:r>
      <w:r>
        <w:rPr>
          <w:b/>
          <w:bCs/>
          <w:color w:val="000000"/>
        </w:rPr>
        <w:br/>
      </w:r>
      <w:r>
        <w:rPr>
          <w:b/>
          <w:bCs/>
          <w:color w:val="000000"/>
        </w:rPr>
        <w:br/>
      </w:r>
      <w:r w:rsidRPr="00192A92">
        <w:rPr>
          <w:color w:val="000000"/>
          <w:sz w:val="28"/>
          <w:szCs w:val="28"/>
        </w:rPr>
        <w:t xml:space="preserve"> </w:t>
      </w:r>
      <w:proofErr w:type="spellStart"/>
      <w:r w:rsidRPr="00192A92">
        <w:rPr>
          <w:color w:val="000000"/>
          <w:sz w:val="28"/>
          <w:szCs w:val="28"/>
        </w:rPr>
        <w:t>Saswataduity</w:t>
      </w:r>
      <w:proofErr w:type="spellEnd"/>
      <w:r w:rsidRPr="00192A92">
        <w:rPr>
          <w:color w:val="000000"/>
          <w:sz w:val="28"/>
          <w:szCs w:val="28"/>
        </w:rPr>
        <w:t xml:space="preserve"> </w:t>
      </w:r>
      <w:proofErr w:type="spellStart"/>
      <w:r w:rsidRPr="00192A92">
        <w:rPr>
          <w:color w:val="000000"/>
          <w:sz w:val="28"/>
          <w:szCs w:val="28"/>
        </w:rPr>
        <w:t>Bhuin</w:t>
      </w:r>
      <w:proofErr w:type="spellEnd"/>
      <w:r w:rsidRPr="00192A92">
        <w:rPr>
          <w:color w:val="000000"/>
          <w:sz w:val="28"/>
          <w:szCs w:val="28"/>
        </w:rPr>
        <w:t xml:space="preserve"> – 2401010425</w:t>
      </w:r>
      <w:r w:rsidRPr="00192A92">
        <w:rPr>
          <w:color w:val="000000"/>
          <w:sz w:val="28"/>
          <w:szCs w:val="28"/>
        </w:rPr>
        <w:br/>
        <w:t xml:space="preserve"> Sayan Bhattacharya – 2401020059</w:t>
      </w:r>
      <w:r w:rsidRPr="00192A92">
        <w:rPr>
          <w:color w:val="000000"/>
          <w:sz w:val="28"/>
          <w:szCs w:val="28"/>
        </w:rPr>
        <w:br/>
        <w:t xml:space="preserve"> Debasish Karan – 2401010141</w:t>
      </w:r>
      <w:r w:rsidRPr="00192A92">
        <w:rPr>
          <w:color w:val="000000"/>
          <w:sz w:val="28"/>
          <w:szCs w:val="28"/>
        </w:rPr>
        <w:br/>
        <w:t xml:space="preserve"> Naman Jain – </w:t>
      </w:r>
      <w:r w:rsidR="00B661C0" w:rsidRPr="00B661C0">
        <w:rPr>
          <w:sz w:val="28"/>
          <w:szCs w:val="28"/>
        </w:rPr>
        <w:t>2401010290</w:t>
      </w:r>
      <w:r>
        <w:rPr>
          <w:color w:val="000000"/>
          <w:sz w:val="28"/>
          <w:szCs w:val="28"/>
        </w:rPr>
        <w:br/>
      </w:r>
      <w:r>
        <w:rPr>
          <w:color w:val="000000"/>
          <w:sz w:val="28"/>
          <w:szCs w:val="28"/>
        </w:rPr>
        <w:br/>
      </w:r>
      <w:r w:rsidR="00B661C0">
        <w:br/>
      </w:r>
      <w:r w:rsidR="00000000">
        <w:rPr>
          <w:b/>
          <w:bCs/>
          <w:color w:val="1F3864"/>
          <w:sz w:val="32"/>
          <w:szCs w:val="32"/>
        </w:rPr>
        <w:t>Executive Summary</w:t>
      </w:r>
    </w:p>
    <w:p w14:paraId="78824B51" w14:textId="4AF4E236" w:rsidR="003B0F55" w:rsidRDefault="00000000">
      <w:pPr>
        <w:spacing w:before="80" w:after="100"/>
        <w:jc w:val="both"/>
      </w:pPr>
      <w:r>
        <w:rPr>
          <w:color w:val="333333"/>
        </w:rPr>
        <w:t>This report presents a comprehensive technical account of a supervised machine learning system designed to forecast solar photovoltaic power generation. The inability to dispatch solar energy on demand represents one of the foremost operational challenges facing modern electrical grid operators. Sudden fluctuations in solar irradiance caused by passing cloud cover, atmospheric haze, or seasonal variation  can introduce rapid, large-scale mismatches between grid supply and demand, risking voltage instability or localised outages.</w:t>
      </w:r>
    </w:p>
    <w:p w14:paraId="39906540" w14:textId="4EC22EA5" w:rsidR="003B0F55" w:rsidRDefault="00000000">
      <w:pPr>
        <w:spacing w:before="80" w:after="100"/>
        <w:jc w:val="both"/>
      </w:pPr>
      <w:r>
        <w:rPr>
          <w:color w:val="333333"/>
        </w:rPr>
        <w:t>To address this challenge, a Random Forest Regressor was trained on historical meteorological and power-generation data collected from a solar plant. The model ingests real-time weather readings and predicts direct current (DC) power output per inverter unit. When evaluated against an unseen chronological holdout dataset representing 20% of the total time series, the model achieved an R² coefficient of 0.93, indicating that it explains 93% of the variance in power generation. The mean absolute error stood at 460.65 W a tight tolerance relative to the megawatt-scale outputs typical of utility solar installations.</w:t>
      </w:r>
    </w:p>
    <w:p w14:paraId="738927A2" w14:textId="77777777" w:rsidR="003B0F55" w:rsidRDefault="00000000">
      <w:pPr>
        <w:spacing w:before="80" w:after="100"/>
        <w:jc w:val="both"/>
      </w:pPr>
      <w:r>
        <w:rPr>
          <w:color w:val="333333"/>
        </w:rPr>
        <w:t xml:space="preserve">The trained model is deployed via a multi-tab </w:t>
      </w:r>
      <w:proofErr w:type="spellStart"/>
      <w:r>
        <w:rPr>
          <w:color w:val="333333"/>
        </w:rPr>
        <w:t>Streamlit</w:t>
      </w:r>
      <w:proofErr w:type="spellEnd"/>
      <w:r>
        <w:rPr>
          <w:color w:val="333333"/>
        </w:rPr>
        <w:t xml:space="preserve"> web application, enabling plant engineers and grid operators to perform single-point predictions, upload batch weather forecasts, run 24-hour power-curve simulations, and download full audit logs — all without writing any code.</w:t>
      </w:r>
    </w:p>
    <w:p w14:paraId="6FC25474" w14:textId="77777777" w:rsidR="003B0F55" w:rsidRDefault="003B0F55">
      <w:pPr>
        <w:spacing w:before="80"/>
      </w:pPr>
    </w:p>
    <w:p w14:paraId="0D2EE7D8" w14:textId="77777777" w:rsidR="003B0F55" w:rsidRDefault="00000000">
      <w:pPr>
        <w:pStyle w:val="Heading1"/>
        <w:pBdr>
          <w:bottom w:val="single" w:sz="8" w:space="4" w:color="2E75B6"/>
        </w:pBdr>
      </w:pPr>
      <w:r>
        <w:t>1. Problem Understanding &amp; Renewable Energy Context</w:t>
      </w:r>
    </w:p>
    <w:p w14:paraId="5B810D21" w14:textId="77777777" w:rsidR="003B0F55" w:rsidRDefault="00000000">
      <w:pPr>
        <w:pStyle w:val="Heading2"/>
      </w:pPr>
      <w:r>
        <w:t>1.1 The Global Transition to Renewable Energy</w:t>
      </w:r>
    </w:p>
    <w:p w14:paraId="00E185A8" w14:textId="64D219DA" w:rsidR="003B0F55" w:rsidRDefault="00000000">
      <w:pPr>
        <w:spacing w:before="80" w:after="100"/>
        <w:jc w:val="both"/>
      </w:pPr>
      <w:r>
        <w:rPr>
          <w:color w:val="333333"/>
        </w:rPr>
        <w:t xml:space="preserve">The energy sector is undergoing a fundamental structural transformation. Driven by climate commitments, falling technology costs, and the increasing urgency of decarbonisation targets, governments and utilities worldwide are replacing fossil-fuel generation with renewable sources. </w:t>
      </w:r>
      <w:r>
        <w:rPr>
          <w:color w:val="333333"/>
        </w:rPr>
        <w:lastRenderedPageBreak/>
        <w:t>Solar photovoltaic (PV) power has emerged as a particularly compelling option: it is clean, geographically abundant, and has reached cost parity with or surpassed conventional generation in most markets.</w:t>
      </w:r>
    </w:p>
    <w:p w14:paraId="66D12943" w14:textId="77777777" w:rsidR="003B0F55" w:rsidRDefault="00000000">
      <w:pPr>
        <w:spacing w:before="80" w:after="100"/>
        <w:jc w:val="both"/>
      </w:pPr>
      <w:r>
        <w:rPr>
          <w:color w:val="333333"/>
        </w:rPr>
        <w:t>Despite these advantages, solar energy introduces a characteristic that distinguishes it sharply from conventional dispatchable generation: it cannot be produced on demand. A coal or gas turbine can be ramped up or down to match prevailing load conditions; a solar farm, by contrast, is entirely dependent on the instantaneous intensity of solar radiation.</w:t>
      </w:r>
    </w:p>
    <w:p w14:paraId="0128E821" w14:textId="77777777" w:rsidR="003B0F55" w:rsidRDefault="00000000">
      <w:pPr>
        <w:pStyle w:val="Heading2"/>
      </w:pPr>
      <w:r>
        <w:t>1.2 The Core Technical Problem: Grid Instability</w:t>
      </w:r>
    </w:p>
    <w:p w14:paraId="195DF170" w14:textId="35742B1D" w:rsidR="003B0F55" w:rsidRDefault="00000000">
      <w:pPr>
        <w:spacing w:before="80" w:after="100"/>
        <w:jc w:val="both"/>
      </w:pPr>
      <w:r>
        <w:rPr>
          <w:color w:val="333333"/>
        </w:rPr>
        <w:t>Electrical grids operate under a physical constraint that admits no deviation: at every moment, total generation must precisely equal total consumption. Even transient imbalances manifest as frequency deviations, which if uncorrected escalate into voltage collapses or cascading blackouts. Grid operators therefore require highly accurate, short-horizon forecasts of the power that each generation asset will contribute.</w:t>
      </w:r>
    </w:p>
    <w:p w14:paraId="4404190D" w14:textId="77777777" w:rsidR="003B0F55" w:rsidRDefault="00000000">
      <w:pPr>
        <w:spacing w:before="80" w:after="100"/>
        <w:jc w:val="both"/>
      </w:pPr>
      <w:r>
        <w:rPr>
          <w:color w:val="333333"/>
        </w:rPr>
        <w:t>The problem is particularly acute for solar installations. A dense cloud formation can reduce the irradiance reaching a large solar array from over 1,000 W/m² to below 100 W/m² within minutes, cutting generation by 90% or more. Without advance warning of such events, the system operator has insufficient time to bring compensating reserves online, creating a dangerous supply deficit.</w:t>
      </w:r>
    </w:p>
    <w:p w14:paraId="6C41D203" w14:textId="77777777" w:rsidR="003B0F55" w:rsidRDefault="00000000">
      <w:pPr>
        <w:pStyle w:val="Heading2"/>
      </w:pPr>
      <w:r>
        <w:t>1.3 The Machine Learning Solution</w:t>
      </w:r>
    </w:p>
    <w:p w14:paraId="3422ADDC" w14:textId="278C6B9A" w:rsidR="003B0F55" w:rsidRDefault="00000000">
      <w:pPr>
        <w:spacing w:before="80" w:after="100"/>
        <w:jc w:val="both"/>
      </w:pPr>
      <w:r>
        <w:rPr>
          <w:color w:val="333333"/>
        </w:rPr>
        <w:t>Traditional physics-based forecasting models which compute expected output from known panel specifications, sun angle, and atmospheric optical depth struggle to account for site-specific factors such as panel degradation, dust accumulation, soiling, micro-shading from vegetation, and inverter efficiency losses. These hardware and environmental heterogeneities introduce systematic biases that purely analytical models cannot correct without continuous empirical calibration.</w:t>
      </w:r>
    </w:p>
    <w:p w14:paraId="317492A3" w14:textId="37FD5FD2" w:rsidR="003B0F55" w:rsidRDefault="00000000">
      <w:pPr>
        <w:spacing w:before="80" w:after="100"/>
        <w:jc w:val="both"/>
      </w:pPr>
      <w:r>
        <w:rPr>
          <w:color w:val="333333"/>
        </w:rPr>
        <w:t>Supervised machine learning offers a complementary and often superior approach. By learning from thousands of hours of paired historical observations weather conditions alongside simultaneously recorded power outputs the model captures the complex, non-linear relationships that govern real-world solar generation without requiring explicit knowledge of every physical parameter. The result is a data-driven forecasting engine that is self-calibrating, adapts to the specific characteristics of each inverter, and can improve continuously as more operational data accumulates.</w:t>
      </w:r>
    </w:p>
    <w:p w14:paraId="602A3627" w14:textId="77777777" w:rsidR="003B0F55" w:rsidRDefault="003B0F55">
      <w:pPr>
        <w:spacing w:before="80"/>
      </w:pPr>
    </w:p>
    <w:p w14:paraId="4E6C662F" w14:textId="77777777" w:rsidR="003B0F55" w:rsidRDefault="00000000">
      <w:pPr>
        <w:pStyle w:val="Heading1"/>
        <w:pBdr>
          <w:bottom w:val="single" w:sz="8" w:space="4" w:color="2E75B6"/>
        </w:pBdr>
      </w:pPr>
      <w:r>
        <w:t>2. Input–Output Specification</w:t>
      </w:r>
    </w:p>
    <w:p w14:paraId="2F99081F" w14:textId="77777777" w:rsidR="003B0F55" w:rsidRDefault="00000000">
      <w:pPr>
        <w:pStyle w:val="Heading2"/>
      </w:pPr>
      <w:r>
        <w:t>2.1 Output Variable (Prediction Target)</w:t>
      </w:r>
    </w:p>
    <w:p w14:paraId="1CD94815" w14:textId="77777777" w:rsidR="003B0F55" w:rsidRDefault="00000000">
      <w:pPr>
        <w:spacing w:before="80" w:after="100"/>
        <w:jc w:val="both"/>
      </w:pPr>
      <w:r>
        <w:rPr>
          <w:color w:val="333333"/>
        </w:rPr>
        <w:t>The model is designed to perform supervised regression: it predicts a single, continuous numerical quantity.</w:t>
      </w:r>
    </w:p>
    <w:p w14:paraId="56AF17A8" w14:textId="77777777" w:rsidR="003B0F55" w:rsidRDefault="003B0F5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500"/>
        <w:gridCol w:w="4060"/>
      </w:tblGrid>
      <w:tr w:rsidR="003B0F55" w14:paraId="5DC679D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62B738E" w14:textId="77777777" w:rsidR="003B0F55" w:rsidRDefault="00000000">
            <w:r>
              <w:rPr>
                <w:b/>
                <w:bCs/>
                <w:color w:val="FFFFFF"/>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BFCDB2A" w14:textId="77777777" w:rsidR="003B0F55" w:rsidRDefault="00000000">
            <w:r>
              <w:rPr>
                <w:b/>
                <w:bCs/>
                <w:color w:val="FFFFFF"/>
                <w:sz w:val="20"/>
                <w:szCs w:val="20"/>
              </w:rPr>
              <w:t>Data Type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E70A629" w14:textId="77777777" w:rsidR="003B0F55" w:rsidRDefault="00000000">
            <w:r>
              <w:rPr>
                <w:b/>
                <w:bCs/>
                <w:color w:val="FFFFFF"/>
                <w:sz w:val="20"/>
                <w:szCs w:val="20"/>
              </w:rPr>
              <w:t>Unit</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2A34CCF" w14:textId="77777777" w:rsidR="003B0F55" w:rsidRDefault="00000000">
            <w:r>
              <w:rPr>
                <w:b/>
                <w:bCs/>
                <w:color w:val="FFFFFF"/>
                <w:sz w:val="20"/>
                <w:szCs w:val="20"/>
              </w:rPr>
              <w:t>Description</w:t>
            </w:r>
          </w:p>
        </w:tc>
      </w:tr>
      <w:tr w:rsidR="003B0F55" w14:paraId="14DF0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223D0260" w14:textId="77777777" w:rsidR="003B0F55" w:rsidRDefault="00000000">
            <w:r>
              <w:rPr>
                <w:color w:val="333333"/>
                <w:sz w:val="20"/>
                <w:szCs w:val="20"/>
              </w:rPr>
              <w:t>DC_POWER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90EB7A" w14:textId="77777777" w:rsidR="003B0F55" w:rsidRDefault="00000000">
            <w:r>
              <w:rPr>
                <w:color w:val="333333"/>
                <w:sz w:val="20"/>
                <w:szCs w:val="20"/>
              </w:rPr>
              <w:t>Continuous 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A66F8D" w14:textId="77777777" w:rsidR="003B0F55" w:rsidRDefault="00000000">
            <w:r>
              <w:rPr>
                <w:color w:val="333333"/>
                <w:sz w:val="20"/>
                <w:szCs w:val="20"/>
              </w:rPr>
              <w:t>Watts (W)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1251F4" w14:textId="77777777" w:rsidR="003B0F55" w:rsidRDefault="00000000">
            <w:r>
              <w:rPr>
                <w:color w:val="333333"/>
                <w:sz w:val="20"/>
                <w:szCs w:val="20"/>
              </w:rPr>
              <w:t>Total direct current power generated by a specific solar inverter. This is the primary regression target.</w:t>
            </w:r>
          </w:p>
        </w:tc>
      </w:tr>
    </w:tbl>
    <w:p w14:paraId="4B1329C0" w14:textId="77777777" w:rsidR="003B0F55" w:rsidRDefault="003B0F55">
      <w:pPr>
        <w:spacing w:before="160"/>
      </w:pPr>
    </w:p>
    <w:p w14:paraId="39358C75" w14:textId="77777777" w:rsidR="003B0F55" w:rsidRDefault="00000000">
      <w:pPr>
        <w:pStyle w:val="Heading2"/>
      </w:pPr>
      <w:r>
        <w:t>2.2 Input Variables (Feature Set)</w:t>
      </w:r>
    </w:p>
    <w:p w14:paraId="565A38F2" w14:textId="77777777" w:rsidR="003B0F55" w:rsidRDefault="00000000">
      <w:pPr>
        <w:spacing w:before="80" w:after="100"/>
        <w:jc w:val="both"/>
      </w:pPr>
      <w:r>
        <w:rPr>
          <w:color w:val="333333"/>
        </w:rPr>
        <w:t>Six independent variables serve as the feature inputs to the model. Each was selected on the basis of its physical or operational relevance to solar power generation.</w:t>
      </w:r>
    </w:p>
    <w:p w14:paraId="5E4790F3" w14:textId="77777777" w:rsidR="003B0F55" w:rsidRDefault="003B0F5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376"/>
        <w:gridCol w:w="1289"/>
        <w:gridCol w:w="3903"/>
      </w:tblGrid>
      <w:tr w:rsidR="003B0F55" w14:paraId="532C93B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7A90AFD6" w14:textId="77777777" w:rsidR="003B0F55" w:rsidRDefault="00000000">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BB6A4B9" w14:textId="77777777" w:rsidR="003B0F55" w:rsidRDefault="00000000">
            <w:r>
              <w:rPr>
                <w:b/>
                <w:bCs/>
                <w:color w:val="FFFFFF"/>
                <w:sz w:val="20"/>
                <w:szCs w:val="20"/>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8DA09F9" w14:textId="77777777" w:rsidR="003B0F55" w:rsidRDefault="00000000">
            <w:r>
              <w:rPr>
                <w:b/>
                <w:bCs/>
                <w:color w:val="FFFFFF"/>
                <w:sz w:val="20"/>
                <w:szCs w:val="20"/>
              </w:rPr>
              <w:t>Unit / Range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FBD7B35" w14:textId="77777777" w:rsidR="003B0F55" w:rsidRDefault="00000000">
            <w:r>
              <w:rPr>
                <w:b/>
                <w:bCs/>
                <w:color w:val="FFFFFF"/>
                <w:sz w:val="20"/>
                <w:szCs w:val="20"/>
              </w:rPr>
              <w:t>Domain Rationale</w:t>
            </w:r>
          </w:p>
        </w:tc>
      </w:tr>
      <w:tr w:rsidR="003B0F55" w14:paraId="5AC0D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2BD03C" w14:textId="77777777" w:rsidR="003B0F55" w:rsidRDefault="00000000">
            <w:r>
              <w:rPr>
                <w:color w:val="333333"/>
                <w:sz w:val="20"/>
                <w:szCs w:val="20"/>
              </w:rPr>
              <w:t>IRRADIATION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E07832" w14:textId="77777777" w:rsidR="003B0F55" w:rsidRDefault="00000000">
            <w:r>
              <w:rPr>
                <w:color w:val="333333"/>
                <w:sz w:val="20"/>
                <w:szCs w:val="20"/>
              </w:rPr>
              <w:t>Continuous 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6FED4E" w14:textId="77777777" w:rsidR="003B0F55" w:rsidRDefault="00000000">
            <w:r>
              <w:rPr>
                <w:color w:val="333333"/>
                <w:sz w:val="20"/>
                <w:szCs w:val="20"/>
              </w:rPr>
              <w:t>kW/m² (0.0–1.2+)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EFACB1" w14:textId="77777777" w:rsidR="003B0F55" w:rsidRDefault="00000000">
            <w:r>
              <w:rPr>
                <w:color w:val="333333"/>
                <w:sz w:val="20"/>
                <w:szCs w:val="20"/>
              </w:rPr>
              <w:t>The most influential feature. Represents the instantaneous intensity of sunlight incident on the panel surface. Power generation scales directly and non-linearly with irradiation.</w:t>
            </w:r>
          </w:p>
        </w:tc>
      </w:tr>
      <w:tr w:rsidR="003B0F55" w14:paraId="5A7ADB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2F56C52" w14:textId="77777777" w:rsidR="003B0F55" w:rsidRDefault="00000000">
            <w:r>
              <w:rPr>
                <w:color w:val="333333"/>
                <w:sz w:val="20"/>
                <w:szCs w:val="20"/>
              </w:rPr>
              <w:t>MODULE_TEMPERATURE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C495D3C" w14:textId="77777777" w:rsidR="003B0F55" w:rsidRDefault="00000000">
            <w:r>
              <w:rPr>
                <w:color w:val="333333"/>
                <w:sz w:val="20"/>
                <w:szCs w:val="20"/>
              </w:rPr>
              <w:t>Continuous Float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58A794C" w14:textId="77777777" w:rsidR="003B0F55" w:rsidRDefault="00000000">
            <w:r>
              <w:rPr>
                <w:color w:val="333333"/>
                <w:sz w:val="20"/>
                <w:szCs w:val="20"/>
              </w:rPr>
              <w:t>°C</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C5C42C8" w14:textId="77777777" w:rsidR="003B0F55" w:rsidRDefault="00000000">
            <w:r>
              <w:rPr>
                <w:color w:val="333333"/>
                <w:sz w:val="20"/>
                <w:szCs w:val="20"/>
              </w:rPr>
              <w:t>Surface temperature of the solar panel. Due to the phenomenon of thermal degradation, panel efficiency decreases as module temperature rises above the rated operating point.</w:t>
            </w:r>
          </w:p>
        </w:tc>
      </w:tr>
      <w:tr w:rsidR="003B0F55" w14:paraId="0BA24A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3D1C34" w14:textId="77777777" w:rsidR="003B0F55" w:rsidRDefault="00000000">
            <w:r>
              <w:rPr>
                <w:color w:val="333333"/>
                <w:sz w:val="20"/>
                <w:szCs w:val="20"/>
              </w:rPr>
              <w:t>AMBIENT_TEMPERATURE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6FC5F0" w14:textId="77777777" w:rsidR="003B0F55" w:rsidRDefault="00000000">
            <w:r>
              <w:rPr>
                <w:color w:val="333333"/>
                <w:sz w:val="20"/>
                <w:szCs w:val="20"/>
              </w:rPr>
              <w:t>Continuous 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097A3B" w14:textId="77777777" w:rsidR="003B0F55" w:rsidRDefault="00000000">
            <w:r>
              <w:rPr>
                <w:color w:val="333333"/>
                <w:sz w:val="20"/>
                <w:szCs w:val="20"/>
              </w:rPr>
              <w:t>°C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A2EE71" w14:textId="77777777" w:rsidR="003B0F55" w:rsidRDefault="00000000">
            <w:r>
              <w:rPr>
                <w:color w:val="333333"/>
                <w:sz w:val="20"/>
                <w:szCs w:val="20"/>
              </w:rPr>
              <w:t>Air temperature surrounding the installation. Governs the thermal exchange between the panel and its environment, influencing the rate at which modules cool under reduced irradiation.</w:t>
            </w:r>
          </w:p>
        </w:tc>
      </w:tr>
      <w:tr w:rsidR="003B0F55" w14:paraId="0F3C8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BFFCF3A" w14:textId="77777777" w:rsidR="003B0F55" w:rsidRDefault="00000000">
            <w:r>
              <w:rPr>
                <w:color w:val="333333"/>
                <w:sz w:val="20"/>
                <w:szCs w:val="20"/>
              </w:rPr>
              <w:t>SOURCE_KEY</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FBDE399" w14:textId="77777777" w:rsidR="003B0F55" w:rsidRDefault="00000000">
            <w:r>
              <w:rPr>
                <w:color w:val="333333"/>
                <w:sz w:val="20"/>
                <w:szCs w:val="20"/>
              </w:rPr>
              <w:t>Categorical (Encoded)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2D14444" w14:textId="77777777" w:rsidR="003B0F55" w:rsidRDefault="00000000">
            <w:r>
              <w:rPr>
                <w:color w:val="333333"/>
                <w:sz w:val="20"/>
                <w:szCs w:val="20"/>
              </w:rPr>
              <w:t>Integer ID (0, 1, 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134BCD1" w14:textId="77777777" w:rsidR="003B0F55" w:rsidRDefault="00000000">
            <w:r>
              <w:rPr>
                <w:color w:val="333333"/>
                <w:sz w:val="20"/>
                <w:szCs w:val="20"/>
              </w:rPr>
              <w:t>A unique identifier representing a specific inverter unit. Different inverters exhibit varying baseline efficiencies and wear characteristics; encoding allows the model to account for hardware-level variance.</w:t>
            </w:r>
          </w:p>
        </w:tc>
      </w:tr>
      <w:tr w:rsidR="003B0F55" w14:paraId="4EC527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4C439A" w14:textId="77777777" w:rsidR="003B0F55" w:rsidRDefault="00000000">
            <w:r>
              <w:rPr>
                <w:color w:val="333333"/>
                <w:sz w:val="20"/>
                <w:szCs w:val="20"/>
              </w:rPr>
              <w:t>hour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CA3787" w14:textId="77777777" w:rsidR="003B0F55" w:rsidRDefault="00000000">
            <w:r>
              <w:rPr>
                <w:color w:val="333333"/>
                <w:sz w:val="20"/>
                <w:szCs w:val="20"/>
              </w:rPr>
              <w:t>Discrete 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0DB95" w14:textId="77777777" w:rsidR="003B0F55" w:rsidRDefault="00000000">
            <w:r>
              <w:rPr>
                <w:color w:val="333333"/>
                <w:sz w:val="20"/>
                <w:szCs w:val="20"/>
              </w:rPr>
              <w:t>0 to 23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B4BD0B" w14:textId="74A681F1" w:rsidR="003B0F55" w:rsidRDefault="00000000">
            <w:r>
              <w:rPr>
                <w:color w:val="333333"/>
                <w:sz w:val="20"/>
                <w:szCs w:val="20"/>
              </w:rPr>
              <w:t>Hour of day a proxy for the sun's elevation angle. Captures the characteristic diurnal bell-curve of solar generation, which peaks near solar noon and falls to zero at night.</w:t>
            </w:r>
          </w:p>
        </w:tc>
      </w:tr>
      <w:tr w:rsidR="003B0F55" w14:paraId="13390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C8E6D7B" w14:textId="77777777" w:rsidR="003B0F55" w:rsidRDefault="00000000">
            <w:r>
              <w:rPr>
                <w:color w:val="333333"/>
                <w:sz w:val="20"/>
                <w:szCs w:val="20"/>
              </w:rPr>
              <w:t>month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F0AFCA5" w14:textId="77777777" w:rsidR="003B0F55" w:rsidRDefault="00000000">
            <w:r>
              <w:rPr>
                <w:color w:val="333333"/>
                <w:sz w:val="20"/>
                <w:szCs w:val="20"/>
              </w:rPr>
              <w:t>Discrete 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38B349C" w14:textId="77777777" w:rsidR="003B0F55" w:rsidRDefault="00000000">
            <w:r>
              <w:rPr>
                <w:color w:val="333333"/>
                <w:sz w:val="20"/>
                <w:szCs w:val="20"/>
              </w:rPr>
              <w:t>1 to 12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E6E2973" w14:textId="07BDC182" w:rsidR="003B0F55" w:rsidRDefault="00000000">
            <w:r>
              <w:rPr>
                <w:color w:val="333333"/>
                <w:sz w:val="20"/>
                <w:szCs w:val="20"/>
              </w:rPr>
              <w:t>Month of year a proxy for seasonal variation. Captures changes in day length and solar declination angle throughout the annual cycle.</w:t>
            </w:r>
          </w:p>
        </w:tc>
      </w:tr>
    </w:tbl>
    <w:p w14:paraId="0DB69CC5" w14:textId="77777777" w:rsidR="003B0F55" w:rsidRDefault="003B0F55">
      <w:pPr>
        <w:spacing w:before="80"/>
      </w:pPr>
    </w:p>
    <w:p w14:paraId="31A8E9C4" w14:textId="77777777" w:rsidR="003B0F55" w:rsidRDefault="00000000">
      <w:pPr>
        <w:pStyle w:val="Heading1"/>
        <w:pBdr>
          <w:bottom w:val="single" w:sz="8" w:space="4" w:color="2E75B6"/>
        </w:pBdr>
      </w:pPr>
      <w:r>
        <w:t>3. System Architecture</w:t>
      </w:r>
    </w:p>
    <w:p w14:paraId="381CC085" w14:textId="77777777" w:rsidR="003B0F55" w:rsidRDefault="00000000">
      <w:pPr>
        <w:pStyle w:val="Heading2"/>
      </w:pPr>
      <w:r>
        <w:t>3.1 Pipeline Overview</w:t>
      </w:r>
    </w:p>
    <w:p w14:paraId="4212909F" w14:textId="77777777" w:rsidR="003B0F55" w:rsidRDefault="00000000">
      <w:pPr>
        <w:spacing w:before="80" w:after="100"/>
        <w:jc w:val="both"/>
      </w:pPr>
      <w:r>
        <w:rPr>
          <w:color w:val="333333"/>
        </w:rPr>
        <w:lastRenderedPageBreak/>
        <w:t>The system follows a strictly modular, sequential machine learning pipeline. Each stage has a single, well-defined responsibility, which facilitates independent testing, maintenance, and replacement of individual components without disrupting the broader workflow.</w:t>
      </w:r>
    </w:p>
    <w:p w14:paraId="5D430996" w14:textId="77777777" w:rsidR="003B0F55" w:rsidRDefault="003B0F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748"/>
        <w:gridCol w:w="6016"/>
      </w:tblGrid>
      <w:tr w:rsidR="003B0F55" w14:paraId="4CD7CA5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FD3B9EC" w14:textId="77777777" w:rsidR="003B0F55" w:rsidRDefault="00000000">
            <w:r>
              <w:rPr>
                <w:b/>
                <w:bCs/>
                <w:color w:val="FFFFFF"/>
                <w:sz w:val="20"/>
                <w:szCs w:val="20"/>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8908B4C" w14:textId="77777777" w:rsidR="003B0F55" w:rsidRDefault="00000000">
            <w:r>
              <w:rPr>
                <w:b/>
                <w:bCs/>
                <w:color w:val="FFFFFF"/>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C3CA020" w14:textId="77777777" w:rsidR="003B0F55" w:rsidRDefault="00000000">
            <w:r>
              <w:rPr>
                <w:b/>
                <w:bCs/>
                <w:color w:val="FFFFFF"/>
                <w:sz w:val="20"/>
                <w:szCs w:val="20"/>
              </w:rPr>
              <w:t>Description</w:t>
            </w:r>
          </w:p>
        </w:tc>
      </w:tr>
      <w:tr w:rsidR="003B0F55" w14:paraId="6E2614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7A0F80" w14:textId="77777777" w:rsidR="003B0F55" w:rsidRDefault="00000000">
            <w:r>
              <w:rPr>
                <w:color w:val="333333"/>
                <w:sz w:val="20"/>
                <w:szCs w:val="20"/>
              </w:rPr>
              <w:t>1. Data Ingestion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B15534" w14:textId="77777777" w:rsidR="003B0F55" w:rsidRDefault="00000000">
            <w:r>
              <w:rPr>
                <w:color w:val="333333"/>
                <w:sz w:val="20"/>
                <w:szCs w:val="20"/>
              </w:rPr>
              <w:t>loader.py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1E6C1B" w14:textId="2DD46BB7" w:rsidR="003B0F55" w:rsidRDefault="00000000">
            <w:r>
              <w:rPr>
                <w:color w:val="333333"/>
                <w:sz w:val="20"/>
                <w:szCs w:val="20"/>
              </w:rPr>
              <w:t xml:space="preserve">Historical CSV files containing timestamped meteorological readings and corresponding inverter power outputs are parsed and loaded into memory as structured </w:t>
            </w:r>
            <w:r w:rsidR="00E47DEC">
              <w:rPr>
                <w:color w:val="333333"/>
                <w:sz w:val="20"/>
                <w:szCs w:val="20"/>
              </w:rPr>
              <w:t>Data Frames</w:t>
            </w:r>
            <w:r>
              <w:rPr>
                <w:color w:val="333333"/>
                <w:sz w:val="20"/>
                <w:szCs w:val="20"/>
              </w:rPr>
              <w:t>.</w:t>
            </w:r>
          </w:p>
        </w:tc>
      </w:tr>
      <w:tr w:rsidR="003B0F55" w14:paraId="7D961F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5FA2517" w14:textId="77777777" w:rsidR="003B0F55" w:rsidRDefault="00000000">
            <w:r>
              <w:rPr>
                <w:color w:val="333333"/>
                <w:sz w:val="20"/>
                <w:szCs w:val="20"/>
              </w:rPr>
              <w:t>2. Preprocessing &amp; Feature Engineering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86DCAFC" w14:textId="77777777" w:rsidR="003B0F55" w:rsidRDefault="00000000">
            <w:r>
              <w:rPr>
                <w:color w:val="333333"/>
                <w:sz w:val="20"/>
                <w:szCs w:val="20"/>
              </w:rPr>
              <w:t>preprocessor.py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710E10B" w14:textId="77777777" w:rsidR="003B0F55" w:rsidRDefault="00000000">
            <w:r>
              <w:rPr>
                <w:color w:val="333333"/>
                <w:sz w:val="20"/>
                <w:szCs w:val="20"/>
              </w:rPr>
              <w:t>Temporal features (hour, month) are extracted from datetime indices. Categorical inverter identifiers are label-encoded into integers. A chronological 80/20 split partitions the dataset into training and test sets.</w:t>
            </w:r>
          </w:p>
        </w:tc>
      </w:tr>
      <w:tr w:rsidR="003B0F55" w14:paraId="622755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30A2E4" w14:textId="77777777" w:rsidR="003B0F55" w:rsidRDefault="00000000">
            <w:r>
              <w:rPr>
                <w:color w:val="333333"/>
                <w:sz w:val="20"/>
                <w:szCs w:val="20"/>
              </w:rPr>
              <w:t>3. Model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E5AE69" w14:textId="77777777" w:rsidR="003B0F55" w:rsidRDefault="00000000">
            <w:r>
              <w:rPr>
                <w:color w:val="333333"/>
                <w:sz w:val="20"/>
                <w:szCs w:val="20"/>
              </w:rPr>
              <w:t>train.py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60EB15" w14:textId="43505580" w:rsidR="003B0F55" w:rsidRDefault="00000000">
            <w:r>
              <w:rPr>
                <w:color w:val="333333"/>
                <w:sz w:val="20"/>
                <w:szCs w:val="20"/>
              </w:rPr>
              <w:t>A Random Forest Regressor with 100 estimator trees is fitted to the training partition. The trained model object is serialised to disk as al file for deployment.</w:t>
            </w:r>
          </w:p>
        </w:tc>
      </w:tr>
      <w:tr w:rsidR="003B0F55" w14:paraId="4915C2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A0702CA" w14:textId="77777777" w:rsidR="003B0F55" w:rsidRDefault="00000000">
            <w:r>
              <w:rPr>
                <w:color w:val="333333"/>
                <w:sz w:val="20"/>
                <w:szCs w:val="20"/>
              </w:rPr>
              <w:t>4.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A02AE37" w14:textId="77777777" w:rsidR="003B0F55" w:rsidRDefault="00000000">
            <w:r>
              <w:rPr>
                <w:color w:val="333333"/>
                <w:sz w:val="20"/>
                <w:szCs w:val="20"/>
              </w:rPr>
              <w:t>evaluate.py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E23B9C" w14:textId="77777777" w:rsidR="003B0F55" w:rsidRDefault="00000000">
            <w:r>
              <w:rPr>
                <w:color w:val="333333"/>
                <w:sz w:val="20"/>
                <w:szCs w:val="20"/>
              </w:rPr>
              <w:t>The serialised model is loaded and applied to the unseen test partition. Performance metrics (R², MAE, RMSE, MAPE) are computed and exported as a JSON audit log.</w:t>
            </w:r>
          </w:p>
        </w:tc>
      </w:tr>
      <w:tr w:rsidR="003B0F55" w14:paraId="57FB06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CF2D66" w14:textId="77777777" w:rsidR="003B0F55" w:rsidRDefault="00000000">
            <w:r>
              <w:rPr>
                <w:color w:val="333333"/>
                <w:sz w:val="20"/>
                <w:szCs w:val="20"/>
              </w:rPr>
              <w:t>5.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0D8F4D" w14:textId="77777777" w:rsidR="003B0F55" w:rsidRDefault="00000000">
            <w:r>
              <w:rPr>
                <w:color w:val="333333"/>
                <w:sz w:val="20"/>
                <w:szCs w:val="20"/>
              </w:rPr>
              <w:t>streamlit_app.py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3F505E" w14:textId="77777777" w:rsidR="003B0F55" w:rsidRDefault="00000000">
            <w:r>
              <w:rPr>
                <w:color w:val="333333"/>
                <w:sz w:val="20"/>
                <w:szCs w:val="20"/>
              </w:rPr>
              <w:t xml:space="preserve">The production model is loaded by a </w:t>
            </w:r>
            <w:proofErr w:type="spellStart"/>
            <w:r>
              <w:rPr>
                <w:color w:val="333333"/>
                <w:sz w:val="20"/>
                <w:szCs w:val="20"/>
              </w:rPr>
              <w:t>Streamlit</w:t>
            </w:r>
            <w:proofErr w:type="spellEnd"/>
            <w:r>
              <w:rPr>
                <w:color w:val="333333"/>
                <w:sz w:val="20"/>
                <w:szCs w:val="20"/>
              </w:rPr>
              <w:t xml:space="preserve"> server. The web interface exposes prediction, visualisation, evaluation, and forecasting capabilities to end users without requiring any coding knowledge.</w:t>
            </w:r>
          </w:p>
        </w:tc>
      </w:tr>
    </w:tbl>
    <w:p w14:paraId="542FB397" w14:textId="77777777" w:rsidR="003B0F55" w:rsidRDefault="003B0F55">
      <w:pPr>
        <w:spacing w:before="160"/>
      </w:pPr>
    </w:p>
    <w:p w14:paraId="45097C3A" w14:textId="77777777" w:rsidR="003B0F55" w:rsidRDefault="00000000">
      <w:pPr>
        <w:pStyle w:val="Heading2"/>
      </w:pPr>
      <w:r>
        <w:t>3.2 Data Leakage Prevention</w:t>
      </w:r>
    </w:p>
    <w:p w14:paraId="17EF84C8" w14:textId="4BB7B528" w:rsidR="003B0F55" w:rsidRDefault="00000000">
      <w:pPr>
        <w:spacing w:before="80" w:after="100"/>
        <w:jc w:val="both"/>
      </w:pPr>
      <w:r>
        <w:rPr>
          <w:color w:val="333333"/>
        </w:rPr>
        <w:t>A critical design decision in the pipeline is the use of a chronological time-series split rather than a random train-test split. In a randomly partitioned dataset, the model may be trained on observations from Wednesday and Friday while being tested on Thursday effectively allowing it access to 'future' context during training. This constitutes data leakage and artificially inflates performance metrics.</w:t>
      </w:r>
    </w:p>
    <w:p w14:paraId="5AC5999D" w14:textId="77777777" w:rsidR="003B0F55" w:rsidRDefault="00000000">
      <w:pPr>
        <w:spacing w:before="80" w:after="100"/>
        <w:jc w:val="both"/>
      </w:pPr>
      <w:r>
        <w:rPr>
          <w:color w:val="333333"/>
        </w:rPr>
        <w:t>By preserving the temporal ordering of all records and assigning the earliest 80% to training and the most recent 20% to testing, the evaluation faithfully simulates the operational scenario: the model has never seen the test period and must generalise to genuinely unknown future conditions.</w:t>
      </w:r>
    </w:p>
    <w:p w14:paraId="69A2F546" w14:textId="77777777" w:rsidR="003B0F55" w:rsidRDefault="003B0F55">
      <w:pPr>
        <w:spacing w:before="80"/>
      </w:pPr>
    </w:p>
    <w:p w14:paraId="2BA86515" w14:textId="77777777" w:rsidR="003B0F55" w:rsidRDefault="00000000">
      <w:pPr>
        <w:pStyle w:val="Heading1"/>
        <w:pBdr>
          <w:bottom w:val="single" w:sz="8" w:space="4" w:color="2E75B6"/>
        </w:pBdr>
      </w:pPr>
      <w:r>
        <w:t>4. Application Deployment &amp; User Interface</w:t>
      </w:r>
    </w:p>
    <w:p w14:paraId="763AAA9F" w14:textId="77777777" w:rsidR="003B0F55" w:rsidRDefault="00000000">
      <w:pPr>
        <w:pStyle w:val="Heading2"/>
      </w:pPr>
      <w:r>
        <w:t>4.1 Application Overview</w:t>
      </w:r>
    </w:p>
    <w:p w14:paraId="43B0875A" w14:textId="77777777" w:rsidR="003B0F55" w:rsidRDefault="00000000">
      <w:pPr>
        <w:spacing w:before="80" w:after="100"/>
        <w:jc w:val="both"/>
      </w:pPr>
      <w:r>
        <w:rPr>
          <w:color w:val="333333"/>
        </w:rPr>
        <w:t xml:space="preserve">A machine learning model confined to a </w:t>
      </w:r>
      <w:proofErr w:type="spellStart"/>
      <w:r>
        <w:rPr>
          <w:color w:val="333333"/>
        </w:rPr>
        <w:t>Jupyter</w:t>
      </w:r>
      <w:proofErr w:type="spellEnd"/>
      <w:r>
        <w:rPr>
          <w:color w:val="333333"/>
        </w:rPr>
        <w:t xml:space="preserve"> notebook or command-line interface delivers limited operational value. To bridge the gap between algorithmic capability and practical usability, the project includes a fully-featured interactive web application built using the </w:t>
      </w:r>
      <w:proofErr w:type="spellStart"/>
      <w:r>
        <w:rPr>
          <w:color w:val="333333"/>
        </w:rPr>
        <w:t>Streamlit</w:t>
      </w:r>
      <w:proofErr w:type="spellEnd"/>
      <w:r>
        <w:rPr>
          <w:color w:val="333333"/>
        </w:rPr>
        <w:t xml:space="preserve"> framework. The application requires no installation by end users beyond a standard web browser and is accessible to engineers, plant managers, and grid operators without programming expertise.</w:t>
      </w:r>
    </w:p>
    <w:p w14:paraId="66456F9E" w14:textId="77777777" w:rsidR="003B0F55" w:rsidRDefault="00000000">
      <w:pPr>
        <w:pStyle w:val="Heading2"/>
      </w:pPr>
      <w:r>
        <w:lastRenderedPageBreak/>
        <w:t>4.2 Application Tabs &amp; Features</w:t>
      </w:r>
    </w:p>
    <w:p w14:paraId="10D7FE22" w14:textId="77777777" w:rsidR="003B0F55" w:rsidRDefault="00000000">
      <w:pPr>
        <w:spacing w:before="200" w:after="80"/>
      </w:pPr>
      <w:r>
        <w:rPr>
          <w:b/>
          <w:bCs/>
          <w:color w:val="333333"/>
          <w:sz w:val="24"/>
          <w:szCs w:val="24"/>
        </w:rPr>
        <w:t>Tab 1: Prediction</w:t>
      </w:r>
    </w:p>
    <w:p w14:paraId="493D09E2" w14:textId="722541ED" w:rsidR="003B0F55" w:rsidRDefault="00000000">
      <w:pPr>
        <w:spacing w:before="80" w:after="100"/>
        <w:jc w:val="both"/>
      </w:pPr>
      <w:r>
        <w:rPr>
          <w:color w:val="333333"/>
        </w:rPr>
        <w:t>Single Prediction Mode allows a user to adjust input sliders for irradiation, module temperature, ambient temperature, inverter identity, hour, and month. The model returns an instantaneous DC power forecast displayed as a highlighted metric. Batch Prediction Mode accepts a CSV file of forecasted weather parameters for example, an hourly meteorological forecast for the coming week</w:t>
      </w:r>
      <w:r w:rsidR="00E47DEC">
        <w:rPr>
          <w:color w:val="333333"/>
        </w:rPr>
        <w:t xml:space="preserve"> </w:t>
      </w:r>
      <w:r>
        <w:rPr>
          <w:color w:val="333333"/>
        </w:rPr>
        <w:t>and returns a downloadable CSV with the predicted power output appended to each row, enabling large-scale operational planning.</w:t>
      </w:r>
    </w:p>
    <w:p w14:paraId="45B11165" w14:textId="77777777" w:rsidR="003B0F55" w:rsidRDefault="00000000">
      <w:pPr>
        <w:spacing w:before="200" w:after="80"/>
      </w:pPr>
      <w:r>
        <w:rPr>
          <w:b/>
          <w:bCs/>
          <w:color w:val="333333"/>
          <w:sz w:val="24"/>
          <w:szCs w:val="24"/>
        </w:rPr>
        <w:t>Tab 2: Exploratory Data Analysis</w:t>
      </w:r>
    </w:p>
    <w:p w14:paraId="34F537EB" w14:textId="77777777" w:rsidR="003B0F55" w:rsidRDefault="00000000">
      <w:pPr>
        <w:spacing w:before="80" w:after="100"/>
        <w:jc w:val="both"/>
      </w:pPr>
      <w:r>
        <w:rPr>
          <w:color w:val="333333"/>
        </w:rPr>
        <w:t>Interactive charts derived from the training dataset illustrate the diurnal generation bell-curve, the seasonal distribution of irradiation, and the relationship between module temperature and power efficiency loss. These visualisations contextualise model predictions within the broader physical behaviour of the installation.</w:t>
      </w:r>
    </w:p>
    <w:p w14:paraId="3E6EFF3F" w14:textId="77777777" w:rsidR="003B0F55" w:rsidRDefault="00000000">
      <w:pPr>
        <w:spacing w:before="200" w:after="80"/>
      </w:pPr>
      <w:r>
        <w:rPr>
          <w:b/>
          <w:bCs/>
          <w:color w:val="333333"/>
          <w:sz w:val="24"/>
          <w:szCs w:val="24"/>
        </w:rPr>
        <w:t>Tab 3: Model Evaluation Audit Dashboard</w:t>
      </w:r>
    </w:p>
    <w:p w14:paraId="4342FBAA" w14:textId="77777777" w:rsidR="003B0F55" w:rsidRDefault="00000000">
      <w:pPr>
        <w:spacing w:before="80" w:after="100"/>
        <w:jc w:val="both"/>
      </w:pPr>
      <w:r>
        <w:rPr>
          <w:color w:val="333333"/>
        </w:rPr>
        <w:t>A transparency-oriented panel presenting the full suite of holdout test metrics, scatter plots comparing predicted against actual power values, residual error histograms, and a feature importance bar chart. This tab serves as an auditable record of model performance and supports regulatory or operational compliance requirements.</w:t>
      </w:r>
    </w:p>
    <w:p w14:paraId="7BBD722F" w14:textId="77777777" w:rsidR="003B0F55" w:rsidRDefault="00000000">
      <w:pPr>
        <w:spacing w:before="200" w:after="80"/>
      </w:pPr>
      <w:r>
        <w:rPr>
          <w:b/>
          <w:bCs/>
          <w:color w:val="333333"/>
          <w:sz w:val="24"/>
          <w:szCs w:val="24"/>
        </w:rPr>
        <w:t>Tab 4: 24-Hour Power Curve Forecast</w:t>
      </w:r>
    </w:p>
    <w:p w14:paraId="2DD27594" w14:textId="77777777" w:rsidR="003B0F55" w:rsidRDefault="00000000">
      <w:pPr>
        <w:spacing w:before="80" w:after="100"/>
        <w:jc w:val="both"/>
      </w:pPr>
      <w:r>
        <w:rPr>
          <w:color w:val="333333"/>
        </w:rPr>
        <w:t>The engineer specifies a baseline weather scenario (e.g., a clear summer day, a partly cloudy winter day) and the application automatically iterates the model across all 24 hours, generating a complete power-generation forecast curve. This capability is directly applicable to day-ahead grid scheduling and energy trading decisions.</w:t>
      </w:r>
    </w:p>
    <w:p w14:paraId="7DF57605" w14:textId="77777777" w:rsidR="003B0F55" w:rsidRDefault="00000000">
      <w:pPr>
        <w:spacing w:before="200" w:after="80"/>
      </w:pPr>
      <w:r>
        <w:rPr>
          <w:b/>
          <w:bCs/>
          <w:color w:val="333333"/>
          <w:sz w:val="24"/>
          <w:szCs w:val="24"/>
        </w:rPr>
        <w:t>Tab 5: Logs &amp; Export</w:t>
      </w:r>
    </w:p>
    <w:p w14:paraId="4CBD940E" w14:textId="77777777" w:rsidR="003B0F55" w:rsidRDefault="00000000">
      <w:pPr>
        <w:spacing w:before="80" w:after="100"/>
        <w:jc w:val="both"/>
      </w:pPr>
      <w:r>
        <w:rPr>
          <w:color w:val="333333"/>
        </w:rPr>
        <w:t>Provides downloadable access to the test validation dataset (actual vs. predicted values) and a machine-readable JSON audit log recording the exact hyperparameters, training dataset hash, and evaluation scores associated with the deployed model version. This log supports algorithmic reproducibility and model governance.</w:t>
      </w:r>
    </w:p>
    <w:p w14:paraId="1FE5A8B1" w14:textId="77777777" w:rsidR="003B0F55" w:rsidRDefault="00000000">
      <w:pPr>
        <w:pStyle w:val="Heading2"/>
      </w:pPr>
      <w:r>
        <w:t>4.3 Local Deployment Instructions</w:t>
      </w:r>
    </w:p>
    <w:p w14:paraId="48854C57" w14:textId="77777777" w:rsidR="003B0F55" w:rsidRDefault="00000000">
      <w:pPr>
        <w:spacing w:before="80" w:after="100"/>
        <w:jc w:val="both"/>
      </w:pPr>
      <w:r>
        <w:rPr>
          <w:color w:val="333333"/>
        </w:rPr>
        <w:t>The application is structured according to modern Python packaging conventions and can be launched with three terminal commands:</w:t>
      </w:r>
    </w:p>
    <w:p w14:paraId="3CCE8EBB" w14:textId="77777777" w:rsidR="003B0F55" w:rsidRDefault="003B0F5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0F55" w14:paraId="7F2B30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40" w:type="dxa"/>
              <w:bottom w:w="160" w:type="dxa"/>
              <w:right w:w="240" w:type="dxa"/>
            </w:tcMar>
          </w:tcPr>
          <w:p w14:paraId="5B466FB4" w14:textId="77777777" w:rsidR="003B0F55" w:rsidRDefault="00000000">
            <w:r>
              <w:rPr>
                <w:rFonts w:ascii="Courier New" w:eastAsia="Courier New" w:hAnsi="Courier New" w:cs="Courier New"/>
                <w:color w:val="6A9955"/>
                <w:sz w:val="20"/>
                <w:szCs w:val="20"/>
              </w:rPr>
              <w:t># Step 1: Activate the virtual environment</w:t>
            </w:r>
          </w:p>
          <w:p w14:paraId="38382914" w14:textId="77777777" w:rsidR="003B0F55" w:rsidRDefault="00000000">
            <w:r>
              <w:rPr>
                <w:rFonts w:ascii="Courier New" w:eastAsia="Courier New" w:hAnsi="Courier New" w:cs="Courier New"/>
                <w:color w:val="4FC1FF"/>
                <w:sz w:val="20"/>
                <w:szCs w:val="20"/>
              </w:rPr>
              <w:t xml:space="preserve">source </w:t>
            </w:r>
            <w:proofErr w:type="spellStart"/>
            <w:r>
              <w:rPr>
                <w:rFonts w:ascii="Courier New" w:eastAsia="Courier New" w:hAnsi="Courier New" w:cs="Courier New"/>
                <w:color w:val="4FC1FF"/>
                <w:sz w:val="20"/>
                <w:szCs w:val="20"/>
              </w:rPr>
              <w:t>venv</w:t>
            </w:r>
            <w:proofErr w:type="spellEnd"/>
            <w:r>
              <w:rPr>
                <w:rFonts w:ascii="Courier New" w:eastAsia="Courier New" w:hAnsi="Courier New" w:cs="Courier New"/>
                <w:color w:val="4FC1FF"/>
                <w:sz w:val="20"/>
                <w:szCs w:val="20"/>
              </w:rPr>
              <w:t>/bin/activate</w:t>
            </w:r>
          </w:p>
          <w:p w14:paraId="5D8CB231" w14:textId="77777777" w:rsidR="003B0F55" w:rsidRDefault="003B0F55"/>
          <w:p w14:paraId="799CD80A" w14:textId="77777777" w:rsidR="003B0F55" w:rsidRDefault="00000000">
            <w:r>
              <w:rPr>
                <w:rFonts w:ascii="Courier New" w:eastAsia="Courier New" w:hAnsi="Courier New" w:cs="Courier New"/>
                <w:color w:val="6A9955"/>
                <w:sz w:val="20"/>
                <w:szCs w:val="20"/>
              </w:rPr>
              <w:t># Step 2 (Optional): Retrain the model</w:t>
            </w:r>
          </w:p>
          <w:p w14:paraId="1118FA76" w14:textId="77777777" w:rsidR="003B0F55" w:rsidRDefault="00000000">
            <w:r>
              <w:rPr>
                <w:rFonts w:ascii="Courier New" w:eastAsia="Courier New" w:hAnsi="Courier New" w:cs="Courier New"/>
                <w:color w:val="4FC1FF"/>
                <w:sz w:val="20"/>
                <w:szCs w:val="20"/>
              </w:rPr>
              <w:t xml:space="preserve">python -m </w:t>
            </w:r>
            <w:proofErr w:type="spellStart"/>
            <w:r>
              <w:rPr>
                <w:rFonts w:ascii="Courier New" w:eastAsia="Courier New" w:hAnsi="Courier New" w:cs="Courier New"/>
                <w:color w:val="4FC1FF"/>
                <w:sz w:val="20"/>
                <w:szCs w:val="20"/>
              </w:rPr>
              <w:t>src.modeling.train</w:t>
            </w:r>
            <w:proofErr w:type="spellEnd"/>
          </w:p>
          <w:p w14:paraId="064D39E4" w14:textId="77777777" w:rsidR="003B0F55" w:rsidRDefault="003B0F55"/>
          <w:p w14:paraId="5BB29C12" w14:textId="77777777" w:rsidR="003B0F55" w:rsidRDefault="00000000">
            <w:r>
              <w:rPr>
                <w:rFonts w:ascii="Courier New" w:eastAsia="Courier New" w:hAnsi="Courier New" w:cs="Courier New"/>
                <w:color w:val="6A9955"/>
                <w:sz w:val="20"/>
                <w:szCs w:val="20"/>
              </w:rPr>
              <w:t># Step 3: Launch the web application</w:t>
            </w:r>
          </w:p>
          <w:p w14:paraId="6E1A39E0" w14:textId="77777777" w:rsidR="003B0F55" w:rsidRDefault="00000000">
            <w:proofErr w:type="spellStart"/>
            <w:r>
              <w:rPr>
                <w:rFonts w:ascii="Courier New" w:eastAsia="Courier New" w:hAnsi="Courier New" w:cs="Courier New"/>
                <w:color w:val="4FC1FF"/>
                <w:sz w:val="20"/>
                <w:szCs w:val="20"/>
              </w:rPr>
              <w:t>streamlit</w:t>
            </w:r>
            <w:proofErr w:type="spellEnd"/>
            <w:r>
              <w:rPr>
                <w:rFonts w:ascii="Courier New" w:eastAsia="Courier New" w:hAnsi="Courier New" w:cs="Courier New"/>
                <w:color w:val="4FC1FF"/>
                <w:sz w:val="20"/>
                <w:szCs w:val="20"/>
              </w:rPr>
              <w:t xml:space="preserve"> run app/streamlit_app.py</w:t>
            </w:r>
          </w:p>
        </w:tc>
      </w:tr>
    </w:tbl>
    <w:p w14:paraId="36E9B3D9" w14:textId="77777777" w:rsidR="003B0F55" w:rsidRDefault="003B0F55">
      <w:pPr>
        <w:spacing w:before="80"/>
      </w:pPr>
    </w:p>
    <w:p w14:paraId="3EA561A0" w14:textId="77777777" w:rsidR="003B0F55" w:rsidRDefault="00000000">
      <w:pPr>
        <w:pStyle w:val="Heading1"/>
        <w:pBdr>
          <w:bottom w:val="single" w:sz="8" w:space="4" w:color="2E75B6"/>
        </w:pBdr>
      </w:pPr>
      <w:r>
        <w:lastRenderedPageBreak/>
        <w:t>5. Model Performance Evaluation</w:t>
      </w:r>
    </w:p>
    <w:p w14:paraId="699F1023" w14:textId="77777777" w:rsidR="003B0F55" w:rsidRDefault="00000000">
      <w:pPr>
        <w:pStyle w:val="Heading2"/>
      </w:pPr>
      <w:r>
        <w:t>5.1 Algorithm Selection Rationale</w:t>
      </w:r>
    </w:p>
    <w:p w14:paraId="163B06D4" w14:textId="77777777" w:rsidR="003B0F55" w:rsidRDefault="00000000">
      <w:pPr>
        <w:spacing w:before="80" w:after="100"/>
        <w:jc w:val="both"/>
      </w:pPr>
      <w:r>
        <w:rPr>
          <w:color w:val="333333"/>
        </w:rPr>
        <w:t>A Random Forest Regressor was selected as the modelling algorithm following consideration of several alternatives, including linear regression, gradient-boosted trees, and deep neural networks.</w:t>
      </w:r>
    </w:p>
    <w:p w14:paraId="7181AD02" w14:textId="77777777" w:rsidR="003B0F55" w:rsidRDefault="00000000">
      <w:pPr>
        <w:spacing w:before="80" w:after="100"/>
        <w:jc w:val="both"/>
      </w:pPr>
      <w:r>
        <w:rPr>
          <w:color w:val="333333"/>
        </w:rPr>
        <w:t>Linear regression is unsuitable because solar power generation is fundamentally non-linear: it rises steeply in the morning, follows a parabolic arc through the day, and is zero for extended nocturnal periods. A linear model cannot represent this behaviour accurately.</w:t>
      </w:r>
    </w:p>
    <w:p w14:paraId="16D71632" w14:textId="77777777" w:rsidR="003B0F55" w:rsidRDefault="00000000">
      <w:pPr>
        <w:spacing w:before="80" w:after="100"/>
        <w:jc w:val="both"/>
      </w:pPr>
      <w:r>
        <w:rPr>
          <w:color w:val="333333"/>
        </w:rPr>
        <w:t>Deep neural networks, while capable of modelling non-linearity, require substantially larger datasets and significantly more computational resources for hyperparameter tuning. They are also more susceptible to overfitting on tabular datasets of moderate size and offer limited interpretability.</w:t>
      </w:r>
    </w:p>
    <w:p w14:paraId="547B485D" w14:textId="77777777" w:rsidR="003B0F55" w:rsidRDefault="00000000">
      <w:pPr>
        <w:spacing w:before="80" w:after="100"/>
        <w:jc w:val="both"/>
      </w:pPr>
      <w:r>
        <w:rPr>
          <w:color w:val="333333"/>
        </w:rPr>
        <w:t>The Random Forest Regressor offers a compelling balance of capabilities: it handles non-linear feature relationships natively, is robust to outliers, provides built-in feature importance rankings, and reduces overfitting through ensemble averaging across 100 independently trained decision trees. Its performance on tabular regression tasks with moderate dataset sizes is well-established in the literature.</w:t>
      </w:r>
    </w:p>
    <w:p w14:paraId="18940D93" w14:textId="77777777" w:rsidR="003B0F55" w:rsidRDefault="00000000">
      <w:pPr>
        <w:pStyle w:val="Heading2"/>
      </w:pPr>
      <w:r>
        <w:t>5.2 Testing Methodology</w:t>
      </w:r>
    </w:p>
    <w:p w14:paraId="02D98890" w14:textId="77777777" w:rsidR="003B0F55" w:rsidRDefault="00000000">
      <w:pPr>
        <w:spacing w:before="80" w:after="100"/>
        <w:jc w:val="both"/>
      </w:pPr>
      <w:r>
        <w:rPr>
          <w:color w:val="333333"/>
        </w:rPr>
        <w:t>As described in Section 3.2, a chronological 80/20 split was employed. The first 80% of timestamped records formed the training corpus; the final 20% constituted the holdout test set, representing the model's performance on genuinely unseen future data. This methodology is the industry standard for time-series evaluation and guards against the leakage vulnerabilities inherent in random splitting.</w:t>
      </w:r>
    </w:p>
    <w:p w14:paraId="6E58ACB7" w14:textId="77777777" w:rsidR="003B0F55" w:rsidRDefault="00000000">
      <w:pPr>
        <w:pStyle w:val="Heading2"/>
      </w:pPr>
      <w:r>
        <w:t>5.3 Evaluation Metrics</w:t>
      </w:r>
    </w:p>
    <w:p w14:paraId="5AE6CF5C" w14:textId="77777777" w:rsidR="003B0F55" w:rsidRDefault="00000000">
      <w:pPr>
        <w:spacing w:before="80" w:after="100"/>
        <w:jc w:val="both"/>
      </w:pPr>
      <w:r>
        <w:rPr>
          <w:color w:val="333333"/>
        </w:rPr>
        <w:t>Four complementary metrics were computed against the holdout test set to provide a multi-dimensional characterisation of model accuracy:</w:t>
      </w:r>
    </w:p>
    <w:p w14:paraId="63ADD5F6" w14:textId="77777777" w:rsidR="003B0F55" w:rsidRDefault="003B0F5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6060"/>
      </w:tblGrid>
      <w:tr w:rsidR="003B0F55" w14:paraId="09D1D2E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EF61A88" w14:textId="77777777" w:rsidR="003B0F55" w:rsidRDefault="00000000">
            <w:r>
              <w:rPr>
                <w:b/>
                <w:bCs/>
                <w:color w:val="FFFFFF"/>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26496EA" w14:textId="77777777" w:rsidR="003B0F55" w:rsidRDefault="00000000">
            <w:r>
              <w:rPr>
                <w:b/>
                <w:bCs/>
                <w:color w:val="FFFFFF"/>
                <w:sz w:val="20"/>
                <w:szCs w:val="20"/>
              </w:rPr>
              <w:t>Score Achieved</w:t>
            </w:r>
          </w:p>
        </w:tc>
        <w:tc>
          <w:tcPr>
            <w:tcW w:w="60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7FE8219" w14:textId="77777777" w:rsidR="003B0F55" w:rsidRDefault="00000000">
            <w:r>
              <w:rPr>
                <w:b/>
                <w:bCs/>
                <w:color w:val="FFFFFF"/>
                <w:sz w:val="20"/>
                <w:szCs w:val="20"/>
              </w:rPr>
              <w:t>Interpretation</w:t>
            </w:r>
          </w:p>
        </w:tc>
      </w:tr>
      <w:tr w:rsidR="003B0F55" w14:paraId="03FE75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957968" w14:textId="77777777" w:rsidR="003B0F55" w:rsidRDefault="00000000">
            <w:r>
              <w:rPr>
                <w:color w:val="333333"/>
                <w:sz w:val="20"/>
                <w:szCs w:val="20"/>
              </w:rPr>
              <w:t>R² (R-Squared)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5F642B" w14:textId="77777777" w:rsidR="003B0F55" w:rsidRDefault="00000000">
            <w:r>
              <w:rPr>
                <w:color w:val="333333"/>
                <w:sz w:val="20"/>
                <w:szCs w:val="20"/>
              </w:rPr>
              <w:t>0.93</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92BA35" w14:textId="77777777" w:rsidR="003B0F55" w:rsidRDefault="00000000">
            <w:r>
              <w:rPr>
                <w:color w:val="333333"/>
                <w:sz w:val="20"/>
                <w:szCs w:val="20"/>
              </w:rPr>
              <w:t>The model accounts for 93% of the total variance in DC power output. A score of 1.0 represents a perfect fit; 0.93 is considered excellent for a physical generation system with inherent stochastic variability.</w:t>
            </w:r>
          </w:p>
        </w:tc>
      </w:tr>
      <w:tr w:rsidR="003B0F55" w14:paraId="0D038A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3E9897D" w14:textId="77777777" w:rsidR="003B0F55" w:rsidRDefault="00000000">
            <w:r>
              <w:rPr>
                <w:color w:val="333333"/>
                <w:sz w:val="20"/>
                <w:szCs w:val="20"/>
              </w:rPr>
              <w:t>MAE (Mean Absolute Error)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14C614B" w14:textId="77777777" w:rsidR="003B0F55" w:rsidRDefault="00000000">
            <w:r>
              <w:rPr>
                <w:color w:val="333333"/>
                <w:sz w:val="20"/>
                <w:szCs w:val="20"/>
              </w:rPr>
              <w:t>460.65 W</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A3D4EC4" w14:textId="77777777" w:rsidR="003B0F55" w:rsidRDefault="00000000">
            <w:r>
              <w:rPr>
                <w:color w:val="333333"/>
                <w:sz w:val="20"/>
                <w:szCs w:val="20"/>
              </w:rPr>
              <w:t>On average, the model's prediction deviates from the observed value by 460 Watts. Given that utility-scale solar installations routinely generate tens or hundreds of kilowatts per inverter, this represents an operationally negligible absolute error.</w:t>
            </w:r>
          </w:p>
        </w:tc>
      </w:tr>
      <w:tr w:rsidR="003B0F55" w14:paraId="2A7A67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F271E9" w14:textId="77777777" w:rsidR="003B0F55" w:rsidRDefault="00000000">
            <w:r>
              <w:rPr>
                <w:color w:val="333333"/>
                <w:sz w:val="20"/>
                <w:szCs w:val="20"/>
              </w:rPr>
              <w:t>RMSE (Root Mean Squared Error)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08D1A1" w14:textId="77777777" w:rsidR="003B0F55" w:rsidRDefault="00000000">
            <w:r>
              <w:rPr>
                <w:color w:val="333333"/>
                <w:sz w:val="20"/>
                <w:szCs w:val="20"/>
              </w:rPr>
              <w:t>933.25 W</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5F1377" w14:textId="77777777" w:rsidR="003B0F55" w:rsidRDefault="00000000">
            <w:r>
              <w:rPr>
                <w:color w:val="333333"/>
                <w:sz w:val="20"/>
                <w:szCs w:val="20"/>
              </w:rPr>
              <w:t>RMSE penalises large individual errors disproportionately by squaring residuals before averaging. Maintaining a relatively low RMSE demonstrates that the model rarely produces catastrophically incorrect forecasts — a critical requirement for grid safety applications.</w:t>
            </w:r>
          </w:p>
        </w:tc>
      </w:tr>
      <w:tr w:rsidR="003B0F55" w14:paraId="5979BD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4CED36E" w14:textId="77777777" w:rsidR="003B0F55" w:rsidRDefault="00000000">
            <w:r>
              <w:rPr>
                <w:color w:val="333333"/>
                <w:sz w:val="20"/>
                <w:szCs w:val="20"/>
              </w:rPr>
              <w:lastRenderedPageBreak/>
              <w:t>MAPE (Mean Abs. Percentage Error)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D91E7AB" w14:textId="77777777" w:rsidR="003B0F55" w:rsidRDefault="00000000">
            <w:r>
              <w:rPr>
                <w:color w:val="333333"/>
                <w:sz w:val="20"/>
                <w:szCs w:val="20"/>
              </w:rPr>
              <w:t>~110%</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1717A9D" w14:textId="77777777" w:rsidR="003B0F55" w:rsidRDefault="00000000">
            <w:r>
              <w:rPr>
                <w:color w:val="333333"/>
                <w:sz w:val="20"/>
                <w:szCs w:val="20"/>
              </w:rPr>
              <w:t>MAPE is statistically misleading in solar forecasting contexts. Near sunrise and sunset, actual power values approach zero; even a small absolute prediction error (e.g., 2 W off a 1 W actual) produces a 200% relative error. MAE and R² are the appropriate primary metrics for this domain.</w:t>
            </w:r>
          </w:p>
        </w:tc>
      </w:tr>
    </w:tbl>
    <w:p w14:paraId="2E6DFA6D" w14:textId="77777777" w:rsidR="003B0F55" w:rsidRDefault="003B0F55">
      <w:pPr>
        <w:spacing w:before="160"/>
      </w:pPr>
    </w:p>
    <w:p w14:paraId="4C2CEF01" w14:textId="77777777" w:rsidR="003B0F55" w:rsidRDefault="00000000">
      <w:pPr>
        <w:pStyle w:val="Heading2"/>
      </w:pPr>
      <w:r>
        <w:t>5.4 Cross-Validation Rigour</w:t>
      </w:r>
    </w:p>
    <w:p w14:paraId="72D9D72C" w14:textId="77777777" w:rsidR="003B0F55" w:rsidRDefault="00000000">
      <w:pPr>
        <w:spacing w:before="80" w:after="100"/>
        <w:jc w:val="both"/>
      </w:pPr>
      <w:r>
        <w:rPr>
          <w:color w:val="333333"/>
        </w:rPr>
        <w:t>To verify that the 0.93 R² score was not an artefact of a particularly favourable holdout split, k-fold Time-Series Cross-Validation was applied with k = 5. In this procedure, the dataset is divided into five sequential folds; the model is trained on all preceding folds and tested on the next fold, cycling through all five windows.</w:t>
      </w:r>
    </w:p>
    <w:p w14:paraId="2A209CB6" w14:textId="4E2B9D1E" w:rsidR="003B0F55" w:rsidRDefault="00000000">
      <w:pPr>
        <w:spacing w:before="80" w:after="100"/>
        <w:jc w:val="both"/>
      </w:pPr>
      <w:r>
        <w:rPr>
          <w:color w:val="333333"/>
        </w:rPr>
        <w:t>Across the five folds, the model achieved a mean R² of 0.81 ± 0.09. This confirms that the forecasting architecture is statistically robust it performs consistently well across multiple disjoint time windows rather than overfitting to a specific temporal period. The slight reduction from the single holdout R² (0.93 to 0.81) is expected and reflects the greater challenge presented by shorter training windows in the rolling cross-validation procedure.</w:t>
      </w:r>
    </w:p>
    <w:p w14:paraId="4028B0FB" w14:textId="77777777" w:rsidR="003B0F55" w:rsidRDefault="00000000">
      <w:pPr>
        <w:pStyle w:val="Heading2"/>
      </w:pPr>
      <w:r>
        <w:t>5.5 Model Explainability via Feature Importance</w:t>
      </w:r>
    </w:p>
    <w:p w14:paraId="741A763B" w14:textId="77777777" w:rsidR="003B0F55" w:rsidRDefault="00000000">
      <w:pPr>
        <w:spacing w:before="80" w:after="100"/>
        <w:jc w:val="both"/>
      </w:pPr>
      <w:r>
        <w:rPr>
          <w:color w:val="333333"/>
        </w:rPr>
        <w:t>One of the operational advantages of the Random Forest algorithm is its native capacity to report feature importance — a measure of how much each input variable contributes to reducing prediction error (quantified via Gini impurity reduction aggregated across all trees).</w:t>
      </w:r>
    </w:p>
    <w:p w14:paraId="3636A899" w14:textId="77777777" w:rsidR="003B0F55" w:rsidRDefault="00000000">
      <w:pPr>
        <w:spacing w:before="80" w:after="100"/>
        <w:jc w:val="both"/>
      </w:pPr>
      <w:r>
        <w:rPr>
          <w:color w:val="333333"/>
        </w:rPr>
        <w:t>The feature importance analysis confirmed the following hierarchy:</w:t>
      </w:r>
    </w:p>
    <w:p w14:paraId="69EED676" w14:textId="77777777" w:rsidR="003B0F55" w:rsidRDefault="00000000">
      <w:pPr>
        <w:pStyle w:val="ListParagraph"/>
        <w:numPr>
          <w:ilvl w:val="0"/>
          <w:numId w:val="2"/>
        </w:numPr>
        <w:spacing w:before="40" w:after="40"/>
      </w:pPr>
      <w:r>
        <w:rPr>
          <w:color w:val="333333"/>
        </w:rPr>
        <w:t>IRRADIATION contributed approximately 33% of total predictive power, consistent with the primary physical law governing solar generation.</w:t>
      </w:r>
    </w:p>
    <w:p w14:paraId="0AA667C1" w14:textId="77777777" w:rsidR="003B0F55" w:rsidRDefault="00000000">
      <w:pPr>
        <w:pStyle w:val="ListParagraph"/>
        <w:numPr>
          <w:ilvl w:val="0"/>
          <w:numId w:val="2"/>
        </w:numPr>
        <w:spacing w:before="40" w:after="40"/>
      </w:pPr>
      <w:r>
        <w:rPr>
          <w:color w:val="333333"/>
        </w:rPr>
        <w:t>SOURCE_KEY (inverter identity) ranked second, reflecting real-world differences in hardware efficiency and degradation states across units.</w:t>
      </w:r>
    </w:p>
    <w:p w14:paraId="2CE70665" w14:textId="77777777" w:rsidR="003B0F55" w:rsidRDefault="00000000">
      <w:pPr>
        <w:pStyle w:val="ListParagraph"/>
        <w:numPr>
          <w:ilvl w:val="0"/>
          <w:numId w:val="2"/>
        </w:numPr>
        <w:spacing w:before="40" w:after="40"/>
      </w:pPr>
      <w:r>
        <w:rPr>
          <w:color w:val="333333"/>
        </w:rPr>
        <w:t>MODULE_TEMPERATURE and AMBIENT_TEMPERATURE followed, capturing the thermal efficiency losses described in Section 2.2.</w:t>
      </w:r>
    </w:p>
    <w:p w14:paraId="35ED1BC5" w14:textId="77777777" w:rsidR="003B0F55" w:rsidRDefault="00000000">
      <w:pPr>
        <w:pStyle w:val="ListParagraph"/>
        <w:numPr>
          <w:ilvl w:val="0"/>
          <w:numId w:val="2"/>
        </w:numPr>
        <w:spacing w:before="40" w:after="40"/>
      </w:pPr>
      <w:r>
        <w:rPr>
          <w:color w:val="333333"/>
        </w:rPr>
        <w:t>Temporal features (hour and month) contributed the remaining importance, encoding the diurnal and seasonal patterns in the training data.</w:t>
      </w:r>
    </w:p>
    <w:p w14:paraId="644F2E8E" w14:textId="77777777" w:rsidR="003B0F55" w:rsidRDefault="003B0F55">
      <w:pPr>
        <w:spacing w:before="80"/>
      </w:pPr>
    </w:p>
    <w:p w14:paraId="4CB9DD32" w14:textId="644C7B93" w:rsidR="003B0F55" w:rsidRDefault="00000000">
      <w:pPr>
        <w:spacing w:before="80" w:after="100"/>
        <w:jc w:val="both"/>
      </w:pPr>
      <w:r>
        <w:rPr>
          <w:color w:val="333333"/>
        </w:rPr>
        <w:t>Crucially, this ranking mirrors the known physics of solar power generation irradiance dominates, hardware characteristics modulate baseline efficiency, and temperature governs efficiency losses. The model independently rediscovered these physical relationships from empirical data alone, providing strong validation that it has learned genuine causal structure rather than spurious correlations.</w:t>
      </w:r>
    </w:p>
    <w:p w14:paraId="11679851" w14:textId="77777777" w:rsidR="003B0F55" w:rsidRDefault="003B0F55">
      <w:pPr>
        <w:spacing w:before="80"/>
      </w:pPr>
    </w:p>
    <w:p w14:paraId="4E4B0409" w14:textId="77777777" w:rsidR="003B0F55" w:rsidRDefault="00000000">
      <w:pPr>
        <w:pStyle w:val="Heading1"/>
        <w:pBdr>
          <w:bottom w:val="single" w:sz="8" w:space="4" w:color="2E75B6"/>
        </w:pBdr>
      </w:pPr>
      <w:r>
        <w:t>6. Conclusion</w:t>
      </w:r>
    </w:p>
    <w:p w14:paraId="2EE6B858" w14:textId="3999CF06" w:rsidR="003B0F55" w:rsidRDefault="00000000">
      <w:pPr>
        <w:spacing w:before="80" w:after="100"/>
        <w:jc w:val="both"/>
      </w:pPr>
      <w:r>
        <w:rPr>
          <w:color w:val="333333"/>
        </w:rPr>
        <w:lastRenderedPageBreak/>
        <w:t>This project demonstrates that supervised machine learning and specifically the Random Forest Regressor can provide highly accurate, operationally practical forecasts of solar photovoltaic power generation. The system addresses a genuine and pressing challenge in renewable energy integration: the inability to schedule dispatchable reserves against unpredictable solar output without reliable short-horizon generation forecasts.</w:t>
      </w:r>
    </w:p>
    <w:p w14:paraId="643AD119" w14:textId="38A7CD1A" w:rsidR="003B0F55" w:rsidRDefault="00000000">
      <w:pPr>
        <w:spacing w:before="80" w:after="100"/>
        <w:jc w:val="both"/>
      </w:pPr>
      <w:r>
        <w:rPr>
          <w:color w:val="333333"/>
        </w:rPr>
        <w:t>The model achieved an R² of 0.93 on a rigorous chronological holdout test, an MAE of 460.65 W, and a cross-validated R² of 0.81 ± 0.09 all metrics indicative of a forecast engine suitable for professional deployment in a grid operations context. The feature importance analysis confirmed that the model successfully learned the physical laws of solar generation from historical data, instilling confidence in its generalisability.</w:t>
      </w:r>
    </w:p>
    <w:p w14:paraId="3F7490B6" w14:textId="77777777" w:rsidR="003B0F55" w:rsidRDefault="00000000">
      <w:pPr>
        <w:spacing w:before="80" w:after="100"/>
        <w:jc w:val="both"/>
      </w:pPr>
      <w:r>
        <w:rPr>
          <w:color w:val="333333"/>
        </w:rPr>
        <w:t xml:space="preserve">The accompanying </w:t>
      </w:r>
      <w:proofErr w:type="spellStart"/>
      <w:r>
        <w:rPr>
          <w:color w:val="333333"/>
        </w:rPr>
        <w:t>Streamlit</w:t>
      </w:r>
      <w:proofErr w:type="spellEnd"/>
      <w:r>
        <w:rPr>
          <w:color w:val="333333"/>
        </w:rPr>
        <w:t xml:space="preserve"> application packages this forecasting capability into an accessible, code-free interface that supports single-point prediction, batch forecasting, exploratory analysis, model auditing, and 24-hour power curve simulation. Together, the model and application constitute a complete, production-ready pipeline from raw meteorological data to actionable grid scheduling intelligence.</w:t>
      </w:r>
    </w:p>
    <w:p w14:paraId="75E06DC8" w14:textId="77777777" w:rsidR="003B0F55" w:rsidRDefault="003B0F55">
      <w:pPr>
        <w:spacing w:before="80"/>
      </w:pPr>
    </w:p>
    <w:sectPr w:rsidR="003B0F5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0CF7" w14:textId="77777777" w:rsidR="00904D09" w:rsidRDefault="00904D09">
      <w:r>
        <w:separator/>
      </w:r>
    </w:p>
  </w:endnote>
  <w:endnote w:type="continuationSeparator" w:id="0">
    <w:p w14:paraId="396813BD" w14:textId="77777777" w:rsidR="00904D09" w:rsidRDefault="0090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7403" w14:textId="77777777" w:rsidR="003B0F55" w:rsidRDefault="00000000">
    <w:pPr>
      <w:pBdr>
        <w:top w:val="single" w:sz="4" w:space="4"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2A9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92A9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879B" w14:textId="77777777" w:rsidR="00904D09" w:rsidRDefault="00904D09">
      <w:r>
        <w:separator/>
      </w:r>
    </w:p>
  </w:footnote>
  <w:footnote w:type="continuationSeparator" w:id="0">
    <w:p w14:paraId="26970182" w14:textId="77777777" w:rsidR="00904D09" w:rsidRDefault="00904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627" w14:textId="77777777" w:rsidR="003B0F55" w:rsidRDefault="00000000">
    <w:pPr>
      <w:pBdr>
        <w:bottom w:val="single" w:sz="4" w:space="4" w:color="2E75B6"/>
      </w:pBdr>
    </w:pPr>
    <w:r>
      <w:rPr>
        <w:color w:val="666666"/>
        <w:sz w:val="18"/>
        <w:szCs w:val="18"/>
      </w:rPr>
      <w:t>Solar Power Forecasting — Machine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785"/>
    <w:multiLevelType w:val="hybridMultilevel"/>
    <w:tmpl w:val="76CE50A4"/>
    <w:lvl w:ilvl="0" w:tplc="07F6CD2C">
      <w:start w:val="1"/>
      <w:numFmt w:val="bullet"/>
      <w:lvlText w:val="●"/>
      <w:lvlJc w:val="left"/>
      <w:pPr>
        <w:ind w:left="720" w:hanging="360"/>
      </w:pPr>
    </w:lvl>
    <w:lvl w:ilvl="1" w:tplc="BB60F136">
      <w:start w:val="1"/>
      <w:numFmt w:val="bullet"/>
      <w:lvlText w:val="○"/>
      <w:lvlJc w:val="left"/>
      <w:pPr>
        <w:ind w:left="1440" w:hanging="360"/>
      </w:pPr>
    </w:lvl>
    <w:lvl w:ilvl="2" w:tplc="3EDA807C">
      <w:start w:val="1"/>
      <w:numFmt w:val="bullet"/>
      <w:lvlText w:val="■"/>
      <w:lvlJc w:val="left"/>
      <w:pPr>
        <w:ind w:left="2160" w:hanging="360"/>
      </w:pPr>
    </w:lvl>
    <w:lvl w:ilvl="3" w:tplc="A852BA5C">
      <w:start w:val="1"/>
      <w:numFmt w:val="bullet"/>
      <w:lvlText w:val="●"/>
      <w:lvlJc w:val="left"/>
      <w:pPr>
        <w:ind w:left="2880" w:hanging="360"/>
      </w:pPr>
    </w:lvl>
    <w:lvl w:ilvl="4" w:tplc="0EC02DEE">
      <w:start w:val="1"/>
      <w:numFmt w:val="bullet"/>
      <w:lvlText w:val="○"/>
      <w:lvlJc w:val="left"/>
      <w:pPr>
        <w:ind w:left="3600" w:hanging="360"/>
      </w:pPr>
    </w:lvl>
    <w:lvl w:ilvl="5" w:tplc="900A3AB2">
      <w:start w:val="1"/>
      <w:numFmt w:val="bullet"/>
      <w:lvlText w:val="■"/>
      <w:lvlJc w:val="left"/>
      <w:pPr>
        <w:ind w:left="4320" w:hanging="360"/>
      </w:pPr>
    </w:lvl>
    <w:lvl w:ilvl="6" w:tplc="0846CD86">
      <w:start w:val="1"/>
      <w:numFmt w:val="bullet"/>
      <w:lvlText w:val="●"/>
      <w:lvlJc w:val="left"/>
      <w:pPr>
        <w:ind w:left="5040" w:hanging="360"/>
      </w:pPr>
    </w:lvl>
    <w:lvl w:ilvl="7" w:tplc="27BCB17A">
      <w:start w:val="1"/>
      <w:numFmt w:val="bullet"/>
      <w:lvlText w:val="●"/>
      <w:lvlJc w:val="left"/>
      <w:pPr>
        <w:ind w:left="5760" w:hanging="360"/>
      </w:pPr>
    </w:lvl>
    <w:lvl w:ilvl="8" w:tplc="0832A3E2">
      <w:start w:val="1"/>
      <w:numFmt w:val="bullet"/>
      <w:lvlText w:val="●"/>
      <w:lvlJc w:val="left"/>
      <w:pPr>
        <w:ind w:left="6480" w:hanging="360"/>
      </w:pPr>
    </w:lvl>
  </w:abstractNum>
  <w:abstractNum w:abstractNumId="1" w15:restartNumberingAfterBreak="0">
    <w:nsid w:val="7B96005C"/>
    <w:multiLevelType w:val="hybridMultilevel"/>
    <w:tmpl w:val="ED4E6938"/>
    <w:lvl w:ilvl="0" w:tplc="F538039C">
      <w:start w:val="1"/>
      <w:numFmt w:val="bullet"/>
      <w:lvlText w:val="•"/>
      <w:lvlJc w:val="left"/>
      <w:pPr>
        <w:ind w:left="720" w:hanging="360"/>
      </w:pPr>
    </w:lvl>
    <w:lvl w:ilvl="1" w:tplc="C07A9474">
      <w:numFmt w:val="decimal"/>
      <w:lvlText w:val=""/>
      <w:lvlJc w:val="left"/>
    </w:lvl>
    <w:lvl w:ilvl="2" w:tplc="C73CCC68">
      <w:numFmt w:val="decimal"/>
      <w:lvlText w:val=""/>
      <w:lvlJc w:val="left"/>
    </w:lvl>
    <w:lvl w:ilvl="3" w:tplc="5A108336">
      <w:numFmt w:val="decimal"/>
      <w:lvlText w:val=""/>
      <w:lvlJc w:val="left"/>
    </w:lvl>
    <w:lvl w:ilvl="4" w:tplc="274261EA">
      <w:numFmt w:val="decimal"/>
      <w:lvlText w:val=""/>
      <w:lvlJc w:val="left"/>
    </w:lvl>
    <w:lvl w:ilvl="5" w:tplc="E6D64864">
      <w:numFmt w:val="decimal"/>
      <w:lvlText w:val=""/>
      <w:lvlJc w:val="left"/>
    </w:lvl>
    <w:lvl w:ilvl="6" w:tplc="A7C6CCB2">
      <w:numFmt w:val="decimal"/>
      <w:lvlText w:val=""/>
      <w:lvlJc w:val="left"/>
    </w:lvl>
    <w:lvl w:ilvl="7" w:tplc="3E36077C">
      <w:numFmt w:val="decimal"/>
      <w:lvlText w:val=""/>
      <w:lvlJc w:val="left"/>
    </w:lvl>
    <w:lvl w:ilvl="8" w:tplc="74183580">
      <w:numFmt w:val="decimal"/>
      <w:lvlText w:val=""/>
      <w:lvlJc w:val="left"/>
    </w:lvl>
  </w:abstractNum>
  <w:num w:numId="1" w16cid:durableId="437916078">
    <w:abstractNumId w:val="0"/>
    <w:lvlOverride w:ilvl="0">
      <w:startOverride w:val="1"/>
    </w:lvlOverride>
  </w:num>
  <w:num w:numId="2" w16cid:durableId="690376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F55"/>
    <w:rsid w:val="00192A92"/>
    <w:rsid w:val="003B0F55"/>
    <w:rsid w:val="00861FB7"/>
    <w:rsid w:val="00904D09"/>
    <w:rsid w:val="00B158DA"/>
    <w:rsid w:val="00B661C0"/>
    <w:rsid w:val="00E4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AADE"/>
  <w15:docId w15:val="{C8C92B99-0EBF-D34D-A495-BBD2D335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2681</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Debasish Karan</cp:lastModifiedBy>
  <cp:revision>2</cp:revision>
  <dcterms:created xsi:type="dcterms:W3CDTF">2026-03-01T16:44:00Z</dcterms:created>
  <dcterms:modified xsi:type="dcterms:W3CDTF">2026-03-01T16:44:00Z</dcterms:modified>
</cp:coreProperties>
</file>