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5.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6.xml" ContentType="application/vnd.openxmlformats-officedocument.drawingml.chart+xml"/>
  <Override PartName="/word/theme/themeOverride1.xml" ContentType="application/vnd.openxmlformats-officedocument.themeOverride+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12.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13.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14.xml" ContentType="application/vnd.openxmlformats-officedocument.drawingml.chart+xml"/>
  <Override PartName="/word/charts/chart15.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6.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7.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8.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9.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20.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21.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22.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23.xml" ContentType="application/vnd.openxmlformats-officedocument.drawingml.chart+xml"/>
  <Override PartName="/word/charts/style14.xml" ContentType="application/vnd.ms-office.chartstyle+xml"/>
  <Override PartName="/word/charts/colors1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0C84" w:rsidRPr="002726A8" w:rsidRDefault="00D94F46" w:rsidP="00920C84">
      <w:pPr>
        <w:spacing w:line="20" w:lineRule="atLeast"/>
        <w:jc w:val="center"/>
        <w:outlineLvl w:val="0"/>
        <w:rPr>
          <w:rFonts w:ascii="Garamond" w:hAnsi="Garamond"/>
          <w:b/>
          <w:color w:val="000080"/>
          <w:sz w:val="144"/>
          <w:szCs w:val="144"/>
        </w:rPr>
      </w:pPr>
      <w:bookmarkStart w:id="0" w:name="_GoBack"/>
      <w:bookmarkEnd w:id="0"/>
      <w:r w:rsidRPr="002726A8">
        <w:rPr>
          <w:rFonts w:ascii="Garamond" w:hAnsi="Garamond"/>
          <w:b/>
          <w:color w:val="000080"/>
          <w:sz w:val="144"/>
          <w:szCs w:val="144"/>
        </w:rPr>
        <w:t xml:space="preserve"> </w:t>
      </w:r>
      <w:r w:rsidR="00920C84" w:rsidRPr="002726A8">
        <w:rPr>
          <w:rFonts w:ascii="Garamond" w:hAnsi="Garamond"/>
          <w:b/>
          <w:color w:val="000080"/>
          <w:sz w:val="144"/>
          <w:szCs w:val="144"/>
        </w:rPr>
        <w:t>SEBI</w:t>
      </w:r>
    </w:p>
    <w:p w:rsidR="00920C84" w:rsidRPr="002726A8" w:rsidRDefault="00920C84" w:rsidP="00920C84">
      <w:pPr>
        <w:spacing w:line="20" w:lineRule="atLeast"/>
        <w:jc w:val="center"/>
        <w:outlineLvl w:val="0"/>
        <w:rPr>
          <w:rFonts w:ascii="Garamond" w:hAnsi="Garamond"/>
          <w:b/>
          <w:color w:val="000080"/>
          <w:sz w:val="56"/>
          <w:szCs w:val="56"/>
        </w:rPr>
      </w:pPr>
      <w:r w:rsidRPr="002726A8">
        <w:rPr>
          <w:rFonts w:ascii="Garamond" w:hAnsi="Garamond"/>
          <w:b/>
          <w:color w:val="000080"/>
          <w:sz w:val="56"/>
          <w:szCs w:val="56"/>
        </w:rPr>
        <w:t>BULLETIN</w:t>
      </w: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287570" w:rsidP="00920C84">
      <w:pPr>
        <w:spacing w:line="20" w:lineRule="atLeast"/>
        <w:jc w:val="center"/>
        <w:rPr>
          <w:rFonts w:ascii="Garamond" w:hAnsi="Garamond"/>
          <w:b/>
          <w:color w:val="FF0000"/>
          <w:sz w:val="28"/>
          <w:szCs w:val="28"/>
        </w:rPr>
      </w:pPr>
      <w:r>
        <w:rPr>
          <w:rFonts w:ascii="Garamond" w:hAnsi="Garamond"/>
          <w:b/>
          <w:color w:val="000080"/>
          <w:sz w:val="28"/>
          <w:szCs w:val="28"/>
        </w:rPr>
        <w:t>March</w:t>
      </w:r>
      <w:r w:rsidR="00DF3FCA" w:rsidRPr="002726A8">
        <w:rPr>
          <w:rFonts w:ascii="Garamond" w:hAnsi="Garamond"/>
          <w:b/>
          <w:color w:val="000080"/>
          <w:sz w:val="28"/>
          <w:szCs w:val="28"/>
        </w:rPr>
        <w:t xml:space="preserve"> 2019</w:t>
      </w:r>
      <w:r w:rsidR="00920C84" w:rsidRPr="002726A8">
        <w:rPr>
          <w:rFonts w:ascii="Garamond" w:hAnsi="Garamond"/>
          <w:b/>
          <w:color w:val="000080"/>
          <w:sz w:val="28"/>
          <w:szCs w:val="28"/>
        </w:rPr>
        <w:t xml:space="preserve">   VOL. 1</w:t>
      </w:r>
      <w:r w:rsidR="00DF3FCA" w:rsidRPr="002726A8">
        <w:rPr>
          <w:rFonts w:ascii="Garamond" w:hAnsi="Garamond"/>
          <w:b/>
          <w:color w:val="000080"/>
          <w:sz w:val="28"/>
          <w:szCs w:val="28"/>
        </w:rPr>
        <w:t>7</w:t>
      </w:r>
      <w:r w:rsidR="00920C84" w:rsidRPr="002726A8">
        <w:rPr>
          <w:rFonts w:ascii="Garamond" w:hAnsi="Garamond"/>
          <w:b/>
          <w:color w:val="000080"/>
          <w:sz w:val="28"/>
          <w:szCs w:val="28"/>
        </w:rPr>
        <w:tab/>
        <w:t xml:space="preserve">  </w:t>
      </w:r>
      <w:r w:rsidR="00992888" w:rsidRPr="002726A8">
        <w:rPr>
          <w:rFonts w:ascii="Garamond" w:hAnsi="Garamond"/>
          <w:b/>
          <w:color w:val="FF0000"/>
          <w:sz w:val="28"/>
          <w:szCs w:val="28"/>
        </w:rPr>
        <w:t xml:space="preserve">NUMBER </w:t>
      </w:r>
      <w:r w:rsidR="00DF3FCA" w:rsidRPr="002726A8">
        <w:rPr>
          <w:rFonts w:ascii="Garamond" w:hAnsi="Garamond"/>
          <w:b/>
          <w:color w:val="FF0000"/>
          <w:sz w:val="28"/>
          <w:szCs w:val="28"/>
        </w:rPr>
        <w:t>0</w:t>
      </w:r>
      <w:r>
        <w:rPr>
          <w:rFonts w:ascii="Garamond" w:hAnsi="Garamond"/>
          <w:b/>
          <w:color w:val="FF0000"/>
          <w:sz w:val="28"/>
          <w:szCs w:val="28"/>
        </w:rPr>
        <w:t>3</w:t>
      </w: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r w:rsidRPr="002726A8">
        <w:rPr>
          <w:rFonts w:ascii="Garamond" w:hAnsi="Garamond"/>
          <w:b/>
          <w:color w:val="000080"/>
        </w:rPr>
        <w:t>(LOGO)</w:t>
      </w: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rPr>
          <w:rFonts w:ascii="Garamond" w:hAnsi="Garamond"/>
          <w:b/>
          <w:color w:val="000080"/>
        </w:rPr>
      </w:pPr>
      <w:r w:rsidRPr="002726A8">
        <w:rPr>
          <w:rFonts w:ascii="Garamond" w:hAnsi="Garamond"/>
          <w:b/>
          <w:color w:val="000080"/>
        </w:rPr>
        <w:br w:type="page"/>
      </w: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rPr>
          <w:rFonts w:ascii="Garamond" w:hAnsi="Garamond"/>
          <w:b/>
          <w:color w:val="000080"/>
        </w:rPr>
      </w:pPr>
    </w:p>
    <w:p w:rsidR="00920C84" w:rsidRPr="002726A8" w:rsidRDefault="00920C84" w:rsidP="00920C84">
      <w:pPr>
        <w:spacing w:line="20" w:lineRule="atLeast"/>
        <w:jc w:val="center"/>
        <w:rPr>
          <w:rFonts w:ascii="Garamond" w:hAnsi="Garamond"/>
          <w:b/>
          <w:color w:val="000080"/>
        </w:rPr>
      </w:pPr>
      <w:r w:rsidRPr="002726A8">
        <w:rPr>
          <w:rFonts w:ascii="Garamond" w:hAnsi="Garamond"/>
          <w:b/>
          <w:color w:val="000080"/>
        </w:rPr>
        <w:t>SECURITIES AND EXCHANGE BOARD OF INDIA</w:t>
      </w:r>
    </w:p>
    <w:p w:rsidR="00920C84" w:rsidRPr="002726A8" w:rsidRDefault="00920C84" w:rsidP="00920C84">
      <w:pPr>
        <w:spacing w:line="20" w:lineRule="atLeast"/>
        <w:jc w:val="both"/>
        <w:rPr>
          <w:rFonts w:ascii="Garamond" w:hAnsi="Garamond"/>
          <w:color w:val="FF0000"/>
        </w:rPr>
      </w:pPr>
    </w:p>
    <w:p w:rsidR="00920C84" w:rsidRPr="002726A8" w:rsidRDefault="00920C84" w:rsidP="00920C84">
      <w:pPr>
        <w:spacing w:line="20" w:lineRule="atLeast"/>
        <w:rPr>
          <w:rFonts w:ascii="Garamond" w:hAnsi="Garamond"/>
          <w:b/>
        </w:rPr>
      </w:pPr>
      <w:r w:rsidRPr="002726A8">
        <w:rPr>
          <w:rFonts w:ascii="Garamond" w:hAnsi="Garamond"/>
          <w:b/>
        </w:rPr>
        <w:t xml:space="preserve">EDITORIAL COMMITTEE </w:t>
      </w:r>
    </w:p>
    <w:p w:rsidR="00920C84" w:rsidRPr="002726A8" w:rsidRDefault="00920C84" w:rsidP="00920C84">
      <w:pPr>
        <w:spacing w:line="20" w:lineRule="atLeast"/>
        <w:jc w:val="both"/>
        <w:outlineLvl w:val="0"/>
        <w:rPr>
          <w:rFonts w:ascii="Garamond" w:hAnsi="Garamond"/>
          <w:b/>
        </w:rPr>
      </w:pPr>
      <w:r w:rsidRPr="002726A8">
        <w:rPr>
          <w:rFonts w:ascii="Garamond" w:hAnsi="Garamond"/>
          <w:b/>
        </w:rPr>
        <w:t xml:space="preserve">Mr. </w:t>
      </w:r>
      <w:r w:rsidR="00AA788E" w:rsidRPr="002726A8">
        <w:rPr>
          <w:rFonts w:ascii="Garamond" w:hAnsi="Garamond"/>
          <w:b/>
        </w:rPr>
        <w:t>P K Nagpal</w:t>
      </w:r>
    </w:p>
    <w:p w:rsidR="00920C84" w:rsidRPr="002726A8" w:rsidRDefault="00920C84" w:rsidP="00920C84">
      <w:pPr>
        <w:spacing w:line="20" w:lineRule="atLeast"/>
        <w:jc w:val="both"/>
        <w:outlineLvl w:val="0"/>
        <w:rPr>
          <w:rFonts w:ascii="Garamond" w:hAnsi="Garamond"/>
          <w:b/>
        </w:rPr>
      </w:pPr>
      <w:r w:rsidRPr="002726A8">
        <w:rPr>
          <w:rFonts w:ascii="Garamond" w:hAnsi="Garamond"/>
          <w:b/>
        </w:rPr>
        <w:t xml:space="preserve">Mr. </w:t>
      </w:r>
      <w:r w:rsidR="006969B4" w:rsidRPr="002726A8">
        <w:rPr>
          <w:rFonts w:ascii="Garamond" w:hAnsi="Garamond"/>
          <w:b/>
        </w:rPr>
        <w:t>Prabhakar R. Patil</w:t>
      </w:r>
    </w:p>
    <w:p w:rsidR="00A77112" w:rsidRPr="002726A8" w:rsidRDefault="00A77112" w:rsidP="00920C84">
      <w:pPr>
        <w:spacing w:line="20" w:lineRule="atLeast"/>
        <w:jc w:val="both"/>
        <w:outlineLvl w:val="0"/>
        <w:rPr>
          <w:rFonts w:ascii="Garamond" w:hAnsi="Garamond"/>
          <w:b/>
        </w:rPr>
      </w:pPr>
      <w:r w:rsidRPr="002726A8">
        <w:rPr>
          <w:rFonts w:ascii="Garamond" w:hAnsi="Garamond"/>
          <w:b/>
        </w:rPr>
        <w:t>Mr</w:t>
      </w:r>
      <w:r w:rsidR="0083773A" w:rsidRPr="002726A8">
        <w:rPr>
          <w:rFonts w:ascii="Garamond" w:hAnsi="Garamond"/>
          <w:b/>
        </w:rPr>
        <w:t>.</w:t>
      </w:r>
      <w:r w:rsidRPr="002726A8">
        <w:rPr>
          <w:rFonts w:ascii="Garamond" w:hAnsi="Garamond"/>
          <w:b/>
        </w:rPr>
        <w:t xml:space="preserve"> </w:t>
      </w:r>
      <w:r w:rsidR="006969B4" w:rsidRPr="002726A8">
        <w:rPr>
          <w:rFonts w:ascii="Garamond" w:hAnsi="Garamond"/>
          <w:b/>
        </w:rPr>
        <w:t>Shashikumar Valsakumar</w:t>
      </w:r>
    </w:p>
    <w:p w:rsidR="006969B4" w:rsidRPr="002726A8" w:rsidRDefault="006969B4" w:rsidP="00920C84">
      <w:pPr>
        <w:spacing w:line="20" w:lineRule="atLeast"/>
        <w:jc w:val="both"/>
        <w:outlineLvl w:val="0"/>
        <w:rPr>
          <w:rFonts w:ascii="Garamond" w:hAnsi="Garamond"/>
          <w:b/>
        </w:rPr>
      </w:pPr>
      <w:r w:rsidRPr="002726A8">
        <w:rPr>
          <w:rFonts w:ascii="Garamond" w:hAnsi="Garamond"/>
          <w:b/>
        </w:rPr>
        <w:t>Mr. Prabhas Rath</w:t>
      </w:r>
    </w:p>
    <w:p w:rsidR="006969B4" w:rsidRPr="002726A8" w:rsidRDefault="006969B4" w:rsidP="00920C84">
      <w:pPr>
        <w:spacing w:line="20" w:lineRule="atLeast"/>
        <w:jc w:val="both"/>
        <w:outlineLvl w:val="0"/>
        <w:rPr>
          <w:rFonts w:ascii="Garamond" w:hAnsi="Garamond"/>
          <w:b/>
        </w:rPr>
      </w:pPr>
      <w:r w:rsidRPr="002726A8">
        <w:rPr>
          <w:rFonts w:ascii="Garamond" w:hAnsi="Garamond"/>
          <w:b/>
        </w:rPr>
        <w:t>Mr. Sahil Malik</w:t>
      </w:r>
    </w:p>
    <w:p w:rsidR="006969B4" w:rsidRPr="002726A8" w:rsidRDefault="006969B4" w:rsidP="00920C84">
      <w:pPr>
        <w:spacing w:line="20" w:lineRule="atLeast"/>
        <w:jc w:val="both"/>
        <w:outlineLvl w:val="0"/>
        <w:rPr>
          <w:rFonts w:ascii="Garamond" w:hAnsi="Garamond"/>
          <w:b/>
        </w:rPr>
      </w:pPr>
    </w:p>
    <w:p w:rsidR="00920C84" w:rsidRPr="002726A8" w:rsidRDefault="00920C84" w:rsidP="00920C84">
      <w:pPr>
        <w:spacing w:line="20" w:lineRule="atLeast"/>
        <w:jc w:val="both"/>
        <w:rPr>
          <w:rFonts w:ascii="Garamond" w:hAnsi="Garamond"/>
        </w:rPr>
      </w:pPr>
    </w:p>
    <w:p w:rsidR="00920C84" w:rsidRPr="002726A8" w:rsidRDefault="00920C84" w:rsidP="00920C84">
      <w:pPr>
        <w:spacing w:line="20" w:lineRule="atLeast"/>
        <w:jc w:val="both"/>
        <w:rPr>
          <w:rFonts w:ascii="Garamond" w:hAnsi="Garamond"/>
        </w:rPr>
      </w:pPr>
      <w:r w:rsidRPr="002726A8">
        <w:rPr>
          <w:rFonts w:ascii="Garamond" w:hAnsi="Garamond"/>
        </w:rPr>
        <w:t xml:space="preserve">The Securities and Exchange Board of India Bulletin is issued by the Department of Economic and Policy Analysis, Securities and Exchange Board of India under the direction of an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 The soft copy of SEBI Bulletin is available free of cost to the subscribers/readers, who register at </w:t>
      </w:r>
      <w:hyperlink r:id="rId8" w:history="1">
        <w:r w:rsidRPr="002726A8">
          <w:rPr>
            <w:rFonts w:ascii="Garamond" w:hAnsi="Garamond"/>
          </w:rPr>
          <w:t>bulletin@sebi.gov.in</w:t>
        </w:r>
      </w:hyperlink>
      <w:r w:rsidRPr="002726A8">
        <w:rPr>
          <w:rFonts w:ascii="Garamond" w:hAnsi="Garamond"/>
        </w:rPr>
        <w:t xml:space="preserve"> along with their complete address. </w:t>
      </w:r>
      <w:r w:rsidRPr="002726A8">
        <w:rPr>
          <w:rFonts w:ascii="Garamond" w:hAnsi="Garamond"/>
          <w:bCs/>
        </w:rPr>
        <w:t xml:space="preserve">A readable version of SEBI Bulletin is available at </w:t>
      </w:r>
      <w:hyperlink r:id="rId9" w:history="1">
        <w:r w:rsidRPr="002726A8">
          <w:rPr>
            <w:rFonts w:ascii="Garamond" w:hAnsi="Garamond"/>
            <w:bCs/>
          </w:rPr>
          <w:t>http://www.sebi.gov.in</w:t>
        </w:r>
      </w:hyperlink>
      <w:r w:rsidRPr="002726A8">
        <w:rPr>
          <w:rFonts w:ascii="Garamond" w:hAnsi="Garamond"/>
          <w:bCs/>
        </w:rPr>
        <w:t xml:space="preserve">. Any comments and suggestions on any of the features/sections may be sent to </w:t>
      </w:r>
      <w:hyperlink r:id="rId10" w:history="1">
        <w:r w:rsidRPr="002726A8">
          <w:rPr>
            <w:rFonts w:ascii="Garamond" w:hAnsi="Garamond"/>
            <w:bCs/>
          </w:rPr>
          <w:t>bulletin@sebi.gov.in</w:t>
        </w:r>
      </w:hyperlink>
    </w:p>
    <w:p w:rsidR="00920C84" w:rsidRPr="002726A8" w:rsidRDefault="00920C84" w:rsidP="00920C84">
      <w:pPr>
        <w:spacing w:line="20" w:lineRule="atLeast"/>
        <w:jc w:val="both"/>
        <w:rPr>
          <w:rFonts w:ascii="Garamond" w:hAnsi="Garamond"/>
          <w:bCs/>
        </w:rPr>
      </w:pPr>
    </w:p>
    <w:p w:rsidR="00920C84" w:rsidRPr="002726A8" w:rsidRDefault="00920C84" w:rsidP="00920C84">
      <w:pPr>
        <w:spacing w:line="20" w:lineRule="atLeast"/>
        <w:jc w:val="both"/>
        <w:rPr>
          <w:rFonts w:ascii="Garamond" w:hAnsi="Garamond"/>
          <w:bCs/>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center"/>
        <w:rPr>
          <w:rFonts w:ascii="Garamond" w:hAnsi="Garamond"/>
          <w:b/>
          <w:color w:val="632423"/>
        </w:rPr>
      </w:pPr>
    </w:p>
    <w:p w:rsidR="00920C84" w:rsidRPr="002726A8" w:rsidRDefault="00920C84" w:rsidP="00920C84">
      <w:pPr>
        <w:rPr>
          <w:rFonts w:ascii="Garamond" w:hAnsi="Garamond"/>
          <w:b/>
          <w:color w:val="632423"/>
          <w:sz w:val="40"/>
          <w:szCs w:val="40"/>
        </w:rPr>
      </w:pPr>
      <w:r w:rsidRPr="002726A8">
        <w:rPr>
          <w:rFonts w:ascii="Garamond" w:hAnsi="Garamond"/>
          <w:b/>
          <w:color w:val="632423"/>
          <w:sz w:val="40"/>
          <w:szCs w:val="40"/>
        </w:rPr>
        <w:br w:type="page"/>
      </w:r>
    </w:p>
    <w:p w:rsidR="00920C84" w:rsidRPr="002726A8" w:rsidRDefault="00920C84" w:rsidP="00920C84">
      <w:pPr>
        <w:spacing w:line="20" w:lineRule="atLeast"/>
        <w:jc w:val="center"/>
        <w:rPr>
          <w:rFonts w:ascii="Garamond" w:hAnsi="Garamond"/>
          <w:b/>
          <w:color w:val="632423"/>
          <w:sz w:val="40"/>
          <w:szCs w:val="40"/>
        </w:rPr>
      </w:pPr>
    </w:p>
    <w:p w:rsidR="00920C84" w:rsidRPr="002726A8" w:rsidRDefault="00920C84" w:rsidP="00920C84">
      <w:pPr>
        <w:spacing w:line="20" w:lineRule="atLeast"/>
        <w:rPr>
          <w:rFonts w:ascii="Garamond" w:hAnsi="Garamond"/>
          <w:b/>
          <w:color w:val="632423"/>
          <w:sz w:val="40"/>
          <w:szCs w:val="40"/>
        </w:rPr>
      </w:pPr>
    </w:p>
    <w:p w:rsidR="00920C84" w:rsidRPr="002726A8" w:rsidRDefault="00920C84" w:rsidP="00920C84">
      <w:pPr>
        <w:spacing w:line="20" w:lineRule="atLeast"/>
        <w:jc w:val="center"/>
        <w:rPr>
          <w:rFonts w:ascii="Garamond" w:hAnsi="Garamond"/>
          <w:b/>
          <w:color w:val="632423"/>
          <w:sz w:val="40"/>
          <w:szCs w:val="40"/>
        </w:rPr>
      </w:pPr>
      <w:r w:rsidRPr="002726A8">
        <w:rPr>
          <w:rFonts w:ascii="Garamond" w:hAnsi="Garamond"/>
          <w:b/>
          <w:color w:val="632423"/>
          <w:sz w:val="40"/>
          <w:szCs w:val="40"/>
        </w:rPr>
        <w:t>CONTENTS</w:t>
      </w:r>
    </w:p>
    <w:p w:rsidR="00920C84" w:rsidRPr="002726A8" w:rsidRDefault="00920C84" w:rsidP="00920C84">
      <w:pPr>
        <w:spacing w:line="20" w:lineRule="atLeast"/>
        <w:jc w:val="center"/>
        <w:rPr>
          <w:rFonts w:ascii="Garamond" w:hAnsi="Garamond"/>
          <w:b/>
          <w:color w:val="632423"/>
          <w:sz w:val="40"/>
          <w:szCs w:val="40"/>
        </w:rPr>
      </w:pPr>
    </w:p>
    <w:p w:rsidR="00920C84" w:rsidRPr="002726A8" w:rsidRDefault="00920C84" w:rsidP="00920C84">
      <w:pPr>
        <w:spacing w:line="20" w:lineRule="atLeast"/>
        <w:jc w:val="both"/>
        <w:rPr>
          <w:rFonts w:ascii="Garamond" w:hAnsi="Garamond"/>
          <w:b/>
          <w:color w:val="0000FF"/>
        </w:rPr>
      </w:pPr>
      <w:r w:rsidRPr="002726A8">
        <w:rPr>
          <w:rFonts w:ascii="Garamond" w:hAnsi="Garamond"/>
          <w:b/>
          <w:color w:val="0000FF"/>
        </w:rPr>
        <w:t>CAPITAL MARKET REVIEW</w:t>
      </w:r>
    </w:p>
    <w:p w:rsidR="00920C84" w:rsidRPr="002726A8" w:rsidRDefault="00920C84" w:rsidP="00920C84">
      <w:pPr>
        <w:spacing w:line="20" w:lineRule="atLeast"/>
        <w:jc w:val="both"/>
        <w:rPr>
          <w:rFonts w:ascii="Garamond" w:hAnsi="Garamond"/>
          <w:b/>
          <w:color w:val="0000FF"/>
        </w:rPr>
      </w:pPr>
    </w:p>
    <w:p w:rsidR="00920C84" w:rsidRPr="002726A8" w:rsidRDefault="001E2A24" w:rsidP="00920C84">
      <w:pPr>
        <w:spacing w:line="20" w:lineRule="atLeast"/>
        <w:jc w:val="both"/>
        <w:rPr>
          <w:rFonts w:ascii="Garamond" w:hAnsi="Garamond"/>
          <w:b/>
          <w:color w:val="0000FF"/>
        </w:rPr>
      </w:pPr>
      <w:r w:rsidRPr="002726A8">
        <w:rPr>
          <w:rFonts w:ascii="Garamond" w:hAnsi="Garamond"/>
          <w:b/>
          <w:color w:val="0000FF"/>
        </w:rPr>
        <w:t>REVIEW OF GLOBAL FINANCIAL MARKETS</w:t>
      </w: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r w:rsidRPr="002726A8">
        <w:rPr>
          <w:rFonts w:ascii="Garamond" w:hAnsi="Garamond"/>
          <w:b/>
          <w:color w:val="0000FF"/>
        </w:rPr>
        <w:t>HIGHLIGHTS OF DEVELOPMENTS IN INTERNATIONAL SECURITIES MARKET</w:t>
      </w:r>
    </w:p>
    <w:p w:rsidR="004B124F" w:rsidRPr="002726A8" w:rsidRDefault="004B124F" w:rsidP="00920C84">
      <w:pPr>
        <w:spacing w:line="20" w:lineRule="atLeast"/>
        <w:jc w:val="both"/>
        <w:rPr>
          <w:rFonts w:ascii="Garamond" w:hAnsi="Garamond"/>
          <w:b/>
          <w:color w:val="0000FF"/>
        </w:rPr>
      </w:pPr>
    </w:p>
    <w:p w:rsidR="00025D84" w:rsidRPr="002726A8" w:rsidRDefault="004B124F" w:rsidP="00920C84">
      <w:pPr>
        <w:spacing w:line="20" w:lineRule="atLeast"/>
        <w:jc w:val="both"/>
        <w:rPr>
          <w:rFonts w:ascii="Garamond" w:hAnsi="Garamond"/>
          <w:b/>
          <w:color w:val="0000FF"/>
        </w:rPr>
      </w:pPr>
      <w:r w:rsidRPr="002726A8">
        <w:rPr>
          <w:rFonts w:ascii="Garamond" w:hAnsi="Garamond"/>
          <w:b/>
          <w:color w:val="0000FF"/>
        </w:rPr>
        <w:t xml:space="preserve">POLICY DEVELOPMENTS </w:t>
      </w:r>
    </w:p>
    <w:p w:rsidR="00025D84" w:rsidRPr="002726A8" w:rsidRDefault="00025D84" w:rsidP="00920C84">
      <w:pPr>
        <w:spacing w:line="20" w:lineRule="atLeast"/>
        <w:jc w:val="both"/>
        <w:rPr>
          <w:rFonts w:ascii="Garamond" w:hAnsi="Garamond"/>
          <w:b/>
          <w:color w:val="0000FF"/>
        </w:rPr>
      </w:pPr>
    </w:p>
    <w:p w:rsidR="004B124F" w:rsidRPr="002726A8" w:rsidRDefault="00172010" w:rsidP="00920C84">
      <w:pPr>
        <w:spacing w:line="20" w:lineRule="atLeast"/>
        <w:jc w:val="both"/>
        <w:rPr>
          <w:rFonts w:ascii="Garamond" w:hAnsi="Garamond"/>
          <w:b/>
          <w:color w:val="0000FF"/>
        </w:rPr>
      </w:pPr>
      <w:r w:rsidRPr="002726A8">
        <w:rPr>
          <w:rFonts w:ascii="Garamond" w:hAnsi="Garamond"/>
          <w:b/>
          <w:color w:val="0000FF"/>
        </w:rPr>
        <w:t>REGULATORY ACTIONS TAKEN BY SEBI</w:t>
      </w:r>
      <w:r w:rsidR="009B57E3" w:rsidRPr="002726A8">
        <w:rPr>
          <w:rFonts w:ascii="Garamond" w:hAnsi="Garamond"/>
          <w:b/>
          <w:color w:val="0000FF"/>
        </w:rPr>
        <w:t xml:space="preserve"> </w:t>
      </w: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r w:rsidRPr="002726A8">
        <w:rPr>
          <w:rFonts w:ascii="Garamond" w:hAnsi="Garamond"/>
          <w:b/>
          <w:color w:val="0000FF"/>
        </w:rPr>
        <w:t xml:space="preserve">TABLES </w:t>
      </w: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r w:rsidRPr="002726A8">
        <w:rPr>
          <w:rFonts w:ascii="Garamond" w:hAnsi="Garamond"/>
          <w:b/>
          <w:color w:val="0000FF"/>
        </w:rPr>
        <w:t>PUBLICATIONS</w:t>
      </w:r>
    </w:p>
    <w:p w:rsidR="00920C84" w:rsidRPr="002726A8" w:rsidRDefault="00920C84">
      <w:pPr>
        <w:rPr>
          <w:rFonts w:ascii="Garamond" w:hAnsi="Garamond" w:cs="Helvetica"/>
          <w:b/>
          <w:color w:val="000099"/>
          <w:sz w:val="32"/>
          <w:szCs w:val="40"/>
        </w:rPr>
      </w:pPr>
      <w:r w:rsidRPr="002726A8">
        <w:rPr>
          <w:rFonts w:ascii="Garamond" w:hAnsi="Garamond" w:cs="Helvetica"/>
          <w:b/>
          <w:color w:val="000099"/>
          <w:sz w:val="32"/>
          <w:szCs w:val="40"/>
        </w:rPr>
        <w:br w:type="page"/>
      </w:r>
    </w:p>
    <w:p w:rsidR="00865AF9" w:rsidRPr="002726A8" w:rsidRDefault="00865AF9" w:rsidP="00865AF9">
      <w:pPr>
        <w:jc w:val="center"/>
        <w:outlineLvl w:val="0"/>
        <w:rPr>
          <w:rFonts w:ascii="Garamond" w:hAnsi="Garamond" w:cs="Helvetica"/>
          <w:b/>
          <w:color w:val="000099"/>
          <w:sz w:val="32"/>
          <w:szCs w:val="40"/>
        </w:rPr>
      </w:pPr>
      <w:r w:rsidRPr="002726A8">
        <w:rPr>
          <w:rFonts w:ascii="Garamond" w:hAnsi="Garamond" w:cs="Helvetica"/>
          <w:b/>
          <w:color w:val="000099"/>
          <w:sz w:val="32"/>
          <w:szCs w:val="40"/>
        </w:rPr>
        <w:lastRenderedPageBreak/>
        <w:t>CAPITAL MARKET REVIEW</w:t>
      </w:r>
    </w:p>
    <w:p w:rsidR="00865AF9" w:rsidRPr="002726A8" w:rsidRDefault="00865AF9" w:rsidP="00865AF9">
      <w:pPr>
        <w:rPr>
          <w:rFonts w:ascii="Garamond" w:hAnsi="Garamond"/>
        </w:rPr>
      </w:pPr>
    </w:p>
    <w:p w:rsidR="00994860" w:rsidRPr="00387426" w:rsidRDefault="00994860" w:rsidP="00994860">
      <w:pPr>
        <w:widowControl w:val="0"/>
        <w:numPr>
          <w:ilvl w:val="0"/>
          <w:numId w:val="2"/>
        </w:numPr>
        <w:contextualSpacing/>
        <w:jc w:val="both"/>
        <w:rPr>
          <w:rFonts w:ascii="Palatino Linotype" w:hAnsi="Palatino Linotype"/>
          <w:b/>
          <w:sz w:val="22"/>
          <w:szCs w:val="22"/>
        </w:rPr>
      </w:pPr>
      <w:r w:rsidRPr="00387426">
        <w:rPr>
          <w:rFonts w:ascii="Palatino Linotype" w:hAnsi="Palatino Linotype"/>
          <w:b/>
          <w:sz w:val="22"/>
          <w:szCs w:val="22"/>
        </w:rPr>
        <w:t xml:space="preserve">Introduction </w:t>
      </w:r>
    </w:p>
    <w:p w:rsidR="00994860" w:rsidRPr="00C256D7" w:rsidRDefault="00994860" w:rsidP="00994860">
      <w:pPr>
        <w:tabs>
          <w:tab w:val="right" w:pos="360"/>
        </w:tabs>
        <w:jc w:val="both"/>
        <w:rPr>
          <w:rFonts w:ascii="Palatino Linotype" w:hAnsi="Palatino Linotype"/>
          <w:sz w:val="22"/>
          <w:szCs w:val="22"/>
          <w:highlight w:val="yellow"/>
        </w:rPr>
      </w:pPr>
    </w:p>
    <w:p w:rsidR="00994860" w:rsidRDefault="00994860" w:rsidP="00994860">
      <w:pPr>
        <w:jc w:val="both"/>
        <w:rPr>
          <w:rFonts w:ascii="Palatino Linotype" w:hAnsi="Palatino Linotype"/>
          <w:sz w:val="22"/>
          <w:szCs w:val="22"/>
          <w:highlight w:val="yellow"/>
        </w:rPr>
      </w:pPr>
      <w:r w:rsidRPr="00C20017">
        <w:rPr>
          <w:rFonts w:ascii="Palatino Linotype" w:hAnsi="Palatino Linotype"/>
          <w:sz w:val="22"/>
          <w:szCs w:val="22"/>
        </w:rPr>
        <w:t xml:space="preserve">In its sixth bi-monthly monetary policy meeting, </w:t>
      </w:r>
      <w:r w:rsidRPr="007F7DAE">
        <w:rPr>
          <w:rFonts w:ascii="Palatino Linotype" w:hAnsi="Palatino Linotype"/>
          <w:sz w:val="22"/>
          <w:szCs w:val="22"/>
        </w:rPr>
        <w:t>Monetary Policy Committee</w:t>
      </w:r>
      <w:r>
        <w:rPr>
          <w:rFonts w:ascii="Palatino Linotype" w:hAnsi="Palatino Linotype"/>
          <w:sz w:val="22"/>
          <w:szCs w:val="22"/>
        </w:rPr>
        <w:t xml:space="preserve"> decided</w:t>
      </w:r>
      <w:r w:rsidRPr="007F7DAE">
        <w:rPr>
          <w:rFonts w:ascii="Palatino Linotype" w:hAnsi="Palatino Linotype"/>
          <w:sz w:val="22"/>
          <w:szCs w:val="22"/>
        </w:rPr>
        <w:t xml:space="preserve"> to change </w:t>
      </w:r>
      <w:r>
        <w:rPr>
          <w:rFonts w:ascii="Palatino Linotype" w:hAnsi="Palatino Linotype"/>
          <w:sz w:val="22"/>
          <w:szCs w:val="22"/>
        </w:rPr>
        <w:t>its</w:t>
      </w:r>
      <w:r w:rsidRPr="007F7DAE">
        <w:rPr>
          <w:rFonts w:ascii="Palatino Linotype" w:hAnsi="Palatino Linotype"/>
          <w:sz w:val="22"/>
          <w:szCs w:val="22"/>
        </w:rPr>
        <w:t xml:space="preserve"> stance from calibrated tightening to neutral.</w:t>
      </w:r>
      <w:r>
        <w:rPr>
          <w:rFonts w:ascii="Palatino Linotype" w:hAnsi="Palatino Linotype"/>
          <w:sz w:val="22"/>
          <w:szCs w:val="22"/>
        </w:rPr>
        <w:t xml:space="preserve"> </w:t>
      </w:r>
      <w:r w:rsidRPr="00C20017">
        <w:rPr>
          <w:rFonts w:ascii="Palatino Linotype" w:hAnsi="Palatino Linotype"/>
          <w:sz w:val="22"/>
          <w:szCs w:val="22"/>
        </w:rPr>
        <w:t>The Reserve Bank of India reduce</w:t>
      </w:r>
      <w:r>
        <w:rPr>
          <w:rFonts w:ascii="Palatino Linotype" w:hAnsi="Palatino Linotype"/>
          <w:sz w:val="22"/>
          <w:szCs w:val="22"/>
        </w:rPr>
        <w:t>d</w:t>
      </w:r>
      <w:r w:rsidRPr="007F7DAE">
        <w:rPr>
          <w:rFonts w:ascii="Palatino Linotype" w:hAnsi="Palatino Linotype"/>
          <w:sz w:val="22"/>
          <w:szCs w:val="22"/>
        </w:rPr>
        <w:t xml:space="preserve"> the policy repo rate under the liquidity adjustment facility (LAF) by 25 basis points from 6.5 per cent to 6.25 per cent</w:t>
      </w:r>
      <w:r>
        <w:rPr>
          <w:rFonts w:ascii="Palatino Linotype" w:hAnsi="Palatino Linotype"/>
          <w:sz w:val="22"/>
          <w:szCs w:val="22"/>
        </w:rPr>
        <w:t xml:space="preserve">.  </w:t>
      </w:r>
      <w:r w:rsidRPr="007F7DAE">
        <w:rPr>
          <w:rFonts w:ascii="Palatino Linotype" w:hAnsi="Palatino Linotype"/>
          <w:sz w:val="22"/>
          <w:szCs w:val="22"/>
        </w:rPr>
        <w:t xml:space="preserve">Accordingly, the reverse repo rate </w:t>
      </w:r>
      <w:r>
        <w:rPr>
          <w:rFonts w:ascii="Palatino Linotype" w:hAnsi="Palatino Linotype"/>
          <w:sz w:val="22"/>
          <w:szCs w:val="22"/>
        </w:rPr>
        <w:t xml:space="preserve">was adjusted to 6.0 per cent.  </w:t>
      </w:r>
    </w:p>
    <w:p w:rsidR="00994860" w:rsidRPr="00C256D7" w:rsidRDefault="00994860" w:rsidP="00994860">
      <w:pPr>
        <w:jc w:val="both"/>
        <w:rPr>
          <w:rFonts w:ascii="Palatino Linotype" w:hAnsi="Palatino Linotype"/>
          <w:sz w:val="22"/>
          <w:szCs w:val="22"/>
          <w:highlight w:val="yellow"/>
        </w:rPr>
      </w:pPr>
    </w:p>
    <w:p w:rsidR="00994860" w:rsidRPr="001932A2" w:rsidRDefault="00994860" w:rsidP="00994860">
      <w:pPr>
        <w:jc w:val="both"/>
        <w:rPr>
          <w:rFonts w:ascii="Palatino Linotype" w:hAnsi="Palatino Linotype"/>
          <w:sz w:val="22"/>
          <w:szCs w:val="22"/>
        </w:rPr>
      </w:pPr>
      <w:r w:rsidRPr="001932A2">
        <w:rPr>
          <w:rFonts w:ascii="Palatino Linotype" w:hAnsi="Palatino Linotype"/>
          <w:sz w:val="22"/>
          <w:szCs w:val="22"/>
        </w:rPr>
        <w:t>Retail inflation in India jumped to 2.57 per cent in February 2019, due to costlier food articles</w:t>
      </w:r>
      <w:r>
        <w:rPr>
          <w:rFonts w:ascii="Palatino Linotype" w:hAnsi="Palatino Linotype"/>
          <w:sz w:val="22"/>
          <w:szCs w:val="22"/>
        </w:rPr>
        <w:t xml:space="preserve"> like cereals, meat &amp; fish and eggs</w:t>
      </w:r>
      <w:r w:rsidRPr="001932A2">
        <w:rPr>
          <w:rFonts w:ascii="Palatino Linotype" w:hAnsi="Palatino Linotype"/>
          <w:sz w:val="22"/>
          <w:szCs w:val="22"/>
        </w:rPr>
        <w:t xml:space="preserve">. </w:t>
      </w:r>
      <w:r>
        <w:rPr>
          <w:rFonts w:ascii="Palatino Linotype" w:hAnsi="Palatino Linotype"/>
          <w:sz w:val="22"/>
          <w:szCs w:val="22"/>
        </w:rPr>
        <w:t>The i</w:t>
      </w:r>
      <w:r w:rsidRPr="001932A2">
        <w:rPr>
          <w:rFonts w:ascii="Palatino Linotype" w:hAnsi="Palatino Linotype"/>
          <w:sz w:val="22"/>
          <w:szCs w:val="22"/>
        </w:rPr>
        <w:t>ndices of Industrial Production for the Mining, Manufacturing and Electricity</w:t>
      </w:r>
      <w:r>
        <w:rPr>
          <w:rFonts w:ascii="Palatino Linotype" w:hAnsi="Palatino Linotype"/>
          <w:sz w:val="22"/>
          <w:szCs w:val="22"/>
        </w:rPr>
        <w:t xml:space="preserve"> </w:t>
      </w:r>
      <w:r w:rsidRPr="001932A2">
        <w:rPr>
          <w:rFonts w:ascii="Palatino Linotype" w:hAnsi="Palatino Linotype"/>
          <w:sz w:val="22"/>
          <w:szCs w:val="22"/>
        </w:rPr>
        <w:t>sectors for the month of January 2019 stand at 119.2, 135.6 and 150.7 respectively</w:t>
      </w:r>
      <w:r>
        <w:rPr>
          <w:rFonts w:ascii="Palatino Linotype" w:hAnsi="Palatino Linotype"/>
          <w:sz w:val="22"/>
          <w:szCs w:val="22"/>
        </w:rPr>
        <w:t>.</w:t>
      </w:r>
    </w:p>
    <w:p w:rsidR="00994860" w:rsidRPr="00C256D7" w:rsidRDefault="00994860" w:rsidP="00994860">
      <w:pPr>
        <w:jc w:val="both"/>
        <w:rPr>
          <w:rFonts w:ascii="Palatino Linotype" w:hAnsi="Palatino Linotype"/>
          <w:sz w:val="22"/>
          <w:szCs w:val="22"/>
          <w:highlight w:val="yellow"/>
        </w:rPr>
      </w:pPr>
    </w:p>
    <w:p w:rsidR="00994860" w:rsidRPr="00DC09E2" w:rsidRDefault="00994860" w:rsidP="00994860">
      <w:pPr>
        <w:jc w:val="both"/>
        <w:rPr>
          <w:rFonts w:ascii="Palatino Linotype" w:hAnsi="Palatino Linotype"/>
          <w:sz w:val="22"/>
          <w:szCs w:val="22"/>
        </w:rPr>
      </w:pPr>
      <w:r w:rsidRPr="00DC09E2">
        <w:rPr>
          <w:rFonts w:ascii="Palatino Linotype" w:hAnsi="Palatino Linotype"/>
          <w:sz w:val="22"/>
          <w:szCs w:val="22"/>
        </w:rPr>
        <w:t>India’s overall exports (Merchandise and Services combined) in April-February 2018-19 were estimated to be US$ 483.98 billion, exhibiting a positive growth of 8.73 per cent over the same period last year. Overall imports in April-February 2018-19 were estimated to be US$ 577.31 billion, exhibiting a positive growth of 9.42 per cent over the same period last year.</w:t>
      </w:r>
    </w:p>
    <w:p w:rsidR="00994860" w:rsidRPr="00C256D7" w:rsidRDefault="00994860" w:rsidP="00994860">
      <w:pPr>
        <w:jc w:val="both"/>
        <w:rPr>
          <w:rFonts w:ascii="Palatino Linotype" w:hAnsi="Palatino Linotype"/>
          <w:sz w:val="22"/>
          <w:szCs w:val="22"/>
          <w:highlight w:val="yellow"/>
        </w:rPr>
      </w:pPr>
    </w:p>
    <w:p w:rsidR="00994860" w:rsidRPr="00F368EA" w:rsidRDefault="00994860" w:rsidP="00994860">
      <w:pPr>
        <w:jc w:val="both"/>
        <w:rPr>
          <w:rFonts w:ascii="Palatino Linotype" w:hAnsi="Palatino Linotype"/>
          <w:sz w:val="22"/>
          <w:szCs w:val="22"/>
        </w:rPr>
      </w:pPr>
      <w:r w:rsidRPr="00F368EA">
        <w:rPr>
          <w:rFonts w:ascii="Palatino Linotype" w:hAnsi="Palatino Linotype"/>
          <w:sz w:val="22"/>
          <w:szCs w:val="22"/>
        </w:rPr>
        <w:t xml:space="preserve">The following sections of the review highlight the trends observed in the Indian securities market during February 2019. </w:t>
      </w:r>
    </w:p>
    <w:p w:rsidR="00994860" w:rsidRPr="00C256D7" w:rsidRDefault="00994860" w:rsidP="00994860">
      <w:pPr>
        <w:jc w:val="both"/>
        <w:rPr>
          <w:rFonts w:ascii="Palatino Linotype" w:hAnsi="Palatino Linotype"/>
          <w:sz w:val="22"/>
          <w:szCs w:val="22"/>
          <w:highlight w:val="yellow"/>
        </w:rPr>
      </w:pPr>
    </w:p>
    <w:p w:rsidR="00994860" w:rsidRPr="00BE1824" w:rsidRDefault="00994860" w:rsidP="00994860">
      <w:pPr>
        <w:widowControl w:val="0"/>
        <w:numPr>
          <w:ilvl w:val="0"/>
          <w:numId w:val="2"/>
        </w:numPr>
        <w:contextualSpacing/>
        <w:jc w:val="both"/>
        <w:rPr>
          <w:rFonts w:ascii="Palatino Linotype" w:hAnsi="Palatino Linotype"/>
          <w:b/>
          <w:sz w:val="22"/>
          <w:szCs w:val="22"/>
        </w:rPr>
      </w:pPr>
      <w:r w:rsidRPr="00574D67">
        <w:rPr>
          <w:rFonts w:ascii="Palatino Linotype" w:hAnsi="Palatino Linotype"/>
          <w:b/>
          <w:sz w:val="22"/>
          <w:szCs w:val="22"/>
        </w:rPr>
        <w:t>Trends in Resource Mobilisation by Corporates</w:t>
      </w:r>
    </w:p>
    <w:p w:rsidR="00994860" w:rsidRPr="00574D67" w:rsidRDefault="00994860" w:rsidP="00994860">
      <w:pPr>
        <w:widowControl w:val="0"/>
        <w:contextualSpacing/>
        <w:jc w:val="both"/>
        <w:rPr>
          <w:rFonts w:ascii="Palatino Linotype" w:hAnsi="Palatino Linotype"/>
          <w:b/>
          <w:sz w:val="22"/>
          <w:szCs w:val="22"/>
        </w:rPr>
      </w:pPr>
      <w:r w:rsidRPr="00574D67">
        <w:rPr>
          <w:rFonts w:ascii="Palatino Linotype" w:hAnsi="Palatino Linotype"/>
          <w:b/>
          <w:sz w:val="22"/>
          <w:szCs w:val="22"/>
        </w:rPr>
        <w:t xml:space="preserve">Exhibit 1: Funds Mobilisation by Corporates </w:t>
      </w:r>
      <w:r w:rsidRPr="00574D67">
        <w:rPr>
          <w:rFonts w:ascii="Palatino Linotype" w:hAnsi="Palatino Linotype"/>
          <w:b/>
          <w:bCs/>
          <w:sz w:val="22"/>
          <w:szCs w:val="22"/>
        </w:rPr>
        <w:t>(</w:t>
      </w:r>
      <w:r w:rsidRPr="00574D67">
        <w:rPr>
          <w:rFonts w:ascii="Times New Roman" w:hAnsi="Times New Roman"/>
          <w:b/>
          <w:bCs/>
          <w:sz w:val="22"/>
          <w:szCs w:val="22"/>
        </w:rPr>
        <w:t>₹</w:t>
      </w:r>
      <w:r w:rsidRPr="00574D67">
        <w:rPr>
          <w:rFonts w:ascii="Palatino Linotype" w:hAnsi="Palatino Linotype"/>
          <w:b/>
          <w:bCs/>
          <w:sz w:val="22"/>
          <w:szCs w:val="22"/>
        </w:rPr>
        <w:t xml:space="preserve"> crore)</w:t>
      </w:r>
      <w:r w:rsidRPr="00574D67">
        <w:rPr>
          <w:rFonts w:ascii="Palatino Linotype" w:hAnsi="Palatino Linotype"/>
          <w:b/>
          <w:sz w:val="22"/>
          <w:szCs w:val="22"/>
        </w:rPr>
        <w:t xml:space="preserve"> </w:t>
      </w:r>
    </w:p>
    <w:tbl>
      <w:tblPr>
        <w:tblW w:w="7140" w:type="dxa"/>
        <w:tblLook w:val="04A0" w:firstRow="1" w:lastRow="0" w:firstColumn="1" w:lastColumn="0" w:noHBand="0" w:noVBand="1"/>
      </w:tblPr>
      <w:tblGrid>
        <w:gridCol w:w="4920"/>
        <w:gridCol w:w="1100"/>
        <w:gridCol w:w="1120"/>
      </w:tblGrid>
      <w:tr w:rsidR="00994860" w:rsidRPr="00BE1824" w:rsidTr="00660BC8">
        <w:trPr>
          <w:trHeight w:val="345"/>
        </w:trPr>
        <w:tc>
          <w:tcPr>
            <w:tcW w:w="4920" w:type="dxa"/>
            <w:tcBorders>
              <w:top w:val="single" w:sz="4" w:space="0" w:color="auto"/>
              <w:left w:val="single" w:sz="4" w:space="0" w:color="auto"/>
              <w:bottom w:val="single" w:sz="4" w:space="0" w:color="auto"/>
              <w:right w:val="single" w:sz="4" w:space="0" w:color="auto"/>
            </w:tcBorders>
            <w:shd w:val="clear" w:color="000000" w:fill="A9D08E"/>
            <w:noWrap/>
            <w:vAlign w:val="center"/>
            <w:hideMark/>
          </w:tcPr>
          <w:p w:rsidR="00994860" w:rsidRPr="00BE1824" w:rsidRDefault="00994860" w:rsidP="00660BC8">
            <w:pPr>
              <w:rPr>
                <w:rFonts w:ascii="Palatino Linotype" w:eastAsia="Times New Roman" w:hAnsi="Palatino Linotype"/>
                <w:b/>
                <w:bCs/>
                <w:color w:val="000000"/>
                <w:sz w:val="22"/>
                <w:szCs w:val="22"/>
                <w:lang w:val="en-US" w:bidi="hi-IN"/>
              </w:rPr>
            </w:pPr>
            <w:r w:rsidRPr="00BE1824">
              <w:rPr>
                <w:rFonts w:ascii="Palatino Linotype" w:eastAsia="Times New Roman" w:hAnsi="Palatino Linotype"/>
                <w:b/>
                <w:bCs/>
                <w:color w:val="000000"/>
                <w:sz w:val="22"/>
                <w:szCs w:val="22"/>
                <w:lang w:val="en-US" w:bidi="hi-IN"/>
              </w:rPr>
              <w:t>Particulars</w:t>
            </w:r>
          </w:p>
        </w:tc>
        <w:tc>
          <w:tcPr>
            <w:tcW w:w="1100" w:type="dxa"/>
            <w:tcBorders>
              <w:top w:val="single" w:sz="4" w:space="0" w:color="auto"/>
              <w:left w:val="nil"/>
              <w:bottom w:val="single" w:sz="4" w:space="0" w:color="auto"/>
              <w:right w:val="single" w:sz="4" w:space="0" w:color="auto"/>
            </w:tcBorders>
            <w:shd w:val="clear" w:color="000000" w:fill="A9D08E"/>
            <w:noWrap/>
            <w:vAlign w:val="center"/>
            <w:hideMark/>
          </w:tcPr>
          <w:p w:rsidR="00994860" w:rsidRPr="00BE1824" w:rsidRDefault="00994860" w:rsidP="00660BC8">
            <w:pPr>
              <w:jc w:val="right"/>
              <w:rPr>
                <w:rFonts w:ascii="Palatino Linotype" w:eastAsia="Times New Roman" w:hAnsi="Palatino Linotype"/>
                <w:b/>
                <w:bCs/>
                <w:color w:val="000000"/>
                <w:sz w:val="22"/>
                <w:szCs w:val="22"/>
                <w:lang w:val="en-US" w:bidi="hi-IN"/>
              </w:rPr>
            </w:pPr>
            <w:r w:rsidRPr="00BE1824">
              <w:rPr>
                <w:rFonts w:ascii="Palatino Linotype" w:eastAsia="Times New Roman" w:hAnsi="Palatino Linotype"/>
                <w:b/>
                <w:bCs/>
                <w:color w:val="000000"/>
                <w:sz w:val="22"/>
                <w:szCs w:val="22"/>
                <w:lang w:val="en-US" w:bidi="hi-IN"/>
              </w:rPr>
              <w:t>Jan-19</w:t>
            </w:r>
          </w:p>
        </w:tc>
        <w:tc>
          <w:tcPr>
            <w:tcW w:w="1120" w:type="dxa"/>
            <w:tcBorders>
              <w:top w:val="single" w:sz="4" w:space="0" w:color="auto"/>
              <w:left w:val="nil"/>
              <w:bottom w:val="single" w:sz="4" w:space="0" w:color="auto"/>
              <w:right w:val="single" w:sz="4" w:space="0" w:color="auto"/>
            </w:tcBorders>
            <w:shd w:val="clear" w:color="000000" w:fill="A9D08E"/>
            <w:noWrap/>
            <w:vAlign w:val="center"/>
            <w:hideMark/>
          </w:tcPr>
          <w:p w:rsidR="00994860" w:rsidRPr="00BE1824" w:rsidRDefault="00994860" w:rsidP="00660BC8">
            <w:pPr>
              <w:jc w:val="right"/>
              <w:rPr>
                <w:rFonts w:ascii="Palatino Linotype" w:eastAsia="Times New Roman" w:hAnsi="Palatino Linotype"/>
                <w:b/>
                <w:bCs/>
                <w:color w:val="000000"/>
                <w:sz w:val="22"/>
                <w:szCs w:val="22"/>
                <w:lang w:val="en-US" w:bidi="hi-IN"/>
              </w:rPr>
            </w:pPr>
            <w:r w:rsidRPr="00BE1824">
              <w:rPr>
                <w:rFonts w:ascii="Palatino Linotype" w:eastAsia="Times New Roman" w:hAnsi="Palatino Linotype"/>
                <w:b/>
                <w:bCs/>
                <w:color w:val="000000"/>
                <w:sz w:val="22"/>
                <w:szCs w:val="22"/>
                <w:lang w:val="en-US" w:bidi="hi-IN"/>
              </w:rPr>
              <w:t>Feb-19</w:t>
            </w:r>
          </w:p>
        </w:tc>
      </w:tr>
      <w:tr w:rsidR="00994860" w:rsidRPr="00BE1824" w:rsidTr="00660BC8">
        <w:trPr>
          <w:trHeight w:val="330"/>
        </w:trPr>
        <w:tc>
          <w:tcPr>
            <w:tcW w:w="49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BE1824" w:rsidRDefault="00994860" w:rsidP="00660BC8">
            <w:pPr>
              <w:rPr>
                <w:rFonts w:ascii="Palatino Linotype" w:eastAsia="Times New Roman" w:hAnsi="Palatino Linotype"/>
                <w:b/>
                <w:bCs/>
                <w:i/>
                <w:iCs/>
                <w:color w:val="000000"/>
                <w:sz w:val="22"/>
                <w:szCs w:val="22"/>
                <w:lang w:val="en-US" w:bidi="hi-IN"/>
              </w:rPr>
            </w:pPr>
            <w:r w:rsidRPr="00BE1824">
              <w:rPr>
                <w:rFonts w:ascii="Palatino Linotype" w:eastAsia="Times New Roman" w:hAnsi="Palatino Linotype"/>
                <w:b/>
                <w:bCs/>
                <w:i/>
                <w:iCs/>
                <w:color w:val="000000"/>
                <w:sz w:val="22"/>
                <w:szCs w:val="22"/>
                <w:lang w:val="en-US" w:bidi="hi-IN"/>
              </w:rPr>
              <w:t>A. Funds Mobilisation through Public  Issue</w:t>
            </w:r>
          </w:p>
        </w:tc>
        <w:tc>
          <w:tcPr>
            <w:tcW w:w="1100" w:type="dxa"/>
            <w:tcBorders>
              <w:top w:val="nil"/>
              <w:left w:val="nil"/>
              <w:bottom w:val="single" w:sz="4" w:space="0" w:color="auto"/>
              <w:right w:val="single" w:sz="4" w:space="0" w:color="auto"/>
            </w:tcBorders>
            <w:shd w:val="clear" w:color="auto" w:fill="auto"/>
            <w:noWrap/>
            <w:vAlign w:val="bottom"/>
            <w:hideMark/>
          </w:tcPr>
          <w:p w:rsidR="00994860" w:rsidRPr="00BE1824" w:rsidRDefault="00994860" w:rsidP="00660BC8">
            <w:pPr>
              <w:rPr>
                <w:rFonts w:ascii="Palatino Linotype" w:eastAsia="Times New Roman" w:hAnsi="Palatino Linotype"/>
                <w:b/>
                <w:bCs/>
                <w:i/>
                <w:iCs/>
                <w:color w:val="000000"/>
                <w:sz w:val="22"/>
                <w:szCs w:val="22"/>
                <w:lang w:val="en-US" w:bidi="hi-IN"/>
              </w:rPr>
            </w:pPr>
            <w:r w:rsidRPr="00BE1824">
              <w:rPr>
                <w:rFonts w:ascii="Palatino Linotype" w:eastAsia="Times New Roman" w:hAnsi="Palatino Linotype"/>
                <w:b/>
                <w:bCs/>
                <w:i/>
                <w:iCs/>
                <w:color w:val="000000"/>
                <w:sz w:val="22"/>
                <w:szCs w:val="22"/>
                <w:lang w:val="en-US" w:bidi="hi-IN"/>
              </w:rPr>
              <w:t xml:space="preserve">      6,022 </w:t>
            </w:r>
          </w:p>
        </w:tc>
        <w:tc>
          <w:tcPr>
            <w:tcW w:w="1120" w:type="dxa"/>
            <w:tcBorders>
              <w:top w:val="nil"/>
              <w:left w:val="nil"/>
              <w:bottom w:val="single" w:sz="4" w:space="0" w:color="auto"/>
              <w:right w:val="single" w:sz="4" w:space="0" w:color="auto"/>
            </w:tcBorders>
            <w:shd w:val="clear" w:color="auto" w:fill="auto"/>
            <w:noWrap/>
            <w:vAlign w:val="bottom"/>
            <w:hideMark/>
          </w:tcPr>
          <w:p w:rsidR="00994860" w:rsidRPr="00BE1824" w:rsidRDefault="00994860" w:rsidP="00660BC8">
            <w:pPr>
              <w:rPr>
                <w:rFonts w:ascii="Palatino Linotype" w:eastAsia="Times New Roman" w:hAnsi="Palatino Linotype"/>
                <w:b/>
                <w:bCs/>
                <w:i/>
                <w:iCs/>
                <w:color w:val="000000"/>
                <w:sz w:val="22"/>
                <w:szCs w:val="22"/>
                <w:lang w:val="en-US" w:bidi="hi-IN"/>
              </w:rPr>
            </w:pPr>
            <w:r w:rsidRPr="00BE1824">
              <w:rPr>
                <w:rFonts w:ascii="Palatino Linotype" w:eastAsia="Times New Roman" w:hAnsi="Palatino Linotype"/>
                <w:b/>
                <w:bCs/>
                <w:i/>
                <w:iCs/>
                <w:color w:val="000000"/>
                <w:sz w:val="22"/>
                <w:szCs w:val="22"/>
                <w:lang w:val="en-US" w:bidi="hi-IN"/>
              </w:rPr>
              <w:t xml:space="preserve">      1,341 </w:t>
            </w:r>
          </w:p>
        </w:tc>
      </w:tr>
      <w:tr w:rsidR="00994860" w:rsidRPr="00BE1824" w:rsidTr="00660BC8">
        <w:trPr>
          <w:trHeight w:val="330"/>
        </w:trPr>
        <w:tc>
          <w:tcPr>
            <w:tcW w:w="4920" w:type="dxa"/>
            <w:tcBorders>
              <w:top w:val="nil"/>
              <w:left w:val="single" w:sz="4" w:space="0" w:color="auto"/>
              <w:bottom w:val="single" w:sz="4" w:space="0" w:color="auto"/>
              <w:right w:val="single" w:sz="4" w:space="0" w:color="auto"/>
            </w:tcBorders>
            <w:shd w:val="clear" w:color="auto" w:fill="auto"/>
            <w:noWrap/>
            <w:vAlign w:val="center"/>
            <w:hideMark/>
          </w:tcPr>
          <w:p w:rsidR="00994860" w:rsidRPr="00BE1824" w:rsidRDefault="00994860" w:rsidP="00660BC8">
            <w:pPr>
              <w:ind w:firstLineChars="200" w:firstLine="440"/>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I. Equity Public Issue</w:t>
            </w:r>
          </w:p>
        </w:tc>
        <w:tc>
          <w:tcPr>
            <w:tcW w:w="1100" w:type="dxa"/>
            <w:tcBorders>
              <w:top w:val="nil"/>
              <w:left w:val="nil"/>
              <w:bottom w:val="single" w:sz="4" w:space="0" w:color="auto"/>
              <w:right w:val="single" w:sz="4" w:space="0" w:color="auto"/>
            </w:tcBorders>
            <w:shd w:val="clear" w:color="auto" w:fill="auto"/>
            <w:noWrap/>
            <w:vAlign w:val="center"/>
            <w:hideMark/>
          </w:tcPr>
          <w:p w:rsidR="00994860" w:rsidRPr="00BE1824" w:rsidRDefault="00994860" w:rsidP="00660BC8">
            <w:pPr>
              <w:ind w:firstLineChars="200" w:firstLine="440"/>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 </w:t>
            </w:r>
          </w:p>
        </w:tc>
        <w:tc>
          <w:tcPr>
            <w:tcW w:w="1120" w:type="dxa"/>
            <w:tcBorders>
              <w:top w:val="nil"/>
              <w:left w:val="nil"/>
              <w:bottom w:val="single" w:sz="4" w:space="0" w:color="auto"/>
              <w:right w:val="single" w:sz="4" w:space="0" w:color="auto"/>
            </w:tcBorders>
            <w:shd w:val="clear" w:color="auto" w:fill="auto"/>
            <w:noWrap/>
            <w:vAlign w:val="center"/>
            <w:hideMark/>
          </w:tcPr>
          <w:p w:rsidR="00994860" w:rsidRPr="00BE1824" w:rsidRDefault="00994860" w:rsidP="00660BC8">
            <w:pPr>
              <w:ind w:firstLineChars="200" w:firstLine="440"/>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 </w:t>
            </w:r>
          </w:p>
        </w:tc>
      </w:tr>
      <w:tr w:rsidR="00994860" w:rsidRPr="00BE1824" w:rsidTr="00660BC8">
        <w:trPr>
          <w:trHeight w:val="330"/>
        </w:trPr>
        <w:tc>
          <w:tcPr>
            <w:tcW w:w="4920" w:type="dxa"/>
            <w:tcBorders>
              <w:top w:val="nil"/>
              <w:left w:val="single" w:sz="4" w:space="0" w:color="auto"/>
              <w:bottom w:val="single" w:sz="4" w:space="0" w:color="auto"/>
              <w:right w:val="single" w:sz="4" w:space="0" w:color="auto"/>
            </w:tcBorders>
            <w:shd w:val="clear" w:color="auto" w:fill="auto"/>
            <w:noWrap/>
            <w:vAlign w:val="center"/>
            <w:hideMark/>
          </w:tcPr>
          <w:p w:rsidR="00994860" w:rsidRPr="00BE1824" w:rsidRDefault="00994860" w:rsidP="00660BC8">
            <w:pPr>
              <w:ind w:firstLineChars="200" w:firstLine="440"/>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a. IPOs (i+ii)</w:t>
            </w:r>
          </w:p>
        </w:tc>
        <w:tc>
          <w:tcPr>
            <w:tcW w:w="1100" w:type="dxa"/>
            <w:tcBorders>
              <w:top w:val="nil"/>
              <w:left w:val="nil"/>
              <w:bottom w:val="single" w:sz="4" w:space="0" w:color="auto"/>
              <w:right w:val="single" w:sz="4" w:space="0" w:color="auto"/>
            </w:tcBorders>
            <w:shd w:val="clear" w:color="auto" w:fill="auto"/>
            <w:noWrap/>
            <w:vAlign w:val="bottom"/>
            <w:hideMark/>
          </w:tcPr>
          <w:p w:rsidR="00994860" w:rsidRPr="00BE1824" w:rsidRDefault="00994860" w:rsidP="00660BC8">
            <w:pPr>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 xml:space="preserve">       1,776 </w:t>
            </w:r>
          </w:p>
        </w:tc>
        <w:tc>
          <w:tcPr>
            <w:tcW w:w="1120" w:type="dxa"/>
            <w:tcBorders>
              <w:top w:val="nil"/>
              <w:left w:val="nil"/>
              <w:bottom w:val="single" w:sz="4" w:space="0" w:color="auto"/>
              <w:right w:val="single" w:sz="4" w:space="0" w:color="auto"/>
            </w:tcBorders>
            <w:shd w:val="clear" w:color="auto" w:fill="auto"/>
            <w:noWrap/>
            <w:vAlign w:val="bottom"/>
            <w:hideMark/>
          </w:tcPr>
          <w:p w:rsidR="00994860" w:rsidRPr="00BE1824" w:rsidRDefault="00994860" w:rsidP="00660BC8">
            <w:pPr>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 xml:space="preserve">            27 </w:t>
            </w:r>
          </w:p>
        </w:tc>
      </w:tr>
      <w:tr w:rsidR="00994860" w:rsidRPr="00BE1824" w:rsidTr="00660BC8">
        <w:trPr>
          <w:trHeight w:val="330"/>
        </w:trPr>
        <w:tc>
          <w:tcPr>
            <w:tcW w:w="49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BE1824" w:rsidRDefault="00994860" w:rsidP="00660BC8">
            <w:pPr>
              <w:ind w:firstLineChars="200" w:firstLine="440"/>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 xml:space="preserve">    i. Main Board</w:t>
            </w:r>
          </w:p>
        </w:tc>
        <w:tc>
          <w:tcPr>
            <w:tcW w:w="1100" w:type="dxa"/>
            <w:tcBorders>
              <w:top w:val="nil"/>
              <w:left w:val="nil"/>
              <w:bottom w:val="single" w:sz="4" w:space="0" w:color="auto"/>
              <w:right w:val="single" w:sz="4" w:space="0" w:color="auto"/>
            </w:tcBorders>
            <w:shd w:val="clear" w:color="auto" w:fill="auto"/>
            <w:noWrap/>
            <w:vAlign w:val="bottom"/>
            <w:hideMark/>
          </w:tcPr>
          <w:p w:rsidR="00994860" w:rsidRPr="00BE1824" w:rsidRDefault="00994860" w:rsidP="00660BC8">
            <w:pPr>
              <w:jc w:val="right"/>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 xml:space="preserve">1,664 </w:t>
            </w:r>
          </w:p>
        </w:tc>
        <w:tc>
          <w:tcPr>
            <w:tcW w:w="1120" w:type="dxa"/>
            <w:tcBorders>
              <w:top w:val="nil"/>
              <w:left w:val="nil"/>
              <w:bottom w:val="single" w:sz="4" w:space="0" w:color="auto"/>
              <w:right w:val="single" w:sz="4" w:space="0" w:color="auto"/>
            </w:tcBorders>
            <w:shd w:val="clear" w:color="auto" w:fill="auto"/>
            <w:noWrap/>
            <w:vAlign w:val="bottom"/>
            <w:hideMark/>
          </w:tcPr>
          <w:p w:rsidR="00994860" w:rsidRPr="00BE1824" w:rsidRDefault="00994860" w:rsidP="00660BC8">
            <w:pPr>
              <w:jc w:val="right"/>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 xml:space="preserve">0 </w:t>
            </w:r>
          </w:p>
        </w:tc>
      </w:tr>
      <w:tr w:rsidR="00994860" w:rsidRPr="00BE1824" w:rsidTr="00660BC8">
        <w:trPr>
          <w:trHeight w:val="330"/>
        </w:trPr>
        <w:tc>
          <w:tcPr>
            <w:tcW w:w="49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BE1824" w:rsidRDefault="00994860" w:rsidP="00660BC8">
            <w:pPr>
              <w:ind w:firstLineChars="200" w:firstLine="440"/>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 xml:space="preserve">    ii. SME Platform</w:t>
            </w:r>
          </w:p>
        </w:tc>
        <w:tc>
          <w:tcPr>
            <w:tcW w:w="1100" w:type="dxa"/>
            <w:tcBorders>
              <w:top w:val="nil"/>
              <w:left w:val="nil"/>
              <w:bottom w:val="single" w:sz="4" w:space="0" w:color="auto"/>
              <w:right w:val="single" w:sz="4" w:space="0" w:color="auto"/>
            </w:tcBorders>
            <w:shd w:val="clear" w:color="auto" w:fill="auto"/>
            <w:noWrap/>
            <w:vAlign w:val="bottom"/>
            <w:hideMark/>
          </w:tcPr>
          <w:p w:rsidR="00994860" w:rsidRPr="00BE1824" w:rsidRDefault="00994860" w:rsidP="00660BC8">
            <w:pPr>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 xml:space="preserve">          112 </w:t>
            </w:r>
          </w:p>
        </w:tc>
        <w:tc>
          <w:tcPr>
            <w:tcW w:w="1120" w:type="dxa"/>
            <w:tcBorders>
              <w:top w:val="nil"/>
              <w:left w:val="nil"/>
              <w:bottom w:val="single" w:sz="4" w:space="0" w:color="auto"/>
              <w:right w:val="single" w:sz="4" w:space="0" w:color="auto"/>
            </w:tcBorders>
            <w:shd w:val="clear" w:color="auto" w:fill="auto"/>
            <w:noWrap/>
            <w:vAlign w:val="bottom"/>
            <w:hideMark/>
          </w:tcPr>
          <w:p w:rsidR="00994860" w:rsidRPr="00BE1824" w:rsidRDefault="00994860" w:rsidP="00660BC8">
            <w:pPr>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 xml:space="preserve">            27 </w:t>
            </w:r>
          </w:p>
        </w:tc>
      </w:tr>
      <w:tr w:rsidR="00994860" w:rsidRPr="00BE1824" w:rsidTr="00660BC8">
        <w:trPr>
          <w:trHeight w:val="330"/>
        </w:trPr>
        <w:tc>
          <w:tcPr>
            <w:tcW w:w="49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BE1824" w:rsidRDefault="00994860" w:rsidP="00660BC8">
            <w:pPr>
              <w:ind w:firstLineChars="200" w:firstLine="440"/>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b. FPOs</w:t>
            </w:r>
          </w:p>
        </w:tc>
        <w:tc>
          <w:tcPr>
            <w:tcW w:w="1100" w:type="dxa"/>
            <w:tcBorders>
              <w:top w:val="nil"/>
              <w:left w:val="nil"/>
              <w:bottom w:val="single" w:sz="4" w:space="0" w:color="auto"/>
              <w:right w:val="single" w:sz="4" w:space="0" w:color="auto"/>
            </w:tcBorders>
            <w:shd w:val="clear" w:color="auto" w:fill="auto"/>
            <w:noWrap/>
            <w:vAlign w:val="bottom"/>
            <w:hideMark/>
          </w:tcPr>
          <w:p w:rsidR="00994860" w:rsidRPr="00BE1824" w:rsidRDefault="00994860" w:rsidP="00660BC8">
            <w:pPr>
              <w:jc w:val="right"/>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 xml:space="preserve">0 </w:t>
            </w:r>
          </w:p>
        </w:tc>
        <w:tc>
          <w:tcPr>
            <w:tcW w:w="1120" w:type="dxa"/>
            <w:tcBorders>
              <w:top w:val="nil"/>
              <w:left w:val="nil"/>
              <w:bottom w:val="single" w:sz="4" w:space="0" w:color="auto"/>
              <w:right w:val="single" w:sz="4" w:space="0" w:color="auto"/>
            </w:tcBorders>
            <w:shd w:val="clear" w:color="auto" w:fill="auto"/>
            <w:noWrap/>
            <w:vAlign w:val="bottom"/>
            <w:hideMark/>
          </w:tcPr>
          <w:p w:rsidR="00994860" w:rsidRPr="00BE1824" w:rsidRDefault="00994860" w:rsidP="00660BC8">
            <w:pPr>
              <w:jc w:val="right"/>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 xml:space="preserve">0 </w:t>
            </w:r>
          </w:p>
        </w:tc>
      </w:tr>
      <w:tr w:rsidR="00994860" w:rsidRPr="00BE1824" w:rsidTr="00660BC8">
        <w:trPr>
          <w:trHeight w:val="330"/>
        </w:trPr>
        <w:tc>
          <w:tcPr>
            <w:tcW w:w="49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BE1824" w:rsidRDefault="00994860" w:rsidP="00660BC8">
            <w:pPr>
              <w:ind w:firstLineChars="200" w:firstLine="440"/>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c. Equity Right Issue</w:t>
            </w:r>
          </w:p>
        </w:tc>
        <w:tc>
          <w:tcPr>
            <w:tcW w:w="1100" w:type="dxa"/>
            <w:tcBorders>
              <w:top w:val="nil"/>
              <w:left w:val="nil"/>
              <w:bottom w:val="single" w:sz="4" w:space="0" w:color="auto"/>
              <w:right w:val="single" w:sz="4" w:space="0" w:color="auto"/>
            </w:tcBorders>
            <w:shd w:val="clear" w:color="auto" w:fill="auto"/>
            <w:noWrap/>
            <w:vAlign w:val="bottom"/>
            <w:hideMark/>
          </w:tcPr>
          <w:p w:rsidR="00994860" w:rsidRPr="00BE1824" w:rsidRDefault="00994860" w:rsidP="00660BC8">
            <w:pPr>
              <w:jc w:val="right"/>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 xml:space="preserve">255 </w:t>
            </w:r>
          </w:p>
        </w:tc>
        <w:tc>
          <w:tcPr>
            <w:tcW w:w="1120" w:type="dxa"/>
            <w:tcBorders>
              <w:top w:val="nil"/>
              <w:left w:val="nil"/>
              <w:bottom w:val="single" w:sz="4" w:space="0" w:color="auto"/>
              <w:right w:val="single" w:sz="4" w:space="0" w:color="auto"/>
            </w:tcBorders>
            <w:shd w:val="clear" w:color="auto" w:fill="auto"/>
            <w:noWrap/>
            <w:vAlign w:val="bottom"/>
            <w:hideMark/>
          </w:tcPr>
          <w:p w:rsidR="00994860" w:rsidRPr="00BE1824" w:rsidRDefault="00994860" w:rsidP="00660BC8">
            <w:pPr>
              <w:jc w:val="right"/>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 xml:space="preserve">26 </w:t>
            </w:r>
          </w:p>
        </w:tc>
      </w:tr>
      <w:tr w:rsidR="00994860" w:rsidRPr="00BE1824" w:rsidTr="00660BC8">
        <w:trPr>
          <w:trHeight w:val="330"/>
        </w:trPr>
        <w:tc>
          <w:tcPr>
            <w:tcW w:w="49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BE1824" w:rsidRDefault="00994860" w:rsidP="00660BC8">
            <w:pPr>
              <w:ind w:firstLineChars="100" w:firstLine="220"/>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 xml:space="preserve">  d. Public Issue of Debt</w:t>
            </w:r>
          </w:p>
        </w:tc>
        <w:tc>
          <w:tcPr>
            <w:tcW w:w="1100" w:type="dxa"/>
            <w:tcBorders>
              <w:top w:val="nil"/>
              <w:left w:val="nil"/>
              <w:bottom w:val="single" w:sz="4" w:space="0" w:color="auto"/>
              <w:right w:val="single" w:sz="4" w:space="0" w:color="auto"/>
            </w:tcBorders>
            <w:shd w:val="clear" w:color="auto" w:fill="auto"/>
            <w:noWrap/>
            <w:vAlign w:val="bottom"/>
            <w:hideMark/>
          </w:tcPr>
          <w:p w:rsidR="00994860" w:rsidRPr="00BE1824" w:rsidRDefault="00994860" w:rsidP="00660BC8">
            <w:pPr>
              <w:jc w:val="right"/>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 xml:space="preserve">3,992 </w:t>
            </w:r>
          </w:p>
        </w:tc>
        <w:tc>
          <w:tcPr>
            <w:tcW w:w="1120" w:type="dxa"/>
            <w:tcBorders>
              <w:top w:val="nil"/>
              <w:left w:val="nil"/>
              <w:bottom w:val="single" w:sz="4" w:space="0" w:color="auto"/>
              <w:right w:val="single" w:sz="4" w:space="0" w:color="auto"/>
            </w:tcBorders>
            <w:shd w:val="clear" w:color="auto" w:fill="auto"/>
            <w:noWrap/>
            <w:vAlign w:val="bottom"/>
            <w:hideMark/>
          </w:tcPr>
          <w:p w:rsidR="00994860" w:rsidRPr="00BE1824" w:rsidRDefault="00994860" w:rsidP="00660BC8">
            <w:pPr>
              <w:jc w:val="right"/>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 xml:space="preserve">1,288 </w:t>
            </w:r>
          </w:p>
        </w:tc>
      </w:tr>
      <w:tr w:rsidR="00994860" w:rsidRPr="00BE1824" w:rsidTr="00660BC8">
        <w:trPr>
          <w:trHeight w:val="330"/>
        </w:trPr>
        <w:tc>
          <w:tcPr>
            <w:tcW w:w="49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BE1824" w:rsidRDefault="00994860" w:rsidP="00660BC8">
            <w:pPr>
              <w:rPr>
                <w:rFonts w:ascii="Palatino Linotype" w:eastAsia="Times New Roman" w:hAnsi="Palatino Linotype"/>
                <w:b/>
                <w:bCs/>
                <w:i/>
                <w:iCs/>
                <w:color w:val="000000"/>
                <w:sz w:val="22"/>
                <w:szCs w:val="22"/>
                <w:lang w:val="en-US" w:bidi="hi-IN"/>
              </w:rPr>
            </w:pPr>
            <w:r w:rsidRPr="00BE1824">
              <w:rPr>
                <w:rFonts w:ascii="Palatino Linotype" w:eastAsia="Times New Roman" w:hAnsi="Palatino Linotype"/>
                <w:b/>
                <w:bCs/>
                <w:i/>
                <w:iCs/>
                <w:color w:val="000000"/>
                <w:sz w:val="22"/>
                <w:szCs w:val="22"/>
                <w:lang w:val="en-US" w:bidi="hi-IN"/>
              </w:rPr>
              <w:t>B. Funds Mobilisation through Private Placement</w:t>
            </w:r>
          </w:p>
        </w:tc>
        <w:tc>
          <w:tcPr>
            <w:tcW w:w="1100" w:type="dxa"/>
            <w:tcBorders>
              <w:top w:val="nil"/>
              <w:left w:val="nil"/>
              <w:bottom w:val="single" w:sz="4" w:space="0" w:color="auto"/>
              <w:right w:val="single" w:sz="4" w:space="0" w:color="auto"/>
            </w:tcBorders>
            <w:shd w:val="clear" w:color="auto" w:fill="auto"/>
            <w:noWrap/>
            <w:vAlign w:val="bottom"/>
            <w:hideMark/>
          </w:tcPr>
          <w:p w:rsidR="00994860" w:rsidRPr="00BE1824" w:rsidRDefault="00994860" w:rsidP="00660BC8">
            <w:pPr>
              <w:rPr>
                <w:rFonts w:ascii="Palatino Linotype" w:eastAsia="Times New Roman" w:hAnsi="Palatino Linotype"/>
                <w:b/>
                <w:bCs/>
                <w:i/>
                <w:iCs/>
                <w:color w:val="000000"/>
                <w:sz w:val="22"/>
                <w:szCs w:val="22"/>
                <w:lang w:val="en-US" w:bidi="hi-IN"/>
              </w:rPr>
            </w:pPr>
            <w:r w:rsidRPr="00BE1824">
              <w:rPr>
                <w:rFonts w:ascii="Palatino Linotype" w:eastAsia="Times New Roman" w:hAnsi="Palatino Linotype"/>
                <w:b/>
                <w:bCs/>
                <w:i/>
                <w:iCs/>
                <w:color w:val="000000"/>
                <w:sz w:val="22"/>
                <w:szCs w:val="22"/>
                <w:lang w:val="en-US" w:bidi="hi-IN"/>
              </w:rPr>
              <w:t xml:space="preserve">  103,432 </w:t>
            </w:r>
          </w:p>
        </w:tc>
        <w:tc>
          <w:tcPr>
            <w:tcW w:w="1120" w:type="dxa"/>
            <w:tcBorders>
              <w:top w:val="nil"/>
              <w:left w:val="nil"/>
              <w:bottom w:val="single" w:sz="4" w:space="0" w:color="auto"/>
              <w:right w:val="single" w:sz="4" w:space="0" w:color="auto"/>
            </w:tcBorders>
            <w:shd w:val="clear" w:color="auto" w:fill="auto"/>
            <w:noWrap/>
            <w:vAlign w:val="bottom"/>
            <w:hideMark/>
          </w:tcPr>
          <w:p w:rsidR="00994860" w:rsidRPr="00BE1824" w:rsidRDefault="00994860" w:rsidP="00660BC8">
            <w:pPr>
              <w:rPr>
                <w:rFonts w:ascii="Palatino Linotype" w:eastAsia="Times New Roman" w:hAnsi="Palatino Linotype"/>
                <w:b/>
                <w:bCs/>
                <w:i/>
                <w:iCs/>
                <w:color w:val="000000"/>
                <w:sz w:val="22"/>
                <w:szCs w:val="22"/>
                <w:lang w:val="en-US" w:bidi="hi-IN"/>
              </w:rPr>
            </w:pPr>
            <w:r w:rsidRPr="00BE1824">
              <w:rPr>
                <w:rFonts w:ascii="Palatino Linotype" w:eastAsia="Times New Roman" w:hAnsi="Palatino Linotype"/>
                <w:b/>
                <w:bCs/>
                <w:i/>
                <w:iCs/>
                <w:color w:val="000000"/>
                <w:sz w:val="22"/>
                <w:szCs w:val="22"/>
                <w:lang w:val="en-US" w:bidi="hi-IN"/>
              </w:rPr>
              <w:t xml:space="preserve">    52,295 </w:t>
            </w:r>
          </w:p>
        </w:tc>
      </w:tr>
      <w:tr w:rsidR="00994860" w:rsidRPr="00BE1824" w:rsidTr="00660BC8">
        <w:trPr>
          <w:trHeight w:val="330"/>
        </w:trPr>
        <w:tc>
          <w:tcPr>
            <w:tcW w:w="49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BE1824" w:rsidRDefault="00994860" w:rsidP="00660BC8">
            <w:pPr>
              <w:ind w:firstLineChars="200" w:firstLine="440"/>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1. QIP/IPP</w:t>
            </w:r>
          </w:p>
        </w:tc>
        <w:tc>
          <w:tcPr>
            <w:tcW w:w="1100" w:type="dxa"/>
            <w:tcBorders>
              <w:top w:val="nil"/>
              <w:left w:val="nil"/>
              <w:bottom w:val="single" w:sz="4" w:space="0" w:color="auto"/>
              <w:right w:val="single" w:sz="4" w:space="0" w:color="auto"/>
            </w:tcBorders>
            <w:shd w:val="clear" w:color="auto" w:fill="auto"/>
            <w:noWrap/>
            <w:vAlign w:val="bottom"/>
            <w:hideMark/>
          </w:tcPr>
          <w:p w:rsidR="00994860" w:rsidRPr="00BE1824" w:rsidRDefault="00994860" w:rsidP="00660BC8">
            <w:pPr>
              <w:jc w:val="right"/>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 xml:space="preserve">0 </w:t>
            </w:r>
          </w:p>
        </w:tc>
        <w:tc>
          <w:tcPr>
            <w:tcW w:w="1120" w:type="dxa"/>
            <w:tcBorders>
              <w:top w:val="nil"/>
              <w:left w:val="nil"/>
              <w:bottom w:val="single" w:sz="4" w:space="0" w:color="auto"/>
              <w:right w:val="single" w:sz="4" w:space="0" w:color="auto"/>
            </w:tcBorders>
            <w:shd w:val="clear" w:color="auto" w:fill="auto"/>
            <w:noWrap/>
            <w:vAlign w:val="bottom"/>
            <w:hideMark/>
          </w:tcPr>
          <w:p w:rsidR="00994860" w:rsidRPr="00BE1824" w:rsidRDefault="00994860" w:rsidP="00660BC8">
            <w:pPr>
              <w:jc w:val="right"/>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 xml:space="preserve">0 </w:t>
            </w:r>
          </w:p>
        </w:tc>
      </w:tr>
      <w:tr w:rsidR="00994860" w:rsidRPr="00BE1824" w:rsidTr="00660BC8">
        <w:trPr>
          <w:trHeight w:val="330"/>
        </w:trPr>
        <w:tc>
          <w:tcPr>
            <w:tcW w:w="49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BE1824" w:rsidRDefault="00994860" w:rsidP="00660BC8">
            <w:pPr>
              <w:ind w:firstLineChars="200" w:firstLine="440"/>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2. Preferential Allotment</w:t>
            </w:r>
          </w:p>
        </w:tc>
        <w:tc>
          <w:tcPr>
            <w:tcW w:w="1100" w:type="dxa"/>
            <w:tcBorders>
              <w:top w:val="nil"/>
              <w:left w:val="nil"/>
              <w:bottom w:val="single" w:sz="4" w:space="0" w:color="auto"/>
              <w:right w:val="single" w:sz="4" w:space="0" w:color="auto"/>
            </w:tcBorders>
            <w:shd w:val="clear" w:color="auto" w:fill="auto"/>
            <w:noWrap/>
            <w:vAlign w:val="bottom"/>
            <w:hideMark/>
          </w:tcPr>
          <w:p w:rsidR="00994860" w:rsidRPr="00BE1824" w:rsidRDefault="00994860" w:rsidP="00660BC8">
            <w:pPr>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 xml:space="preserve">     19,844 </w:t>
            </w:r>
          </w:p>
        </w:tc>
        <w:tc>
          <w:tcPr>
            <w:tcW w:w="1120" w:type="dxa"/>
            <w:tcBorders>
              <w:top w:val="nil"/>
              <w:left w:val="nil"/>
              <w:bottom w:val="single" w:sz="4" w:space="0" w:color="auto"/>
              <w:right w:val="single" w:sz="4" w:space="0" w:color="auto"/>
            </w:tcBorders>
            <w:shd w:val="clear" w:color="auto" w:fill="auto"/>
            <w:noWrap/>
            <w:vAlign w:val="bottom"/>
            <w:hideMark/>
          </w:tcPr>
          <w:p w:rsidR="00994860" w:rsidRPr="00BE1824" w:rsidRDefault="00994860" w:rsidP="00660BC8">
            <w:pPr>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 xml:space="preserve">     12,997 </w:t>
            </w:r>
          </w:p>
        </w:tc>
      </w:tr>
      <w:tr w:rsidR="00994860" w:rsidRPr="00BE1824" w:rsidTr="00660BC8">
        <w:trPr>
          <w:trHeight w:val="330"/>
        </w:trPr>
        <w:tc>
          <w:tcPr>
            <w:tcW w:w="49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BE1824" w:rsidRDefault="00994860" w:rsidP="00660BC8">
            <w:pPr>
              <w:ind w:firstLineChars="100" w:firstLine="220"/>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 xml:space="preserve">  3. Private Placement of Debt</w:t>
            </w:r>
          </w:p>
        </w:tc>
        <w:tc>
          <w:tcPr>
            <w:tcW w:w="1100" w:type="dxa"/>
            <w:tcBorders>
              <w:top w:val="nil"/>
              <w:left w:val="nil"/>
              <w:bottom w:val="single" w:sz="4" w:space="0" w:color="auto"/>
              <w:right w:val="single" w:sz="4" w:space="0" w:color="auto"/>
            </w:tcBorders>
            <w:shd w:val="clear" w:color="auto" w:fill="auto"/>
            <w:noWrap/>
            <w:vAlign w:val="bottom"/>
            <w:hideMark/>
          </w:tcPr>
          <w:p w:rsidR="00994860" w:rsidRPr="00BE1824" w:rsidRDefault="00994860" w:rsidP="00660BC8">
            <w:pPr>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 xml:space="preserve">     83,587 </w:t>
            </w:r>
          </w:p>
        </w:tc>
        <w:tc>
          <w:tcPr>
            <w:tcW w:w="1120" w:type="dxa"/>
            <w:tcBorders>
              <w:top w:val="nil"/>
              <w:left w:val="nil"/>
              <w:bottom w:val="single" w:sz="4" w:space="0" w:color="auto"/>
              <w:right w:val="single" w:sz="4" w:space="0" w:color="auto"/>
            </w:tcBorders>
            <w:shd w:val="clear" w:color="auto" w:fill="auto"/>
            <w:noWrap/>
            <w:vAlign w:val="bottom"/>
            <w:hideMark/>
          </w:tcPr>
          <w:p w:rsidR="00994860" w:rsidRPr="00BE1824" w:rsidRDefault="00994860" w:rsidP="00660BC8">
            <w:pPr>
              <w:rPr>
                <w:rFonts w:ascii="Palatino Linotype" w:eastAsia="Times New Roman" w:hAnsi="Palatino Linotype"/>
                <w:color w:val="000000"/>
                <w:sz w:val="22"/>
                <w:szCs w:val="22"/>
                <w:lang w:val="en-US" w:bidi="hi-IN"/>
              </w:rPr>
            </w:pPr>
            <w:r w:rsidRPr="00BE1824">
              <w:rPr>
                <w:rFonts w:ascii="Palatino Linotype" w:eastAsia="Times New Roman" w:hAnsi="Palatino Linotype"/>
                <w:color w:val="000000"/>
                <w:sz w:val="22"/>
                <w:szCs w:val="22"/>
                <w:lang w:val="en-US" w:bidi="hi-IN"/>
              </w:rPr>
              <w:t xml:space="preserve">     39,298 </w:t>
            </w:r>
          </w:p>
        </w:tc>
      </w:tr>
      <w:tr w:rsidR="00994860" w:rsidRPr="00BE1824" w:rsidTr="00660BC8">
        <w:trPr>
          <w:trHeight w:val="345"/>
        </w:trPr>
        <w:tc>
          <w:tcPr>
            <w:tcW w:w="49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BE1824" w:rsidRDefault="00994860" w:rsidP="00660BC8">
            <w:pPr>
              <w:rPr>
                <w:rFonts w:ascii="Palatino Linotype" w:eastAsia="Times New Roman" w:hAnsi="Palatino Linotype"/>
                <w:b/>
                <w:bCs/>
                <w:color w:val="000000"/>
                <w:sz w:val="22"/>
                <w:szCs w:val="22"/>
                <w:lang w:val="en-US" w:bidi="hi-IN"/>
              </w:rPr>
            </w:pPr>
            <w:r w:rsidRPr="00BE1824">
              <w:rPr>
                <w:rFonts w:ascii="Palatino Linotype" w:eastAsia="Times New Roman" w:hAnsi="Palatino Linotype"/>
                <w:b/>
                <w:bCs/>
                <w:color w:val="000000"/>
                <w:sz w:val="22"/>
                <w:szCs w:val="22"/>
                <w:lang w:val="en-US" w:bidi="hi-IN"/>
              </w:rPr>
              <w:t>Total Funds Mobilised (A+B)</w:t>
            </w:r>
          </w:p>
        </w:tc>
        <w:tc>
          <w:tcPr>
            <w:tcW w:w="1100" w:type="dxa"/>
            <w:tcBorders>
              <w:top w:val="nil"/>
              <w:left w:val="nil"/>
              <w:bottom w:val="single" w:sz="4" w:space="0" w:color="auto"/>
              <w:right w:val="single" w:sz="4" w:space="0" w:color="auto"/>
            </w:tcBorders>
            <w:shd w:val="clear" w:color="auto" w:fill="auto"/>
            <w:noWrap/>
            <w:vAlign w:val="bottom"/>
            <w:hideMark/>
          </w:tcPr>
          <w:p w:rsidR="00994860" w:rsidRPr="00BE1824" w:rsidRDefault="00994860" w:rsidP="00660BC8">
            <w:pPr>
              <w:rPr>
                <w:rFonts w:ascii="Palatino Linotype" w:eastAsia="Times New Roman" w:hAnsi="Palatino Linotype"/>
                <w:b/>
                <w:bCs/>
                <w:color w:val="000000"/>
                <w:sz w:val="22"/>
                <w:szCs w:val="22"/>
                <w:lang w:val="en-US" w:bidi="hi-IN"/>
              </w:rPr>
            </w:pPr>
            <w:r w:rsidRPr="00BE1824">
              <w:rPr>
                <w:rFonts w:ascii="Palatino Linotype" w:eastAsia="Times New Roman" w:hAnsi="Palatino Linotype"/>
                <w:b/>
                <w:bCs/>
                <w:color w:val="000000"/>
                <w:sz w:val="22"/>
                <w:szCs w:val="22"/>
                <w:lang w:val="en-US" w:bidi="hi-IN"/>
              </w:rPr>
              <w:t xml:space="preserve">   109,454 </w:t>
            </w:r>
          </w:p>
        </w:tc>
        <w:tc>
          <w:tcPr>
            <w:tcW w:w="1120" w:type="dxa"/>
            <w:tcBorders>
              <w:top w:val="nil"/>
              <w:left w:val="nil"/>
              <w:bottom w:val="single" w:sz="4" w:space="0" w:color="auto"/>
              <w:right w:val="single" w:sz="4" w:space="0" w:color="auto"/>
            </w:tcBorders>
            <w:shd w:val="clear" w:color="auto" w:fill="auto"/>
            <w:noWrap/>
            <w:vAlign w:val="bottom"/>
            <w:hideMark/>
          </w:tcPr>
          <w:p w:rsidR="00994860" w:rsidRPr="00BE1824" w:rsidRDefault="00994860" w:rsidP="00660BC8">
            <w:pPr>
              <w:rPr>
                <w:rFonts w:ascii="Palatino Linotype" w:eastAsia="Times New Roman" w:hAnsi="Palatino Linotype"/>
                <w:b/>
                <w:bCs/>
                <w:color w:val="000000"/>
                <w:sz w:val="22"/>
                <w:szCs w:val="22"/>
                <w:lang w:val="en-US" w:bidi="hi-IN"/>
              </w:rPr>
            </w:pPr>
            <w:r w:rsidRPr="00BE1824">
              <w:rPr>
                <w:rFonts w:ascii="Palatino Linotype" w:eastAsia="Times New Roman" w:hAnsi="Palatino Linotype"/>
                <w:b/>
                <w:bCs/>
                <w:color w:val="000000"/>
                <w:sz w:val="22"/>
                <w:szCs w:val="22"/>
                <w:lang w:val="en-US" w:bidi="hi-IN"/>
              </w:rPr>
              <w:t xml:space="preserve">     53,636 </w:t>
            </w:r>
          </w:p>
        </w:tc>
      </w:tr>
    </w:tbl>
    <w:p w:rsidR="00994860" w:rsidRPr="00574D67" w:rsidRDefault="00994860" w:rsidP="00994860">
      <w:pPr>
        <w:widowControl w:val="0"/>
        <w:contextualSpacing/>
        <w:jc w:val="both"/>
        <w:rPr>
          <w:rFonts w:ascii="Palatino Linotype" w:hAnsi="Palatino Linotype"/>
          <w:b/>
          <w:sz w:val="16"/>
          <w:szCs w:val="18"/>
        </w:rPr>
      </w:pPr>
      <w:r w:rsidRPr="00574D67">
        <w:rPr>
          <w:rFonts w:ascii="Palatino Linotype" w:hAnsi="Palatino Linotype"/>
          <w:b/>
          <w:sz w:val="16"/>
          <w:szCs w:val="18"/>
        </w:rPr>
        <w:t>Notes: Current month data are provisional</w:t>
      </w:r>
    </w:p>
    <w:p w:rsidR="00994860" w:rsidRPr="008C2C3F" w:rsidRDefault="00994860" w:rsidP="00994860">
      <w:pPr>
        <w:widowControl w:val="0"/>
        <w:contextualSpacing/>
        <w:jc w:val="both"/>
        <w:rPr>
          <w:rFonts w:ascii="Palatino Linotype" w:hAnsi="Palatino Linotype"/>
          <w:b/>
          <w:sz w:val="18"/>
          <w:szCs w:val="18"/>
        </w:rPr>
      </w:pPr>
      <w:r w:rsidRPr="008C2C3F">
        <w:rPr>
          <w:rFonts w:ascii="Palatino Linotype" w:hAnsi="Palatino Linotype"/>
          <w:b/>
          <w:sz w:val="16"/>
          <w:szCs w:val="18"/>
        </w:rPr>
        <w:t>Source: SEBI, NSE, BSE and MSEI</w:t>
      </w:r>
    </w:p>
    <w:p w:rsidR="00994860" w:rsidRPr="00BA3742" w:rsidRDefault="00994860" w:rsidP="00994860">
      <w:pPr>
        <w:pStyle w:val="NormalWeb"/>
        <w:shd w:val="clear" w:color="auto" w:fill="FFFFFF"/>
        <w:spacing w:after="300"/>
        <w:jc w:val="both"/>
        <w:rPr>
          <w:rFonts w:ascii="Palatino Linotype" w:hAnsi="Palatino Linotype"/>
          <w:sz w:val="22"/>
          <w:szCs w:val="22"/>
        </w:rPr>
      </w:pPr>
      <w:r>
        <w:rPr>
          <w:rFonts w:ascii="Palatino Linotype" w:hAnsi="Palatino Linotype"/>
          <w:sz w:val="22"/>
          <w:szCs w:val="22"/>
        </w:rPr>
        <w:t xml:space="preserve">In February 2019, </w:t>
      </w:r>
      <w:r w:rsidRPr="008C2C3F">
        <w:rPr>
          <w:rFonts w:ascii="Palatino Linotype" w:hAnsi="Palatino Linotype"/>
          <w:sz w:val="22"/>
          <w:szCs w:val="22"/>
        </w:rPr>
        <w:t xml:space="preserve">Primary market mobilized </w:t>
      </w:r>
      <w:r>
        <w:rPr>
          <w:rFonts w:ascii="Palatino Linotype" w:hAnsi="Palatino Linotype"/>
          <w:sz w:val="22"/>
          <w:szCs w:val="22"/>
        </w:rPr>
        <w:t xml:space="preserve">funds </w:t>
      </w:r>
      <w:r w:rsidRPr="008C2C3F">
        <w:rPr>
          <w:rFonts w:ascii="Palatino Linotype" w:hAnsi="Palatino Linotype"/>
          <w:sz w:val="22"/>
          <w:szCs w:val="22"/>
        </w:rPr>
        <w:t xml:space="preserve">through equity </w:t>
      </w:r>
      <w:r>
        <w:rPr>
          <w:rFonts w:ascii="Palatino Linotype" w:hAnsi="Palatino Linotype"/>
          <w:sz w:val="22"/>
          <w:szCs w:val="22"/>
        </w:rPr>
        <w:t xml:space="preserve">issues </w:t>
      </w:r>
      <w:r w:rsidRPr="008C2C3F">
        <w:rPr>
          <w:rFonts w:ascii="Palatino Linotype" w:hAnsi="Palatino Linotype"/>
          <w:sz w:val="22"/>
          <w:szCs w:val="22"/>
        </w:rPr>
        <w:t xml:space="preserve">touching </w:t>
      </w:r>
      <w:r w:rsidRPr="008C2C3F">
        <w:rPr>
          <w:rFonts w:ascii="Tahoma" w:hAnsi="Tahoma" w:cs="Tahoma"/>
          <w:sz w:val="22"/>
          <w:szCs w:val="22"/>
        </w:rPr>
        <w:t>₹</w:t>
      </w:r>
      <w:r w:rsidRPr="008C2C3F">
        <w:rPr>
          <w:rFonts w:ascii="Palatino Linotype" w:hAnsi="Palatino Linotype"/>
          <w:bCs/>
          <w:sz w:val="22"/>
          <w:szCs w:val="22"/>
          <w:lang w:eastAsia="en-GB" w:bidi="bn-IN"/>
        </w:rPr>
        <w:t xml:space="preserve"> 27 </w:t>
      </w:r>
      <w:r w:rsidRPr="008C2C3F">
        <w:rPr>
          <w:rFonts w:ascii="Palatino Linotype" w:hAnsi="Palatino Linotype"/>
          <w:sz w:val="22"/>
          <w:szCs w:val="22"/>
        </w:rPr>
        <w:t xml:space="preserve">crore as compared to </w:t>
      </w:r>
      <w:r w:rsidRPr="008C2C3F">
        <w:rPr>
          <w:rFonts w:ascii="Rupee Foradian" w:hAnsi="Rupee Foradian"/>
          <w:sz w:val="22"/>
          <w:szCs w:val="22"/>
        </w:rPr>
        <w:t>`</w:t>
      </w:r>
      <w:r w:rsidRPr="008C2C3F">
        <w:rPr>
          <w:rFonts w:ascii="Palatino Linotype" w:hAnsi="Palatino Linotype"/>
          <w:sz w:val="22"/>
          <w:szCs w:val="22"/>
        </w:rPr>
        <w:t xml:space="preserve"> 1,776 crore raised in January 2019</w:t>
      </w:r>
      <w:r>
        <w:rPr>
          <w:rFonts w:ascii="Palatino Linotype" w:hAnsi="Palatino Linotype"/>
          <w:sz w:val="22"/>
          <w:szCs w:val="22"/>
        </w:rPr>
        <w:t>. Of the total 6 equity issues</w:t>
      </w:r>
      <w:r w:rsidRPr="008C2C3F">
        <w:rPr>
          <w:rFonts w:ascii="Palatino Linotype" w:hAnsi="Palatino Linotype"/>
          <w:sz w:val="22"/>
          <w:szCs w:val="22"/>
        </w:rPr>
        <w:t xml:space="preserve">, 5 IPOs were listed on SMEs </w:t>
      </w:r>
      <w:r w:rsidRPr="00BA3742">
        <w:rPr>
          <w:rFonts w:ascii="Palatino Linotype" w:hAnsi="Palatino Linotype"/>
          <w:sz w:val="22"/>
          <w:szCs w:val="22"/>
        </w:rPr>
        <w:t xml:space="preserve">platform of the BSE and the NSE during February 2019. </w:t>
      </w:r>
    </w:p>
    <w:p w:rsidR="00994860" w:rsidRDefault="00994860" w:rsidP="00994860">
      <w:pPr>
        <w:jc w:val="both"/>
        <w:rPr>
          <w:rFonts w:ascii="Palatino Linotype" w:hAnsi="Palatino Linotype"/>
          <w:sz w:val="22"/>
          <w:szCs w:val="22"/>
        </w:rPr>
      </w:pPr>
      <w:r w:rsidRPr="00BA3742">
        <w:rPr>
          <w:rFonts w:ascii="Palatino Linotype" w:hAnsi="Palatino Linotype"/>
          <w:sz w:val="22"/>
          <w:szCs w:val="22"/>
        </w:rPr>
        <w:lastRenderedPageBreak/>
        <w:t xml:space="preserve">In February 2019, there were total 27 preferential allotments worth </w:t>
      </w:r>
      <w:r w:rsidRPr="00BA3742">
        <w:rPr>
          <w:rFonts w:ascii="Tahoma" w:hAnsi="Tahoma" w:cs="Tahoma"/>
          <w:sz w:val="22"/>
          <w:szCs w:val="22"/>
        </w:rPr>
        <w:t>₹</w:t>
      </w:r>
      <w:r w:rsidRPr="00BA3742">
        <w:rPr>
          <w:rFonts w:ascii="Palatino Linotype" w:hAnsi="Palatino Linotype"/>
          <w:sz w:val="22"/>
          <w:szCs w:val="22"/>
        </w:rPr>
        <w:t xml:space="preserve">12,997 crore </w:t>
      </w:r>
      <w:r w:rsidRPr="00BA3742">
        <w:rPr>
          <w:rFonts w:ascii="Palatino Linotype" w:hAnsi="Palatino Linotype" w:cs="Garamond"/>
          <w:sz w:val="22"/>
          <w:szCs w:val="22"/>
        </w:rPr>
        <w:t xml:space="preserve">as compared to </w:t>
      </w:r>
      <w:r w:rsidRPr="00BA3742">
        <w:rPr>
          <w:rFonts w:ascii="Palatino Linotype" w:hAnsi="Palatino Linotype"/>
          <w:sz w:val="22"/>
          <w:szCs w:val="22"/>
        </w:rPr>
        <w:t xml:space="preserve">26 preferential allotments worth </w:t>
      </w:r>
      <w:r w:rsidRPr="00BA3742">
        <w:rPr>
          <w:rFonts w:ascii="Times New Roman" w:hAnsi="Times New Roman"/>
          <w:sz w:val="22"/>
          <w:szCs w:val="22"/>
        </w:rPr>
        <w:t>₹</w:t>
      </w:r>
      <w:r w:rsidRPr="00BA3742">
        <w:rPr>
          <w:rFonts w:ascii="Palatino Linotype" w:eastAsia="Times New Roman" w:hAnsi="Palatino Linotype"/>
          <w:color w:val="000000"/>
          <w:sz w:val="22"/>
          <w:szCs w:val="22"/>
          <w:lang w:val="en-US"/>
        </w:rPr>
        <w:t xml:space="preserve">19,844 </w:t>
      </w:r>
      <w:r w:rsidRPr="00BA3742">
        <w:rPr>
          <w:rFonts w:ascii="Palatino Linotype" w:eastAsia="Times New Roman" w:hAnsi="Palatino Linotype" w:cs="Calibri"/>
          <w:sz w:val="22"/>
          <w:szCs w:val="22"/>
          <w:lang w:val="en-US"/>
        </w:rPr>
        <w:t>crore</w:t>
      </w:r>
      <w:r w:rsidRPr="00BA3742">
        <w:rPr>
          <w:rFonts w:ascii="Palatino Linotype" w:hAnsi="Palatino Linotype" w:cs="Garamond"/>
          <w:sz w:val="22"/>
          <w:szCs w:val="22"/>
        </w:rPr>
        <w:t xml:space="preserve"> that got listed at BSE, NSE and MSEI in January 2019</w:t>
      </w:r>
      <w:r w:rsidRPr="00BA3742">
        <w:rPr>
          <w:rFonts w:ascii="Palatino Linotype" w:hAnsi="Palatino Linotype"/>
          <w:sz w:val="22"/>
          <w:szCs w:val="22"/>
        </w:rPr>
        <w:t xml:space="preserve">. </w:t>
      </w:r>
      <w:r w:rsidRPr="003903F3">
        <w:rPr>
          <w:rFonts w:ascii="Palatino Linotype" w:hAnsi="Palatino Linotype"/>
          <w:sz w:val="22"/>
          <w:szCs w:val="22"/>
        </w:rPr>
        <w:t xml:space="preserve">Corporate sector mobilised resources by way of private placements of corporate bonds. The companies mobilised </w:t>
      </w:r>
      <w:r w:rsidRPr="003903F3">
        <w:rPr>
          <w:rFonts w:ascii="Rupee Foradian" w:hAnsi="Rupee Foradian"/>
          <w:sz w:val="22"/>
          <w:szCs w:val="22"/>
        </w:rPr>
        <w:t>`</w:t>
      </w:r>
      <w:r w:rsidRPr="003903F3">
        <w:rPr>
          <w:rFonts w:ascii="Palatino Linotype" w:eastAsia="Times New Roman" w:hAnsi="Palatino Linotype"/>
          <w:color w:val="000000"/>
          <w:sz w:val="22"/>
          <w:szCs w:val="22"/>
          <w:lang w:val="en-US" w:bidi="hi-IN"/>
        </w:rPr>
        <w:t>39,298 crore</w:t>
      </w:r>
      <w:r w:rsidRPr="003903F3">
        <w:rPr>
          <w:rFonts w:ascii="Palatino Linotype" w:hAnsi="Palatino Linotype"/>
          <w:sz w:val="22"/>
          <w:szCs w:val="22"/>
        </w:rPr>
        <w:t xml:space="preserve"> through 183 issues in February 2019 as compared to </w:t>
      </w:r>
      <w:r w:rsidRPr="003903F3">
        <w:rPr>
          <w:rFonts w:ascii="Rupee Foradian" w:hAnsi="Rupee Foradian"/>
          <w:sz w:val="22"/>
          <w:szCs w:val="22"/>
        </w:rPr>
        <w:t>`</w:t>
      </w:r>
      <w:r w:rsidRPr="003903F3">
        <w:rPr>
          <w:rFonts w:ascii="Palatino Linotype" w:hAnsi="Palatino Linotype"/>
          <w:sz w:val="22"/>
          <w:szCs w:val="22"/>
          <w:lang w:val="en-US"/>
        </w:rPr>
        <w:t>83,587 crore</w:t>
      </w:r>
      <w:r w:rsidRPr="003903F3">
        <w:rPr>
          <w:rFonts w:ascii="Palatino Linotype" w:hAnsi="Palatino Linotype"/>
          <w:sz w:val="22"/>
          <w:szCs w:val="22"/>
        </w:rPr>
        <w:t xml:space="preserve"> through 284 issues in January 2019.</w:t>
      </w:r>
    </w:p>
    <w:p w:rsidR="00994860" w:rsidRPr="00C256D7" w:rsidRDefault="00994860" w:rsidP="00994860">
      <w:pPr>
        <w:jc w:val="both"/>
        <w:rPr>
          <w:rFonts w:ascii="Palatino Linotype" w:eastAsia="Times New Roman" w:hAnsi="Palatino Linotype"/>
          <w:color w:val="000000"/>
          <w:sz w:val="22"/>
          <w:szCs w:val="22"/>
          <w:highlight w:val="yellow"/>
          <w:lang w:val="en-US" w:bidi="hi-IN"/>
        </w:rPr>
      </w:pPr>
    </w:p>
    <w:p w:rsidR="00994860" w:rsidRPr="00287B4A" w:rsidRDefault="00994860" w:rsidP="00994860">
      <w:pPr>
        <w:widowControl w:val="0"/>
        <w:numPr>
          <w:ilvl w:val="0"/>
          <w:numId w:val="2"/>
        </w:numPr>
        <w:contextualSpacing/>
        <w:jc w:val="both"/>
        <w:rPr>
          <w:rFonts w:ascii="Palatino Linotype" w:hAnsi="Palatino Linotype"/>
          <w:b/>
          <w:sz w:val="22"/>
          <w:szCs w:val="22"/>
        </w:rPr>
      </w:pPr>
      <w:r w:rsidRPr="00287B4A">
        <w:rPr>
          <w:rFonts w:ascii="Palatino Linotype" w:hAnsi="Palatino Linotype"/>
          <w:b/>
          <w:sz w:val="22"/>
          <w:szCs w:val="22"/>
        </w:rPr>
        <w:t>Trends in the Secondary Market</w:t>
      </w:r>
    </w:p>
    <w:p w:rsidR="00994860" w:rsidRPr="00287B4A" w:rsidRDefault="00994860" w:rsidP="00994860">
      <w:pPr>
        <w:widowControl w:val="0"/>
        <w:tabs>
          <w:tab w:val="left" w:pos="3915"/>
        </w:tabs>
        <w:jc w:val="both"/>
        <w:rPr>
          <w:rFonts w:ascii="Palatino Linotype" w:hAnsi="Palatino Linotype"/>
          <w:b/>
          <w:sz w:val="22"/>
          <w:szCs w:val="22"/>
        </w:rPr>
      </w:pPr>
    </w:p>
    <w:p w:rsidR="00994860" w:rsidRPr="00287B4A" w:rsidRDefault="00994860" w:rsidP="00994860">
      <w:pPr>
        <w:widowControl w:val="0"/>
        <w:contextualSpacing/>
        <w:jc w:val="both"/>
        <w:rPr>
          <w:rFonts w:ascii="Palatino Linotype" w:hAnsi="Palatino Linotype"/>
          <w:b/>
          <w:sz w:val="22"/>
          <w:szCs w:val="22"/>
        </w:rPr>
      </w:pPr>
      <w:r w:rsidRPr="00287B4A">
        <w:rPr>
          <w:rFonts w:ascii="Palatino Linotype" w:hAnsi="Palatino Linotype"/>
          <w:b/>
          <w:sz w:val="22"/>
          <w:szCs w:val="22"/>
        </w:rPr>
        <w:t xml:space="preserve">Exhibit 2: Snapshot of Indian Capital Market </w:t>
      </w:r>
    </w:p>
    <w:tbl>
      <w:tblPr>
        <w:tblW w:w="8060" w:type="dxa"/>
        <w:tblLook w:val="04A0" w:firstRow="1" w:lastRow="0" w:firstColumn="1" w:lastColumn="0" w:noHBand="0" w:noVBand="1"/>
      </w:tblPr>
      <w:tblGrid>
        <w:gridCol w:w="2620"/>
        <w:gridCol w:w="1920"/>
        <w:gridCol w:w="1720"/>
        <w:gridCol w:w="1800"/>
      </w:tblGrid>
      <w:tr w:rsidR="00994860" w:rsidRPr="00CD3559" w:rsidTr="00660BC8">
        <w:trPr>
          <w:trHeight w:val="780"/>
        </w:trPr>
        <w:tc>
          <w:tcPr>
            <w:tcW w:w="2620" w:type="dxa"/>
            <w:tcBorders>
              <w:top w:val="single" w:sz="4" w:space="0" w:color="auto"/>
              <w:left w:val="single" w:sz="4" w:space="0" w:color="auto"/>
              <w:bottom w:val="single" w:sz="4" w:space="0" w:color="auto"/>
              <w:right w:val="single" w:sz="4" w:space="0" w:color="auto"/>
            </w:tcBorders>
            <w:shd w:val="clear" w:color="000000" w:fill="92CDDC"/>
            <w:noWrap/>
            <w:vAlign w:val="center"/>
            <w:hideMark/>
          </w:tcPr>
          <w:p w:rsidR="00994860" w:rsidRPr="00CD3559" w:rsidRDefault="00994860" w:rsidP="00660BC8">
            <w:pPr>
              <w:rPr>
                <w:rFonts w:ascii="Palatino Linotype" w:eastAsia="Times New Roman" w:hAnsi="Palatino Linotype"/>
                <w:b/>
                <w:bCs/>
                <w:color w:val="000000"/>
                <w:sz w:val="22"/>
                <w:szCs w:val="22"/>
                <w:lang w:val="en-US" w:bidi="hi-IN"/>
              </w:rPr>
            </w:pPr>
            <w:r w:rsidRPr="00CD3559">
              <w:rPr>
                <w:rFonts w:ascii="Palatino Linotype" w:eastAsia="Times New Roman" w:hAnsi="Palatino Linotype"/>
                <w:b/>
                <w:bCs/>
                <w:color w:val="000000"/>
                <w:sz w:val="22"/>
                <w:szCs w:val="22"/>
                <w:lang w:val="en-US" w:bidi="hi-IN"/>
              </w:rPr>
              <w:t>Description</w:t>
            </w:r>
          </w:p>
        </w:tc>
        <w:tc>
          <w:tcPr>
            <w:tcW w:w="1920" w:type="dxa"/>
            <w:tcBorders>
              <w:top w:val="single" w:sz="4" w:space="0" w:color="auto"/>
              <w:left w:val="nil"/>
              <w:bottom w:val="single" w:sz="4" w:space="0" w:color="auto"/>
              <w:right w:val="single" w:sz="4" w:space="0" w:color="auto"/>
            </w:tcBorders>
            <w:shd w:val="clear" w:color="000000" w:fill="92CDDC"/>
            <w:noWrap/>
            <w:vAlign w:val="center"/>
            <w:hideMark/>
          </w:tcPr>
          <w:p w:rsidR="00994860" w:rsidRPr="00CD3559" w:rsidRDefault="00994860" w:rsidP="00660BC8">
            <w:pPr>
              <w:jc w:val="center"/>
              <w:rPr>
                <w:rFonts w:ascii="Palatino Linotype" w:eastAsia="Times New Roman" w:hAnsi="Palatino Linotype"/>
                <w:b/>
                <w:bCs/>
                <w:color w:val="000000"/>
                <w:sz w:val="22"/>
                <w:szCs w:val="22"/>
                <w:lang w:val="en-US" w:bidi="hi-IN"/>
              </w:rPr>
            </w:pPr>
            <w:r w:rsidRPr="00CD3559">
              <w:rPr>
                <w:rFonts w:ascii="Palatino Linotype" w:eastAsia="Times New Roman" w:hAnsi="Palatino Linotype"/>
                <w:b/>
                <w:bCs/>
                <w:color w:val="000000"/>
                <w:sz w:val="22"/>
                <w:szCs w:val="22"/>
                <w:lang w:val="en-US" w:bidi="hi-IN"/>
              </w:rPr>
              <w:t>Jan-19</w:t>
            </w:r>
          </w:p>
        </w:tc>
        <w:tc>
          <w:tcPr>
            <w:tcW w:w="1720" w:type="dxa"/>
            <w:tcBorders>
              <w:top w:val="single" w:sz="4" w:space="0" w:color="auto"/>
              <w:left w:val="nil"/>
              <w:bottom w:val="single" w:sz="4" w:space="0" w:color="auto"/>
              <w:right w:val="single" w:sz="4" w:space="0" w:color="auto"/>
            </w:tcBorders>
            <w:shd w:val="clear" w:color="000000" w:fill="92CDDC"/>
            <w:noWrap/>
            <w:vAlign w:val="center"/>
            <w:hideMark/>
          </w:tcPr>
          <w:p w:rsidR="00994860" w:rsidRPr="00CD3559" w:rsidRDefault="00994860" w:rsidP="00660BC8">
            <w:pPr>
              <w:jc w:val="center"/>
              <w:rPr>
                <w:rFonts w:ascii="Palatino Linotype" w:eastAsia="Times New Roman" w:hAnsi="Palatino Linotype"/>
                <w:b/>
                <w:bCs/>
                <w:color w:val="000000"/>
                <w:sz w:val="22"/>
                <w:szCs w:val="22"/>
                <w:lang w:val="en-US" w:bidi="hi-IN"/>
              </w:rPr>
            </w:pPr>
            <w:r w:rsidRPr="00CD3559">
              <w:rPr>
                <w:rFonts w:ascii="Palatino Linotype" w:eastAsia="Times New Roman" w:hAnsi="Palatino Linotype"/>
                <w:b/>
                <w:bCs/>
                <w:color w:val="000000"/>
                <w:sz w:val="22"/>
                <w:szCs w:val="22"/>
                <w:lang w:val="en-US" w:bidi="hi-IN"/>
              </w:rPr>
              <w:t>Feb-19</w:t>
            </w:r>
          </w:p>
        </w:tc>
        <w:tc>
          <w:tcPr>
            <w:tcW w:w="1800" w:type="dxa"/>
            <w:tcBorders>
              <w:top w:val="single" w:sz="4" w:space="0" w:color="auto"/>
              <w:left w:val="nil"/>
              <w:bottom w:val="single" w:sz="4" w:space="0" w:color="auto"/>
              <w:right w:val="single" w:sz="4" w:space="0" w:color="auto"/>
            </w:tcBorders>
            <w:shd w:val="clear" w:color="000000" w:fill="92CDDC"/>
            <w:vAlign w:val="center"/>
            <w:hideMark/>
          </w:tcPr>
          <w:p w:rsidR="00994860" w:rsidRPr="00CD3559" w:rsidRDefault="00994860" w:rsidP="00660BC8">
            <w:pPr>
              <w:jc w:val="center"/>
              <w:rPr>
                <w:rFonts w:ascii="Palatino Linotype" w:eastAsia="Times New Roman" w:hAnsi="Palatino Linotype"/>
                <w:b/>
                <w:bCs/>
                <w:color w:val="000000"/>
                <w:sz w:val="22"/>
                <w:szCs w:val="22"/>
                <w:lang w:val="en-US" w:bidi="hi-IN"/>
              </w:rPr>
            </w:pPr>
            <w:r w:rsidRPr="00CD3559">
              <w:rPr>
                <w:rFonts w:ascii="Palatino Linotype" w:eastAsia="Times New Roman" w:hAnsi="Palatino Linotype"/>
                <w:b/>
                <w:bCs/>
                <w:color w:val="000000"/>
                <w:sz w:val="22"/>
                <w:szCs w:val="22"/>
                <w:lang w:val="en-US" w:bidi="hi-IN"/>
              </w:rPr>
              <w:t>Change during the Month</w:t>
            </w:r>
          </w:p>
        </w:tc>
      </w:tr>
      <w:tr w:rsidR="00994860" w:rsidRPr="00CD3559" w:rsidTr="00660BC8">
        <w:trPr>
          <w:trHeight w:val="315"/>
        </w:trPr>
        <w:tc>
          <w:tcPr>
            <w:tcW w:w="8060"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994860" w:rsidRPr="00CD3559" w:rsidRDefault="00994860" w:rsidP="00660BC8">
            <w:pPr>
              <w:rPr>
                <w:rFonts w:ascii="Palatino Linotype" w:eastAsia="Times New Roman" w:hAnsi="Palatino Linotype"/>
                <w:b/>
                <w:bCs/>
                <w:color w:val="002060"/>
                <w:sz w:val="20"/>
                <w:szCs w:val="20"/>
                <w:lang w:val="en-US" w:bidi="hi-IN"/>
              </w:rPr>
            </w:pPr>
            <w:r w:rsidRPr="00CD3559">
              <w:rPr>
                <w:rFonts w:ascii="Palatino Linotype" w:eastAsia="Times New Roman" w:hAnsi="Palatino Linotype"/>
                <w:b/>
                <w:bCs/>
                <w:color w:val="002060"/>
                <w:sz w:val="20"/>
                <w:szCs w:val="20"/>
                <w:lang w:val="en-US" w:bidi="hi-IN"/>
              </w:rPr>
              <w:t>Index in Equity Market</w:t>
            </w:r>
          </w:p>
        </w:tc>
      </w:tr>
      <w:tr w:rsidR="00994860" w:rsidRPr="00CD3559" w:rsidTr="00660BC8">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CD3559" w:rsidRDefault="00994860" w:rsidP="00660BC8">
            <w:pPr>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Sensex</w:t>
            </w:r>
          </w:p>
        </w:tc>
        <w:tc>
          <w:tcPr>
            <w:tcW w:w="192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36257</w:t>
            </w:r>
          </w:p>
        </w:tc>
        <w:tc>
          <w:tcPr>
            <w:tcW w:w="172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35867</w:t>
            </w:r>
          </w:p>
        </w:tc>
        <w:tc>
          <w:tcPr>
            <w:tcW w:w="180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-1.1</w:t>
            </w:r>
          </w:p>
        </w:tc>
      </w:tr>
      <w:tr w:rsidR="00994860" w:rsidRPr="00CD3559" w:rsidTr="00660BC8">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CD3559" w:rsidRDefault="00994860" w:rsidP="00660BC8">
            <w:pPr>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Nifty 50</w:t>
            </w:r>
          </w:p>
        </w:tc>
        <w:tc>
          <w:tcPr>
            <w:tcW w:w="192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10831</w:t>
            </w:r>
          </w:p>
        </w:tc>
        <w:tc>
          <w:tcPr>
            <w:tcW w:w="172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10793</w:t>
            </w:r>
          </w:p>
        </w:tc>
        <w:tc>
          <w:tcPr>
            <w:tcW w:w="180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-0.4</w:t>
            </w:r>
          </w:p>
        </w:tc>
      </w:tr>
      <w:tr w:rsidR="00994860" w:rsidRPr="00CD3559" w:rsidTr="00660BC8">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CD3559" w:rsidRDefault="00994860" w:rsidP="00660BC8">
            <w:pPr>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Nifty 500</w:t>
            </w:r>
          </w:p>
        </w:tc>
        <w:tc>
          <w:tcPr>
            <w:tcW w:w="192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9004</w:t>
            </w:r>
          </w:p>
        </w:tc>
        <w:tc>
          <w:tcPr>
            <w:tcW w:w="172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8956</w:t>
            </w:r>
          </w:p>
        </w:tc>
        <w:tc>
          <w:tcPr>
            <w:tcW w:w="180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-0.5</w:t>
            </w:r>
          </w:p>
        </w:tc>
      </w:tr>
      <w:tr w:rsidR="00994860" w:rsidRPr="00CD3559" w:rsidTr="00660BC8">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CD3559" w:rsidRDefault="00994860" w:rsidP="00660BC8">
            <w:pPr>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BSE 500</w:t>
            </w:r>
          </w:p>
        </w:tc>
        <w:tc>
          <w:tcPr>
            <w:tcW w:w="192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14285</w:t>
            </w:r>
          </w:p>
        </w:tc>
        <w:tc>
          <w:tcPr>
            <w:tcW w:w="172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14197</w:t>
            </w:r>
          </w:p>
        </w:tc>
        <w:tc>
          <w:tcPr>
            <w:tcW w:w="180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-0.6</w:t>
            </w:r>
          </w:p>
        </w:tc>
      </w:tr>
      <w:tr w:rsidR="00994860" w:rsidRPr="00CD3559" w:rsidTr="00660BC8">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CD3559" w:rsidRDefault="00994860" w:rsidP="00660BC8">
            <w:pPr>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Nifty Bank</w:t>
            </w:r>
          </w:p>
        </w:tc>
        <w:tc>
          <w:tcPr>
            <w:tcW w:w="192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27295</w:t>
            </w:r>
          </w:p>
        </w:tc>
        <w:tc>
          <w:tcPr>
            <w:tcW w:w="172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26790</w:t>
            </w:r>
          </w:p>
        </w:tc>
        <w:tc>
          <w:tcPr>
            <w:tcW w:w="180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-1.9</w:t>
            </w:r>
          </w:p>
        </w:tc>
      </w:tr>
      <w:tr w:rsidR="00994860" w:rsidRPr="00CD3559" w:rsidTr="00660BC8">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CD3559" w:rsidRDefault="00994860" w:rsidP="00660BC8">
            <w:pPr>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Nifty IT</w:t>
            </w:r>
          </w:p>
        </w:tc>
        <w:tc>
          <w:tcPr>
            <w:tcW w:w="192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15499</w:t>
            </w:r>
          </w:p>
        </w:tc>
        <w:tc>
          <w:tcPr>
            <w:tcW w:w="172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15732</w:t>
            </w:r>
          </w:p>
        </w:tc>
        <w:tc>
          <w:tcPr>
            <w:tcW w:w="180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1.5</w:t>
            </w:r>
          </w:p>
        </w:tc>
      </w:tr>
      <w:tr w:rsidR="00994860" w:rsidRPr="00CD3559" w:rsidTr="00660BC8">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CD3559" w:rsidRDefault="00994860" w:rsidP="00660BC8">
            <w:pPr>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BSE Healthcare</w:t>
            </w:r>
          </w:p>
        </w:tc>
        <w:tc>
          <w:tcPr>
            <w:tcW w:w="192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13881</w:t>
            </w:r>
          </w:p>
        </w:tc>
        <w:tc>
          <w:tcPr>
            <w:tcW w:w="172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13761</w:t>
            </w:r>
          </w:p>
        </w:tc>
        <w:tc>
          <w:tcPr>
            <w:tcW w:w="180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-0.9</w:t>
            </w:r>
          </w:p>
        </w:tc>
      </w:tr>
      <w:tr w:rsidR="00994860" w:rsidRPr="00CD3559" w:rsidTr="00660BC8">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CD3559" w:rsidRDefault="00994860" w:rsidP="00660BC8">
            <w:pPr>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BSE FMCG</w:t>
            </w:r>
          </w:p>
        </w:tc>
        <w:tc>
          <w:tcPr>
            <w:tcW w:w="192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11616</w:t>
            </w:r>
          </w:p>
        </w:tc>
        <w:tc>
          <w:tcPr>
            <w:tcW w:w="172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11354</w:t>
            </w:r>
          </w:p>
        </w:tc>
        <w:tc>
          <w:tcPr>
            <w:tcW w:w="180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-2.3</w:t>
            </w:r>
          </w:p>
        </w:tc>
      </w:tr>
      <w:tr w:rsidR="00994860" w:rsidRPr="00CD3559" w:rsidTr="00660BC8">
        <w:trPr>
          <w:trHeight w:val="315"/>
        </w:trPr>
        <w:tc>
          <w:tcPr>
            <w:tcW w:w="8060"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994860" w:rsidRPr="00CD3559" w:rsidRDefault="00994860" w:rsidP="00660BC8">
            <w:pPr>
              <w:rPr>
                <w:rFonts w:ascii="Palatino Linotype" w:eastAsia="Times New Roman" w:hAnsi="Palatino Linotype"/>
                <w:b/>
                <w:bCs/>
                <w:color w:val="002060"/>
                <w:sz w:val="20"/>
                <w:szCs w:val="20"/>
                <w:lang w:val="en-US" w:bidi="hi-IN"/>
              </w:rPr>
            </w:pPr>
            <w:r w:rsidRPr="00CD3559">
              <w:rPr>
                <w:rFonts w:ascii="Palatino Linotype" w:eastAsia="Times New Roman" w:hAnsi="Palatino Linotype"/>
                <w:b/>
                <w:bCs/>
                <w:color w:val="002060"/>
                <w:sz w:val="20"/>
                <w:szCs w:val="20"/>
                <w:lang w:val="en-US" w:bidi="hi-IN"/>
              </w:rPr>
              <w:t>Market Capitalisation (</w:t>
            </w:r>
            <w:r w:rsidRPr="00CD3559">
              <w:rPr>
                <w:rFonts w:ascii="Rupee Foradian" w:eastAsia="Times New Roman" w:hAnsi="Rupee Foradian"/>
                <w:b/>
                <w:bCs/>
                <w:color w:val="002060"/>
                <w:sz w:val="20"/>
                <w:szCs w:val="20"/>
                <w:lang w:val="en-US" w:bidi="hi-IN"/>
              </w:rPr>
              <w:t>`</w:t>
            </w:r>
            <w:r w:rsidRPr="00CD3559">
              <w:rPr>
                <w:rFonts w:ascii="Palatino Linotype" w:eastAsia="Times New Roman" w:hAnsi="Palatino Linotype"/>
                <w:b/>
                <w:bCs/>
                <w:color w:val="002060"/>
                <w:sz w:val="20"/>
                <w:szCs w:val="20"/>
                <w:lang w:val="en-US" w:bidi="hi-IN"/>
              </w:rPr>
              <w:t xml:space="preserve"> crore)</w:t>
            </w:r>
          </w:p>
        </w:tc>
      </w:tr>
      <w:tr w:rsidR="00994860" w:rsidRPr="00CD3559" w:rsidTr="00660BC8">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CD3559" w:rsidRDefault="00994860" w:rsidP="00660BC8">
            <w:pPr>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 xml:space="preserve">BSE </w:t>
            </w:r>
          </w:p>
        </w:tc>
        <w:tc>
          <w:tcPr>
            <w:tcW w:w="1920" w:type="dxa"/>
            <w:tcBorders>
              <w:top w:val="nil"/>
              <w:left w:val="nil"/>
              <w:bottom w:val="single" w:sz="4" w:space="0" w:color="auto"/>
              <w:right w:val="single" w:sz="4" w:space="0" w:color="auto"/>
            </w:tcBorders>
            <w:shd w:val="clear" w:color="auto" w:fill="auto"/>
            <w:noWrap/>
            <w:vAlign w:val="center"/>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1,40,99,330</w:t>
            </w:r>
          </w:p>
        </w:tc>
        <w:tc>
          <w:tcPr>
            <w:tcW w:w="1720" w:type="dxa"/>
            <w:tcBorders>
              <w:top w:val="nil"/>
              <w:left w:val="nil"/>
              <w:bottom w:val="single" w:sz="4" w:space="0" w:color="auto"/>
              <w:right w:val="single" w:sz="4" w:space="0" w:color="auto"/>
            </w:tcBorders>
            <w:shd w:val="clear" w:color="auto" w:fill="auto"/>
            <w:noWrap/>
            <w:vAlign w:val="center"/>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1,40,41,530</w:t>
            </w:r>
          </w:p>
        </w:tc>
        <w:tc>
          <w:tcPr>
            <w:tcW w:w="180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-0.4</w:t>
            </w:r>
          </w:p>
        </w:tc>
      </w:tr>
      <w:tr w:rsidR="00994860" w:rsidRPr="00CD3559" w:rsidTr="00660BC8">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CD3559" w:rsidRDefault="00994860" w:rsidP="00660BC8">
            <w:pPr>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NSE</w:t>
            </w:r>
          </w:p>
        </w:tc>
        <w:tc>
          <w:tcPr>
            <w:tcW w:w="1920" w:type="dxa"/>
            <w:tcBorders>
              <w:top w:val="nil"/>
              <w:left w:val="nil"/>
              <w:bottom w:val="single" w:sz="4" w:space="0" w:color="auto"/>
              <w:right w:val="single" w:sz="4" w:space="0" w:color="auto"/>
            </w:tcBorders>
            <w:shd w:val="clear" w:color="auto" w:fill="auto"/>
            <w:noWrap/>
            <w:vAlign w:val="center"/>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1,39,16,643</w:t>
            </w:r>
          </w:p>
        </w:tc>
        <w:tc>
          <w:tcPr>
            <w:tcW w:w="1720" w:type="dxa"/>
            <w:tcBorders>
              <w:top w:val="nil"/>
              <w:left w:val="nil"/>
              <w:bottom w:val="single" w:sz="4" w:space="0" w:color="auto"/>
              <w:right w:val="single" w:sz="4" w:space="0" w:color="auto"/>
            </w:tcBorders>
            <w:shd w:val="clear" w:color="auto" w:fill="auto"/>
            <w:noWrap/>
            <w:vAlign w:val="center"/>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1,38,71,449</w:t>
            </w:r>
          </w:p>
        </w:tc>
        <w:tc>
          <w:tcPr>
            <w:tcW w:w="180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-0.3</w:t>
            </w:r>
          </w:p>
        </w:tc>
      </w:tr>
      <w:tr w:rsidR="00994860" w:rsidRPr="00CD3559" w:rsidTr="00660BC8">
        <w:trPr>
          <w:trHeight w:val="315"/>
        </w:trPr>
        <w:tc>
          <w:tcPr>
            <w:tcW w:w="8060"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994860" w:rsidRPr="00CD3559" w:rsidRDefault="00994860" w:rsidP="00660BC8">
            <w:pPr>
              <w:rPr>
                <w:rFonts w:ascii="Palatino Linotype" w:eastAsia="Times New Roman" w:hAnsi="Palatino Linotype"/>
                <w:b/>
                <w:bCs/>
                <w:color w:val="002060"/>
                <w:sz w:val="20"/>
                <w:szCs w:val="20"/>
                <w:lang w:val="en-US" w:bidi="hi-IN"/>
              </w:rPr>
            </w:pPr>
            <w:r w:rsidRPr="00CD3559">
              <w:rPr>
                <w:rFonts w:ascii="Palatino Linotype" w:eastAsia="Times New Roman" w:hAnsi="Palatino Linotype"/>
                <w:b/>
                <w:bCs/>
                <w:color w:val="002060"/>
                <w:sz w:val="20"/>
                <w:szCs w:val="20"/>
                <w:lang w:val="en-US" w:bidi="hi-IN"/>
              </w:rPr>
              <w:t>P/E Ratio</w:t>
            </w:r>
          </w:p>
        </w:tc>
      </w:tr>
      <w:tr w:rsidR="00994860" w:rsidRPr="00CD3559" w:rsidTr="00660BC8">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CD3559" w:rsidRDefault="00994860" w:rsidP="00660BC8">
            <w:pPr>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Sensex</w:t>
            </w:r>
          </w:p>
        </w:tc>
        <w:tc>
          <w:tcPr>
            <w:tcW w:w="1920" w:type="dxa"/>
            <w:tcBorders>
              <w:top w:val="nil"/>
              <w:left w:val="nil"/>
              <w:bottom w:val="single" w:sz="4" w:space="0" w:color="auto"/>
              <w:right w:val="single" w:sz="4" w:space="0" w:color="auto"/>
            </w:tcBorders>
            <w:shd w:val="clear" w:color="auto" w:fill="auto"/>
            <w:noWrap/>
            <w:vAlign w:val="center"/>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23.6</w:t>
            </w:r>
          </w:p>
        </w:tc>
        <w:tc>
          <w:tcPr>
            <w:tcW w:w="1720" w:type="dxa"/>
            <w:tcBorders>
              <w:top w:val="nil"/>
              <w:left w:val="nil"/>
              <w:bottom w:val="single" w:sz="4" w:space="0" w:color="auto"/>
              <w:right w:val="single" w:sz="4" w:space="0" w:color="auto"/>
            </w:tcBorders>
            <w:shd w:val="clear" w:color="auto" w:fill="auto"/>
            <w:noWrap/>
            <w:vAlign w:val="center"/>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23.8</w:t>
            </w:r>
          </w:p>
        </w:tc>
        <w:tc>
          <w:tcPr>
            <w:tcW w:w="180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1.0</w:t>
            </w:r>
          </w:p>
        </w:tc>
      </w:tr>
      <w:tr w:rsidR="00994860" w:rsidRPr="00CD3559" w:rsidTr="00660BC8">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CD3559" w:rsidRDefault="00994860" w:rsidP="00660BC8">
            <w:pPr>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Nifty 50</w:t>
            </w:r>
          </w:p>
        </w:tc>
        <w:tc>
          <w:tcPr>
            <w:tcW w:w="1920" w:type="dxa"/>
            <w:tcBorders>
              <w:top w:val="nil"/>
              <w:left w:val="nil"/>
              <w:bottom w:val="single" w:sz="4" w:space="0" w:color="auto"/>
              <w:right w:val="single" w:sz="4" w:space="0" w:color="auto"/>
            </w:tcBorders>
            <w:shd w:val="clear" w:color="auto" w:fill="auto"/>
            <w:noWrap/>
            <w:vAlign w:val="center"/>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26.3</w:t>
            </w:r>
          </w:p>
        </w:tc>
        <w:tc>
          <w:tcPr>
            <w:tcW w:w="1720" w:type="dxa"/>
            <w:tcBorders>
              <w:top w:val="nil"/>
              <w:left w:val="nil"/>
              <w:bottom w:val="single" w:sz="4" w:space="0" w:color="auto"/>
              <w:right w:val="single" w:sz="4" w:space="0" w:color="auto"/>
            </w:tcBorders>
            <w:shd w:val="clear" w:color="auto" w:fill="auto"/>
            <w:noWrap/>
            <w:vAlign w:val="center"/>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26.3</w:t>
            </w:r>
          </w:p>
        </w:tc>
        <w:tc>
          <w:tcPr>
            <w:tcW w:w="180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0.2</w:t>
            </w:r>
          </w:p>
        </w:tc>
      </w:tr>
      <w:tr w:rsidR="00994860" w:rsidRPr="00CD3559" w:rsidTr="00660BC8">
        <w:trPr>
          <w:trHeight w:val="315"/>
        </w:trPr>
        <w:tc>
          <w:tcPr>
            <w:tcW w:w="8060"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994860" w:rsidRPr="00CD3559" w:rsidRDefault="00994860" w:rsidP="00660BC8">
            <w:pPr>
              <w:rPr>
                <w:rFonts w:ascii="Palatino Linotype" w:eastAsia="Times New Roman" w:hAnsi="Palatino Linotype"/>
                <w:b/>
                <w:bCs/>
                <w:color w:val="002060"/>
                <w:sz w:val="20"/>
                <w:szCs w:val="20"/>
                <w:lang w:val="en-US" w:bidi="hi-IN"/>
              </w:rPr>
            </w:pPr>
            <w:r w:rsidRPr="00CD3559">
              <w:rPr>
                <w:rFonts w:ascii="Palatino Linotype" w:eastAsia="Times New Roman" w:hAnsi="Palatino Linotype"/>
                <w:b/>
                <w:bCs/>
                <w:color w:val="002060"/>
                <w:sz w:val="20"/>
                <w:szCs w:val="20"/>
                <w:lang w:val="en-US" w:bidi="hi-IN"/>
              </w:rPr>
              <w:t>No of Listed Companies</w:t>
            </w:r>
          </w:p>
        </w:tc>
      </w:tr>
      <w:tr w:rsidR="00994860" w:rsidRPr="00CD3559" w:rsidTr="00660BC8">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CD3559" w:rsidRDefault="00994860" w:rsidP="00660BC8">
            <w:pPr>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 xml:space="preserve">BSE </w:t>
            </w:r>
          </w:p>
        </w:tc>
        <w:tc>
          <w:tcPr>
            <w:tcW w:w="192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5,244</w:t>
            </w:r>
          </w:p>
        </w:tc>
        <w:tc>
          <w:tcPr>
            <w:tcW w:w="172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5,251</w:t>
            </w:r>
          </w:p>
        </w:tc>
        <w:tc>
          <w:tcPr>
            <w:tcW w:w="180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0.1</w:t>
            </w:r>
          </w:p>
        </w:tc>
      </w:tr>
      <w:tr w:rsidR="00994860" w:rsidRPr="00CD3559" w:rsidTr="00660BC8">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CD3559" w:rsidRDefault="00994860" w:rsidP="00660BC8">
            <w:pPr>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NSE</w:t>
            </w:r>
          </w:p>
        </w:tc>
        <w:tc>
          <w:tcPr>
            <w:tcW w:w="192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1,926</w:t>
            </w:r>
          </w:p>
        </w:tc>
        <w:tc>
          <w:tcPr>
            <w:tcW w:w="172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1,929</w:t>
            </w:r>
          </w:p>
        </w:tc>
        <w:tc>
          <w:tcPr>
            <w:tcW w:w="180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0.2</w:t>
            </w:r>
          </w:p>
        </w:tc>
      </w:tr>
      <w:tr w:rsidR="00994860" w:rsidRPr="00CD3559" w:rsidTr="00660BC8">
        <w:trPr>
          <w:trHeight w:val="315"/>
        </w:trPr>
        <w:tc>
          <w:tcPr>
            <w:tcW w:w="8060"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994860" w:rsidRPr="00CD3559" w:rsidRDefault="00994860" w:rsidP="00660BC8">
            <w:pPr>
              <w:rPr>
                <w:rFonts w:ascii="Palatino Linotype" w:eastAsia="Times New Roman" w:hAnsi="Palatino Linotype"/>
                <w:b/>
                <w:bCs/>
                <w:color w:val="002060"/>
                <w:sz w:val="20"/>
                <w:szCs w:val="20"/>
                <w:lang w:val="en-US" w:bidi="hi-IN"/>
              </w:rPr>
            </w:pPr>
            <w:r w:rsidRPr="00CD3559">
              <w:rPr>
                <w:rFonts w:ascii="Palatino Linotype" w:eastAsia="Times New Roman" w:hAnsi="Palatino Linotype"/>
                <w:b/>
                <w:bCs/>
                <w:color w:val="002060"/>
                <w:sz w:val="20"/>
                <w:szCs w:val="20"/>
                <w:lang w:val="en-US" w:bidi="hi-IN"/>
              </w:rPr>
              <w:t>Gross Turnover in Equity Segment (</w:t>
            </w:r>
            <w:r w:rsidRPr="00CD3559">
              <w:rPr>
                <w:rFonts w:ascii="Rupee Foradian" w:eastAsia="Times New Roman" w:hAnsi="Rupee Foradian"/>
                <w:b/>
                <w:bCs/>
                <w:color w:val="002060"/>
                <w:sz w:val="20"/>
                <w:szCs w:val="20"/>
                <w:lang w:val="en-US" w:bidi="hi-IN"/>
              </w:rPr>
              <w:t>`</w:t>
            </w:r>
            <w:r w:rsidRPr="00CD3559">
              <w:rPr>
                <w:rFonts w:ascii="Palatino Linotype" w:eastAsia="Times New Roman" w:hAnsi="Palatino Linotype"/>
                <w:b/>
                <w:bCs/>
                <w:color w:val="002060"/>
                <w:sz w:val="20"/>
                <w:szCs w:val="20"/>
                <w:lang w:val="en-US" w:bidi="hi-IN"/>
              </w:rPr>
              <w:t xml:space="preserve"> crore)</w:t>
            </w:r>
          </w:p>
        </w:tc>
      </w:tr>
      <w:tr w:rsidR="00994860" w:rsidRPr="00CD3559" w:rsidTr="00660BC8">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CD3559" w:rsidRDefault="00994860" w:rsidP="00660BC8">
            <w:pPr>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 xml:space="preserve">BSE </w:t>
            </w:r>
          </w:p>
        </w:tc>
        <w:tc>
          <w:tcPr>
            <w:tcW w:w="1920" w:type="dxa"/>
            <w:tcBorders>
              <w:top w:val="nil"/>
              <w:left w:val="nil"/>
              <w:bottom w:val="single" w:sz="4" w:space="0" w:color="auto"/>
              <w:right w:val="single" w:sz="4" w:space="0" w:color="auto"/>
            </w:tcBorders>
            <w:shd w:val="clear" w:color="auto" w:fill="auto"/>
            <w:noWrap/>
            <w:vAlign w:val="center"/>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61,332</w:t>
            </w:r>
          </w:p>
        </w:tc>
        <w:tc>
          <w:tcPr>
            <w:tcW w:w="1720" w:type="dxa"/>
            <w:tcBorders>
              <w:top w:val="nil"/>
              <w:left w:val="nil"/>
              <w:bottom w:val="single" w:sz="4" w:space="0" w:color="auto"/>
              <w:right w:val="single" w:sz="4" w:space="0" w:color="auto"/>
            </w:tcBorders>
            <w:shd w:val="clear" w:color="auto" w:fill="auto"/>
            <w:noWrap/>
            <w:vAlign w:val="center"/>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50,656</w:t>
            </w:r>
          </w:p>
        </w:tc>
        <w:tc>
          <w:tcPr>
            <w:tcW w:w="180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-17.4</w:t>
            </w:r>
          </w:p>
        </w:tc>
      </w:tr>
      <w:tr w:rsidR="00994860" w:rsidRPr="00CD3559" w:rsidTr="00660BC8">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CD3559" w:rsidRDefault="00994860" w:rsidP="00660BC8">
            <w:pPr>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NSE</w:t>
            </w:r>
          </w:p>
        </w:tc>
        <w:tc>
          <w:tcPr>
            <w:tcW w:w="1920" w:type="dxa"/>
            <w:tcBorders>
              <w:top w:val="nil"/>
              <w:left w:val="nil"/>
              <w:bottom w:val="single" w:sz="4" w:space="0" w:color="auto"/>
              <w:right w:val="single" w:sz="4" w:space="0" w:color="auto"/>
            </w:tcBorders>
            <w:shd w:val="clear" w:color="auto" w:fill="auto"/>
            <w:noWrap/>
            <w:vAlign w:val="center"/>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6,65,889</w:t>
            </w:r>
          </w:p>
        </w:tc>
        <w:tc>
          <w:tcPr>
            <w:tcW w:w="1720" w:type="dxa"/>
            <w:tcBorders>
              <w:top w:val="nil"/>
              <w:left w:val="nil"/>
              <w:bottom w:val="single" w:sz="4" w:space="0" w:color="auto"/>
              <w:right w:val="single" w:sz="4" w:space="0" w:color="auto"/>
            </w:tcBorders>
            <w:shd w:val="clear" w:color="auto" w:fill="auto"/>
            <w:noWrap/>
            <w:vAlign w:val="center"/>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6,39,270</w:t>
            </w:r>
          </w:p>
        </w:tc>
        <w:tc>
          <w:tcPr>
            <w:tcW w:w="180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-4.0</w:t>
            </w:r>
          </w:p>
        </w:tc>
      </w:tr>
      <w:tr w:rsidR="00994860" w:rsidRPr="00CD3559" w:rsidTr="00660BC8">
        <w:trPr>
          <w:trHeight w:val="405"/>
        </w:trPr>
        <w:tc>
          <w:tcPr>
            <w:tcW w:w="8060"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994860" w:rsidRPr="00CD3559" w:rsidRDefault="00994860" w:rsidP="00660BC8">
            <w:pPr>
              <w:rPr>
                <w:rFonts w:ascii="Palatino Linotype" w:eastAsia="Times New Roman" w:hAnsi="Palatino Linotype"/>
                <w:b/>
                <w:bCs/>
                <w:color w:val="002060"/>
                <w:sz w:val="20"/>
                <w:szCs w:val="20"/>
                <w:lang w:val="en-US" w:bidi="hi-IN"/>
              </w:rPr>
            </w:pPr>
            <w:r w:rsidRPr="00CD3559">
              <w:rPr>
                <w:rFonts w:ascii="Palatino Linotype" w:eastAsia="Times New Roman" w:hAnsi="Palatino Linotype"/>
                <w:b/>
                <w:bCs/>
                <w:color w:val="002060"/>
                <w:sz w:val="20"/>
                <w:szCs w:val="20"/>
                <w:lang w:val="en-US" w:bidi="hi-IN"/>
              </w:rPr>
              <w:t>Gross Turnover in Equity Derivatives Segment (</w:t>
            </w:r>
            <w:r w:rsidRPr="00CD3559">
              <w:rPr>
                <w:rFonts w:ascii="Rupee Foradian" w:eastAsia="Times New Roman" w:hAnsi="Rupee Foradian"/>
                <w:b/>
                <w:bCs/>
                <w:color w:val="002060"/>
                <w:sz w:val="20"/>
                <w:szCs w:val="20"/>
                <w:lang w:val="en-US" w:bidi="hi-IN"/>
              </w:rPr>
              <w:t>`</w:t>
            </w:r>
            <w:r w:rsidRPr="00CD3559">
              <w:rPr>
                <w:rFonts w:ascii="Raavi" w:eastAsia="Times New Roman" w:hAnsi="Raavi" w:cs="Raavi"/>
                <w:b/>
                <w:bCs/>
                <w:color w:val="002060"/>
                <w:sz w:val="20"/>
                <w:szCs w:val="20"/>
                <w:lang w:val="en-US" w:bidi="hi-IN"/>
              </w:rPr>
              <w:t xml:space="preserve"> </w:t>
            </w:r>
            <w:r w:rsidRPr="00CD3559">
              <w:rPr>
                <w:rFonts w:ascii="Palatino Linotype" w:eastAsia="Times New Roman" w:hAnsi="Palatino Linotype"/>
                <w:b/>
                <w:bCs/>
                <w:color w:val="002060"/>
                <w:sz w:val="20"/>
                <w:szCs w:val="20"/>
                <w:lang w:val="en-US" w:bidi="hi-IN"/>
              </w:rPr>
              <w:t>crore)</w:t>
            </w:r>
          </w:p>
        </w:tc>
      </w:tr>
      <w:tr w:rsidR="00994860" w:rsidRPr="00CD3559" w:rsidTr="00660BC8">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CD3559" w:rsidRDefault="00994860" w:rsidP="00660BC8">
            <w:pPr>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 xml:space="preserve">BSE </w:t>
            </w:r>
          </w:p>
        </w:tc>
        <w:tc>
          <w:tcPr>
            <w:tcW w:w="1920" w:type="dxa"/>
            <w:tcBorders>
              <w:top w:val="nil"/>
              <w:left w:val="nil"/>
              <w:bottom w:val="single" w:sz="4" w:space="0" w:color="auto"/>
              <w:right w:val="single" w:sz="4" w:space="0" w:color="auto"/>
            </w:tcBorders>
            <w:shd w:val="clear" w:color="auto" w:fill="auto"/>
            <w:noWrap/>
            <w:vAlign w:val="center"/>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0.47</w:t>
            </w:r>
          </w:p>
        </w:tc>
        <w:tc>
          <w:tcPr>
            <w:tcW w:w="1720" w:type="dxa"/>
            <w:tcBorders>
              <w:top w:val="nil"/>
              <w:left w:val="nil"/>
              <w:bottom w:val="single" w:sz="4" w:space="0" w:color="auto"/>
              <w:right w:val="single" w:sz="4" w:space="0" w:color="auto"/>
            </w:tcBorders>
            <w:shd w:val="clear" w:color="auto" w:fill="auto"/>
            <w:noWrap/>
            <w:vAlign w:val="center"/>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0.78</w:t>
            </w:r>
          </w:p>
        </w:tc>
        <w:tc>
          <w:tcPr>
            <w:tcW w:w="180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66.1</w:t>
            </w:r>
          </w:p>
        </w:tc>
      </w:tr>
      <w:tr w:rsidR="00994860" w:rsidRPr="00CD3559" w:rsidTr="00660BC8">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CD3559" w:rsidRDefault="00994860" w:rsidP="00660BC8">
            <w:pPr>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NSE</w:t>
            </w:r>
          </w:p>
        </w:tc>
        <w:tc>
          <w:tcPr>
            <w:tcW w:w="1920" w:type="dxa"/>
            <w:tcBorders>
              <w:top w:val="nil"/>
              <w:left w:val="nil"/>
              <w:bottom w:val="single" w:sz="4" w:space="0" w:color="auto"/>
              <w:right w:val="single" w:sz="4" w:space="0" w:color="auto"/>
            </w:tcBorders>
            <w:shd w:val="clear" w:color="auto" w:fill="auto"/>
            <w:noWrap/>
            <w:vAlign w:val="center"/>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2,20,84,835</w:t>
            </w:r>
          </w:p>
        </w:tc>
        <w:tc>
          <w:tcPr>
            <w:tcW w:w="1720" w:type="dxa"/>
            <w:tcBorders>
              <w:top w:val="nil"/>
              <w:left w:val="nil"/>
              <w:bottom w:val="single" w:sz="4" w:space="0" w:color="auto"/>
              <w:right w:val="single" w:sz="4" w:space="0" w:color="auto"/>
            </w:tcBorders>
            <w:shd w:val="clear" w:color="auto" w:fill="auto"/>
            <w:noWrap/>
            <w:vAlign w:val="center"/>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1,89,56,225</w:t>
            </w:r>
          </w:p>
        </w:tc>
        <w:tc>
          <w:tcPr>
            <w:tcW w:w="180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-14.2</w:t>
            </w:r>
          </w:p>
        </w:tc>
      </w:tr>
      <w:tr w:rsidR="00994860" w:rsidRPr="00CD3559" w:rsidTr="00660BC8">
        <w:trPr>
          <w:trHeight w:val="315"/>
        </w:trPr>
        <w:tc>
          <w:tcPr>
            <w:tcW w:w="8060"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994860" w:rsidRPr="00CD3559" w:rsidRDefault="00994860" w:rsidP="00660BC8">
            <w:pPr>
              <w:rPr>
                <w:rFonts w:ascii="Palatino Linotype" w:eastAsia="Times New Roman" w:hAnsi="Palatino Linotype"/>
                <w:b/>
                <w:bCs/>
                <w:color w:val="002060"/>
                <w:sz w:val="20"/>
                <w:szCs w:val="20"/>
                <w:lang w:val="en-US" w:bidi="hi-IN"/>
              </w:rPr>
            </w:pPr>
            <w:r w:rsidRPr="00CD3559">
              <w:rPr>
                <w:rFonts w:ascii="Palatino Linotype" w:eastAsia="Times New Roman" w:hAnsi="Palatino Linotype"/>
                <w:b/>
                <w:bCs/>
                <w:color w:val="002060"/>
                <w:sz w:val="20"/>
                <w:szCs w:val="20"/>
                <w:lang w:val="en-US" w:bidi="hi-IN"/>
              </w:rPr>
              <w:t>Gross Turnover in Currency Derivatives Segment (</w:t>
            </w:r>
            <w:r w:rsidRPr="00CD3559">
              <w:rPr>
                <w:rFonts w:ascii="Rupee Foradian" w:eastAsia="Times New Roman" w:hAnsi="Rupee Foradian"/>
                <w:b/>
                <w:bCs/>
                <w:color w:val="002060"/>
                <w:sz w:val="20"/>
                <w:szCs w:val="20"/>
                <w:lang w:val="en-US" w:bidi="hi-IN"/>
              </w:rPr>
              <w:t>`</w:t>
            </w:r>
            <w:r w:rsidRPr="00CD3559">
              <w:rPr>
                <w:rFonts w:ascii="Palatino Linotype" w:eastAsia="Times New Roman" w:hAnsi="Palatino Linotype"/>
                <w:b/>
                <w:bCs/>
                <w:color w:val="002060"/>
                <w:sz w:val="20"/>
                <w:szCs w:val="20"/>
                <w:lang w:val="en-US" w:bidi="hi-IN"/>
              </w:rPr>
              <w:t xml:space="preserve"> crore)</w:t>
            </w:r>
          </w:p>
        </w:tc>
      </w:tr>
      <w:tr w:rsidR="00994860" w:rsidRPr="00CD3559" w:rsidTr="00660BC8">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CD3559" w:rsidRDefault="00994860" w:rsidP="00660BC8">
            <w:pPr>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 xml:space="preserve">BSE </w:t>
            </w:r>
          </w:p>
        </w:tc>
        <w:tc>
          <w:tcPr>
            <w:tcW w:w="1920" w:type="dxa"/>
            <w:tcBorders>
              <w:top w:val="nil"/>
              <w:left w:val="nil"/>
              <w:bottom w:val="single" w:sz="4" w:space="0" w:color="auto"/>
              <w:right w:val="single" w:sz="4" w:space="0" w:color="auto"/>
            </w:tcBorders>
            <w:shd w:val="clear" w:color="auto" w:fill="auto"/>
            <w:noWrap/>
            <w:vAlign w:val="center"/>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5,68,203</w:t>
            </w:r>
          </w:p>
        </w:tc>
        <w:tc>
          <w:tcPr>
            <w:tcW w:w="1720" w:type="dxa"/>
            <w:tcBorders>
              <w:top w:val="nil"/>
              <w:left w:val="nil"/>
              <w:bottom w:val="single" w:sz="4" w:space="0" w:color="auto"/>
              <w:right w:val="single" w:sz="4" w:space="0" w:color="auto"/>
            </w:tcBorders>
            <w:shd w:val="clear" w:color="auto" w:fill="auto"/>
            <w:noWrap/>
            <w:vAlign w:val="center"/>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5,10,835</w:t>
            </w:r>
          </w:p>
        </w:tc>
        <w:tc>
          <w:tcPr>
            <w:tcW w:w="180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-10.1</w:t>
            </w:r>
          </w:p>
        </w:tc>
      </w:tr>
      <w:tr w:rsidR="00994860" w:rsidRPr="00CD3559" w:rsidTr="00660BC8">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CD3559" w:rsidRDefault="00994860" w:rsidP="00660BC8">
            <w:pPr>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NSE</w:t>
            </w:r>
          </w:p>
        </w:tc>
        <w:tc>
          <w:tcPr>
            <w:tcW w:w="1920" w:type="dxa"/>
            <w:tcBorders>
              <w:top w:val="nil"/>
              <w:left w:val="nil"/>
              <w:bottom w:val="single" w:sz="4" w:space="0" w:color="auto"/>
              <w:right w:val="single" w:sz="4" w:space="0" w:color="auto"/>
            </w:tcBorders>
            <w:shd w:val="clear" w:color="auto" w:fill="auto"/>
            <w:noWrap/>
            <w:vAlign w:val="center"/>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7,49,483</w:t>
            </w:r>
          </w:p>
        </w:tc>
        <w:tc>
          <w:tcPr>
            <w:tcW w:w="1720" w:type="dxa"/>
            <w:tcBorders>
              <w:top w:val="nil"/>
              <w:left w:val="nil"/>
              <w:bottom w:val="single" w:sz="4" w:space="0" w:color="auto"/>
              <w:right w:val="single" w:sz="4" w:space="0" w:color="auto"/>
            </w:tcBorders>
            <w:shd w:val="clear" w:color="auto" w:fill="auto"/>
            <w:noWrap/>
            <w:vAlign w:val="center"/>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6,80,354</w:t>
            </w:r>
          </w:p>
        </w:tc>
        <w:tc>
          <w:tcPr>
            <w:tcW w:w="180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-9.2</w:t>
            </w:r>
          </w:p>
        </w:tc>
      </w:tr>
      <w:tr w:rsidR="00994860" w:rsidRPr="00CD3559" w:rsidTr="00660BC8">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CD3559" w:rsidRDefault="00994860" w:rsidP="00660BC8">
            <w:pPr>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MSEI</w:t>
            </w:r>
          </w:p>
        </w:tc>
        <w:tc>
          <w:tcPr>
            <w:tcW w:w="1920" w:type="dxa"/>
            <w:tcBorders>
              <w:top w:val="nil"/>
              <w:left w:val="nil"/>
              <w:bottom w:val="single" w:sz="4" w:space="0" w:color="auto"/>
              <w:right w:val="single" w:sz="4" w:space="0" w:color="auto"/>
            </w:tcBorders>
            <w:shd w:val="clear" w:color="auto" w:fill="auto"/>
            <w:noWrap/>
            <w:vAlign w:val="center"/>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1,557</w:t>
            </w:r>
          </w:p>
        </w:tc>
        <w:tc>
          <w:tcPr>
            <w:tcW w:w="1720" w:type="dxa"/>
            <w:tcBorders>
              <w:top w:val="nil"/>
              <w:left w:val="nil"/>
              <w:bottom w:val="single" w:sz="4" w:space="0" w:color="auto"/>
              <w:right w:val="single" w:sz="4" w:space="0" w:color="auto"/>
            </w:tcBorders>
            <w:shd w:val="clear" w:color="auto" w:fill="auto"/>
            <w:noWrap/>
            <w:vAlign w:val="center"/>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1,521</w:t>
            </w:r>
          </w:p>
        </w:tc>
        <w:tc>
          <w:tcPr>
            <w:tcW w:w="180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-2.3</w:t>
            </w:r>
          </w:p>
        </w:tc>
      </w:tr>
      <w:tr w:rsidR="00994860" w:rsidRPr="00CD3559" w:rsidTr="00660BC8">
        <w:trPr>
          <w:trHeight w:val="315"/>
        </w:trPr>
        <w:tc>
          <w:tcPr>
            <w:tcW w:w="8060"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994860" w:rsidRPr="00CD3559" w:rsidRDefault="00994860" w:rsidP="00660BC8">
            <w:pPr>
              <w:rPr>
                <w:rFonts w:ascii="Palatino Linotype" w:eastAsia="Times New Roman" w:hAnsi="Palatino Linotype"/>
                <w:b/>
                <w:bCs/>
                <w:color w:val="002060"/>
                <w:sz w:val="20"/>
                <w:szCs w:val="20"/>
                <w:lang w:val="en-US" w:bidi="hi-IN"/>
              </w:rPr>
            </w:pPr>
            <w:r w:rsidRPr="00CD3559">
              <w:rPr>
                <w:rFonts w:ascii="Palatino Linotype" w:eastAsia="Times New Roman" w:hAnsi="Palatino Linotype"/>
                <w:b/>
                <w:bCs/>
                <w:color w:val="002060"/>
                <w:sz w:val="20"/>
                <w:szCs w:val="20"/>
                <w:lang w:val="en-US" w:bidi="hi-IN"/>
              </w:rPr>
              <w:t>Gross Turnover in Interest Rate Derivatives Segment (</w:t>
            </w:r>
            <w:r w:rsidRPr="00CD3559">
              <w:rPr>
                <w:rFonts w:ascii="Rupee Foradian" w:eastAsia="Times New Roman" w:hAnsi="Rupee Foradian"/>
                <w:b/>
                <w:bCs/>
                <w:color w:val="002060"/>
                <w:sz w:val="20"/>
                <w:szCs w:val="20"/>
                <w:lang w:val="en-US" w:bidi="hi-IN"/>
              </w:rPr>
              <w:t>`</w:t>
            </w:r>
            <w:r w:rsidRPr="00CD3559">
              <w:rPr>
                <w:rFonts w:ascii="Palatino Linotype" w:eastAsia="Times New Roman" w:hAnsi="Palatino Linotype"/>
                <w:b/>
                <w:bCs/>
                <w:color w:val="002060"/>
                <w:sz w:val="20"/>
                <w:szCs w:val="20"/>
                <w:lang w:val="en-US" w:bidi="hi-IN"/>
              </w:rPr>
              <w:t xml:space="preserve"> crore)</w:t>
            </w:r>
          </w:p>
        </w:tc>
      </w:tr>
      <w:tr w:rsidR="00994860" w:rsidRPr="00CD3559" w:rsidTr="00660BC8">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CD3559" w:rsidRDefault="00994860" w:rsidP="00660BC8">
            <w:pPr>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 xml:space="preserve">BSE </w:t>
            </w:r>
          </w:p>
        </w:tc>
        <w:tc>
          <w:tcPr>
            <w:tcW w:w="1920" w:type="dxa"/>
            <w:tcBorders>
              <w:top w:val="nil"/>
              <w:left w:val="nil"/>
              <w:bottom w:val="single" w:sz="4" w:space="0" w:color="auto"/>
              <w:right w:val="single" w:sz="4" w:space="0" w:color="auto"/>
            </w:tcBorders>
            <w:shd w:val="clear" w:color="auto" w:fill="auto"/>
            <w:noWrap/>
            <w:vAlign w:val="center"/>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9,129</w:t>
            </w:r>
          </w:p>
        </w:tc>
        <w:tc>
          <w:tcPr>
            <w:tcW w:w="1720" w:type="dxa"/>
            <w:tcBorders>
              <w:top w:val="nil"/>
              <w:left w:val="nil"/>
              <w:bottom w:val="single" w:sz="4" w:space="0" w:color="auto"/>
              <w:right w:val="single" w:sz="4" w:space="0" w:color="auto"/>
            </w:tcBorders>
            <w:shd w:val="clear" w:color="auto" w:fill="auto"/>
            <w:noWrap/>
            <w:vAlign w:val="center"/>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15,330</w:t>
            </w:r>
          </w:p>
        </w:tc>
        <w:tc>
          <w:tcPr>
            <w:tcW w:w="180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67.9</w:t>
            </w:r>
          </w:p>
        </w:tc>
      </w:tr>
      <w:tr w:rsidR="00994860" w:rsidRPr="00CD3559" w:rsidTr="00660BC8">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94860" w:rsidRPr="00CD3559" w:rsidRDefault="00994860" w:rsidP="00660BC8">
            <w:pPr>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NSE</w:t>
            </w:r>
          </w:p>
        </w:tc>
        <w:tc>
          <w:tcPr>
            <w:tcW w:w="1920" w:type="dxa"/>
            <w:tcBorders>
              <w:top w:val="nil"/>
              <w:left w:val="nil"/>
              <w:bottom w:val="single" w:sz="4" w:space="0" w:color="auto"/>
              <w:right w:val="single" w:sz="4" w:space="0" w:color="auto"/>
            </w:tcBorders>
            <w:shd w:val="clear" w:color="auto" w:fill="auto"/>
            <w:noWrap/>
            <w:vAlign w:val="center"/>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28,147</w:t>
            </w:r>
          </w:p>
        </w:tc>
        <w:tc>
          <w:tcPr>
            <w:tcW w:w="1720" w:type="dxa"/>
            <w:tcBorders>
              <w:top w:val="nil"/>
              <w:left w:val="nil"/>
              <w:bottom w:val="single" w:sz="4" w:space="0" w:color="auto"/>
              <w:right w:val="single" w:sz="4" w:space="0" w:color="auto"/>
            </w:tcBorders>
            <w:shd w:val="clear" w:color="auto" w:fill="auto"/>
            <w:noWrap/>
            <w:vAlign w:val="center"/>
            <w:hideMark/>
          </w:tcPr>
          <w:p w:rsidR="00994860" w:rsidRPr="00CD3559" w:rsidRDefault="00994860" w:rsidP="00660BC8">
            <w:pPr>
              <w:jc w:val="right"/>
              <w:rPr>
                <w:rFonts w:ascii="Palatino Linotype" w:eastAsia="Times New Roman" w:hAnsi="Palatino Linotype"/>
                <w:sz w:val="20"/>
                <w:szCs w:val="20"/>
                <w:lang w:val="en-US" w:bidi="hi-IN"/>
              </w:rPr>
            </w:pPr>
            <w:r w:rsidRPr="00CD3559">
              <w:rPr>
                <w:rFonts w:ascii="Palatino Linotype" w:eastAsia="Times New Roman" w:hAnsi="Palatino Linotype"/>
                <w:sz w:val="20"/>
                <w:szCs w:val="20"/>
                <w:lang w:val="en-US" w:bidi="hi-IN"/>
              </w:rPr>
              <w:t>23,339</w:t>
            </w:r>
          </w:p>
        </w:tc>
        <w:tc>
          <w:tcPr>
            <w:tcW w:w="1800" w:type="dxa"/>
            <w:tcBorders>
              <w:top w:val="nil"/>
              <w:left w:val="nil"/>
              <w:bottom w:val="single" w:sz="4" w:space="0" w:color="auto"/>
              <w:right w:val="single" w:sz="4" w:space="0" w:color="auto"/>
            </w:tcBorders>
            <w:shd w:val="clear" w:color="auto" w:fill="auto"/>
            <w:noWrap/>
            <w:vAlign w:val="bottom"/>
            <w:hideMark/>
          </w:tcPr>
          <w:p w:rsidR="00994860" w:rsidRPr="00CD3559" w:rsidRDefault="00994860" w:rsidP="00660BC8">
            <w:pPr>
              <w:jc w:val="right"/>
              <w:rPr>
                <w:rFonts w:ascii="Palatino Linotype" w:eastAsia="Times New Roman" w:hAnsi="Palatino Linotype"/>
                <w:color w:val="000000"/>
                <w:sz w:val="20"/>
                <w:szCs w:val="20"/>
                <w:lang w:val="en-US" w:bidi="hi-IN"/>
              </w:rPr>
            </w:pPr>
            <w:r w:rsidRPr="00CD3559">
              <w:rPr>
                <w:rFonts w:ascii="Palatino Linotype" w:eastAsia="Times New Roman" w:hAnsi="Palatino Linotype"/>
                <w:color w:val="000000"/>
                <w:sz w:val="20"/>
                <w:szCs w:val="20"/>
                <w:lang w:val="en-US" w:bidi="hi-IN"/>
              </w:rPr>
              <w:t>-17.1</w:t>
            </w:r>
          </w:p>
        </w:tc>
      </w:tr>
    </w:tbl>
    <w:p w:rsidR="00994860" w:rsidRPr="00220C24" w:rsidRDefault="00994860" w:rsidP="00994860">
      <w:pPr>
        <w:jc w:val="both"/>
        <w:rPr>
          <w:rFonts w:ascii="Palatino Linotype" w:eastAsia="Times New Roman" w:hAnsi="Palatino Linotype"/>
          <w:b/>
          <w:sz w:val="16"/>
          <w:szCs w:val="18"/>
        </w:rPr>
      </w:pPr>
      <w:r w:rsidRPr="00220C24">
        <w:rPr>
          <w:rFonts w:ascii="Palatino Linotype" w:eastAsia="Times New Roman" w:hAnsi="Palatino Linotype"/>
          <w:b/>
          <w:sz w:val="16"/>
          <w:szCs w:val="18"/>
        </w:rPr>
        <w:t xml:space="preserve"> Source: NSE, BSE and MSEI</w:t>
      </w:r>
    </w:p>
    <w:p w:rsidR="00994860" w:rsidRPr="00C256D7" w:rsidRDefault="00994860" w:rsidP="00994860">
      <w:pPr>
        <w:jc w:val="both"/>
        <w:rPr>
          <w:rFonts w:ascii="Palatino Linotype" w:eastAsia="Times New Roman" w:hAnsi="Palatino Linotype"/>
          <w:b/>
          <w:sz w:val="18"/>
          <w:szCs w:val="18"/>
          <w:highlight w:val="yellow"/>
        </w:rPr>
      </w:pPr>
    </w:p>
    <w:p w:rsidR="00994860" w:rsidRPr="00C256D7" w:rsidRDefault="00994860" w:rsidP="00994860">
      <w:pPr>
        <w:jc w:val="both"/>
        <w:rPr>
          <w:rFonts w:ascii="Palatino Linotype" w:eastAsia="Times New Roman" w:hAnsi="Palatino Linotype"/>
          <w:sz w:val="22"/>
          <w:szCs w:val="22"/>
          <w:highlight w:val="yellow"/>
        </w:rPr>
      </w:pPr>
    </w:p>
    <w:p w:rsidR="00994860" w:rsidRPr="009B6103" w:rsidRDefault="00994860" w:rsidP="00994860">
      <w:pPr>
        <w:jc w:val="both"/>
        <w:rPr>
          <w:rFonts w:ascii="Palatino Linotype" w:eastAsia="Times New Roman" w:hAnsi="Palatino Linotype"/>
          <w:sz w:val="22"/>
          <w:szCs w:val="22"/>
        </w:rPr>
      </w:pPr>
      <w:r w:rsidRPr="009B6103">
        <w:rPr>
          <w:rFonts w:ascii="Palatino Linotype" w:eastAsia="Times New Roman" w:hAnsi="Palatino Linotype"/>
          <w:sz w:val="22"/>
          <w:szCs w:val="22"/>
        </w:rPr>
        <w:t xml:space="preserve">At the end of February 2019, S&amp;P BSE Sensex closed at </w:t>
      </w:r>
      <w:r>
        <w:rPr>
          <w:rFonts w:ascii="Palatino Linotype" w:eastAsia="Times New Roman" w:hAnsi="Palatino Linotype"/>
          <w:sz w:val="22"/>
          <w:szCs w:val="22"/>
        </w:rPr>
        <w:t xml:space="preserve">35867 witnessing a decrease of </w:t>
      </w:r>
      <w:r w:rsidRPr="009B6103">
        <w:rPr>
          <w:rFonts w:ascii="Palatino Linotype" w:eastAsia="Times New Roman" w:hAnsi="Palatino Linotype"/>
          <w:sz w:val="22"/>
          <w:szCs w:val="22"/>
        </w:rPr>
        <w:t xml:space="preserve">1.1 per cent from the previous months closing at 36257. The Nifty 50 closed at </w:t>
      </w:r>
      <w:r w:rsidRPr="009B6103">
        <w:rPr>
          <w:rFonts w:ascii="Palatino Linotype" w:eastAsia="Times New Roman" w:hAnsi="Palatino Linotype" w:cs="Calibri"/>
          <w:color w:val="000000"/>
          <w:sz w:val="22"/>
          <w:szCs w:val="22"/>
          <w:lang w:val="en-US"/>
        </w:rPr>
        <w:t>10793</w:t>
      </w:r>
      <w:r w:rsidRPr="009B6103">
        <w:rPr>
          <w:rFonts w:ascii="Palatino Linotype" w:eastAsia="Times New Roman" w:hAnsi="Palatino Linotype"/>
          <w:sz w:val="22"/>
          <w:szCs w:val="22"/>
        </w:rPr>
        <w:t xml:space="preserve"> witnessing a decrease of 0.4 per cent compared to previous month’s closing at </w:t>
      </w:r>
      <w:r w:rsidRPr="009B6103">
        <w:rPr>
          <w:rFonts w:ascii="Palatino Linotype" w:eastAsia="Times New Roman" w:hAnsi="Palatino Linotype" w:cs="Calibri"/>
          <w:color w:val="000000"/>
          <w:sz w:val="22"/>
          <w:szCs w:val="22"/>
          <w:lang w:val="en-US"/>
        </w:rPr>
        <w:t>10831.</w:t>
      </w:r>
    </w:p>
    <w:p w:rsidR="00994860" w:rsidRPr="00C256D7" w:rsidRDefault="00994860" w:rsidP="00994860">
      <w:pPr>
        <w:jc w:val="both"/>
        <w:rPr>
          <w:rFonts w:ascii="Palatino Linotype" w:eastAsia="Times New Roman" w:hAnsi="Palatino Linotype"/>
          <w:sz w:val="22"/>
          <w:szCs w:val="22"/>
          <w:highlight w:val="yellow"/>
        </w:rPr>
      </w:pPr>
    </w:p>
    <w:p w:rsidR="00994860" w:rsidRPr="00C256D7" w:rsidRDefault="00994860" w:rsidP="00994860">
      <w:pPr>
        <w:jc w:val="both"/>
        <w:rPr>
          <w:rFonts w:ascii="Palatino Linotype" w:eastAsia="Times New Roman" w:hAnsi="Palatino Linotype"/>
          <w:sz w:val="22"/>
          <w:szCs w:val="22"/>
          <w:highlight w:val="yellow"/>
        </w:rPr>
      </w:pPr>
      <w:r w:rsidRPr="001E1254">
        <w:rPr>
          <w:rFonts w:ascii="Palatino Linotype" w:eastAsia="Times New Roman" w:hAnsi="Palatino Linotype"/>
          <w:sz w:val="22"/>
          <w:szCs w:val="22"/>
        </w:rPr>
        <w:t xml:space="preserve">During the month, S&amp;P </w:t>
      </w:r>
      <w:r w:rsidRPr="006D2165">
        <w:rPr>
          <w:rFonts w:ascii="Palatino Linotype" w:eastAsia="Times New Roman" w:hAnsi="Palatino Linotype"/>
          <w:sz w:val="22"/>
          <w:szCs w:val="22"/>
        </w:rPr>
        <w:t xml:space="preserve">BSE Sensex touched its intraday high with a closing value of </w:t>
      </w:r>
      <w:r w:rsidRPr="006D2165">
        <w:rPr>
          <w:rFonts w:ascii="Palatino Linotype" w:eastAsia="Times New Roman" w:hAnsi="Palatino Linotype" w:cs="Arial"/>
          <w:sz w:val="22"/>
          <w:szCs w:val="22"/>
          <w:lang w:val="en-US"/>
        </w:rPr>
        <w:t xml:space="preserve">36975 and </w:t>
      </w:r>
      <w:r w:rsidRPr="006D2165">
        <w:rPr>
          <w:rFonts w:ascii="Palatino Linotype" w:eastAsia="Times New Roman" w:hAnsi="Palatino Linotype"/>
          <w:sz w:val="22"/>
          <w:szCs w:val="22"/>
        </w:rPr>
        <w:t xml:space="preserve">intraday low of 35353 during February 2019. On the other hand, Nifty 50 touched its peak with a closing value of </w:t>
      </w:r>
      <w:r w:rsidRPr="006D2165">
        <w:rPr>
          <w:rFonts w:ascii="Palatino Linotype" w:eastAsia="Times New Roman" w:hAnsi="Palatino Linotype" w:cs="Arial"/>
          <w:sz w:val="22"/>
          <w:szCs w:val="22"/>
          <w:lang w:val="en-US"/>
        </w:rPr>
        <w:t xml:space="preserve">11069 and </w:t>
      </w:r>
      <w:r w:rsidRPr="006D2165">
        <w:rPr>
          <w:rFonts w:ascii="Palatino Linotype" w:eastAsia="Times New Roman" w:hAnsi="Palatino Linotype"/>
          <w:sz w:val="22"/>
          <w:szCs w:val="22"/>
        </w:rPr>
        <w:t xml:space="preserve">intraday lows of 10604 during the month under consideration. </w:t>
      </w:r>
    </w:p>
    <w:p w:rsidR="00994860" w:rsidRPr="00C256D7" w:rsidRDefault="00994860" w:rsidP="00994860">
      <w:pPr>
        <w:jc w:val="both"/>
        <w:rPr>
          <w:rFonts w:ascii="Palatino Linotype" w:eastAsia="Times New Roman" w:hAnsi="Palatino Linotype"/>
          <w:sz w:val="22"/>
          <w:szCs w:val="22"/>
          <w:highlight w:val="yellow"/>
        </w:rPr>
      </w:pPr>
    </w:p>
    <w:p w:rsidR="00994860" w:rsidRPr="008F21C1" w:rsidRDefault="00994860" w:rsidP="00994860">
      <w:pPr>
        <w:jc w:val="center"/>
        <w:outlineLvl w:val="0"/>
        <w:rPr>
          <w:rFonts w:ascii="Palatino Linotype" w:hAnsi="Palatino Linotype"/>
          <w:b/>
          <w:bCs/>
          <w:sz w:val="22"/>
          <w:szCs w:val="22"/>
        </w:rPr>
      </w:pPr>
      <w:r w:rsidRPr="008F21C1">
        <w:rPr>
          <w:rFonts w:ascii="Palatino Linotype" w:hAnsi="Palatino Linotype"/>
          <w:b/>
          <w:bCs/>
          <w:sz w:val="22"/>
          <w:szCs w:val="22"/>
        </w:rPr>
        <w:t xml:space="preserve">Figure </w:t>
      </w:r>
      <w:r w:rsidRPr="008F21C1">
        <w:rPr>
          <w:rFonts w:ascii="Palatino Linotype" w:hAnsi="Palatino Linotype"/>
          <w:b/>
          <w:bCs/>
          <w:sz w:val="22"/>
          <w:szCs w:val="22"/>
        </w:rPr>
        <w:fldChar w:fldCharType="begin"/>
      </w:r>
      <w:r w:rsidRPr="008F21C1">
        <w:rPr>
          <w:rFonts w:ascii="Palatino Linotype" w:hAnsi="Palatino Linotype"/>
          <w:b/>
          <w:bCs/>
          <w:sz w:val="22"/>
          <w:szCs w:val="22"/>
        </w:rPr>
        <w:instrText xml:space="preserve"> SEQ Figure \* ARABIC </w:instrText>
      </w:r>
      <w:r w:rsidRPr="008F21C1">
        <w:rPr>
          <w:rFonts w:ascii="Palatino Linotype" w:hAnsi="Palatino Linotype"/>
          <w:b/>
          <w:bCs/>
          <w:sz w:val="22"/>
          <w:szCs w:val="22"/>
        </w:rPr>
        <w:fldChar w:fldCharType="separate"/>
      </w:r>
      <w:r>
        <w:rPr>
          <w:rFonts w:ascii="Palatino Linotype" w:hAnsi="Palatino Linotype"/>
          <w:b/>
          <w:bCs/>
          <w:noProof/>
          <w:sz w:val="22"/>
          <w:szCs w:val="22"/>
        </w:rPr>
        <w:t>1</w:t>
      </w:r>
      <w:r w:rsidRPr="008F21C1">
        <w:rPr>
          <w:rFonts w:ascii="Palatino Linotype" w:hAnsi="Palatino Linotype"/>
          <w:b/>
          <w:bCs/>
          <w:sz w:val="22"/>
          <w:szCs w:val="22"/>
        </w:rPr>
        <w:fldChar w:fldCharType="end"/>
      </w:r>
      <w:r w:rsidRPr="008F21C1">
        <w:rPr>
          <w:rFonts w:ascii="Palatino Linotype" w:hAnsi="Palatino Linotype"/>
          <w:b/>
          <w:bCs/>
          <w:sz w:val="22"/>
          <w:szCs w:val="22"/>
        </w:rPr>
        <w:t>: Movement of Sensex and Nifty</w:t>
      </w:r>
    </w:p>
    <w:p w:rsidR="00994860" w:rsidRPr="00C256D7" w:rsidRDefault="00994860" w:rsidP="00994860">
      <w:pPr>
        <w:jc w:val="center"/>
        <w:outlineLvl w:val="0"/>
        <w:rPr>
          <w:rFonts w:ascii="Palatino Linotype" w:hAnsi="Palatino Linotype"/>
          <w:b/>
          <w:bCs/>
          <w:sz w:val="22"/>
          <w:szCs w:val="22"/>
          <w:highlight w:val="yellow"/>
        </w:rPr>
      </w:pPr>
    </w:p>
    <w:p w:rsidR="00994860" w:rsidRPr="00C256D7" w:rsidRDefault="00994860" w:rsidP="00994860">
      <w:pPr>
        <w:jc w:val="center"/>
        <w:outlineLvl w:val="0"/>
        <w:rPr>
          <w:rFonts w:ascii="Palatino Linotype" w:hAnsi="Palatino Linotype"/>
          <w:b/>
          <w:bCs/>
          <w:sz w:val="22"/>
          <w:szCs w:val="22"/>
          <w:highlight w:val="yellow"/>
        </w:rPr>
      </w:pPr>
      <w:r>
        <w:rPr>
          <w:noProof/>
          <w:lang w:val="en-IN" w:eastAsia="en-IN"/>
        </w:rPr>
        <w:drawing>
          <wp:inline distT="0" distB="0" distL="0" distR="0" wp14:anchorId="57DEFBA6" wp14:editId="2069052B">
            <wp:extent cx="5923280" cy="3342640"/>
            <wp:effectExtent l="0" t="0" r="1270" b="1016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994860" w:rsidRPr="00C256D7" w:rsidRDefault="00994860" w:rsidP="00994860">
      <w:pPr>
        <w:jc w:val="both"/>
        <w:rPr>
          <w:rFonts w:ascii="Palatino Linotype" w:eastAsia="Times New Roman" w:hAnsi="Palatino Linotype"/>
          <w:sz w:val="22"/>
          <w:szCs w:val="22"/>
          <w:highlight w:val="yellow"/>
        </w:rPr>
      </w:pPr>
    </w:p>
    <w:p w:rsidR="00994860" w:rsidRPr="0017198F" w:rsidRDefault="00994860" w:rsidP="00994860">
      <w:pPr>
        <w:jc w:val="both"/>
        <w:rPr>
          <w:rFonts w:ascii="Palatino Linotype" w:eastAsia="Times New Roman" w:hAnsi="Palatino Linotype" w:cs="Calibri"/>
          <w:sz w:val="22"/>
          <w:szCs w:val="22"/>
        </w:rPr>
      </w:pPr>
      <w:r w:rsidRPr="00E8490D">
        <w:rPr>
          <w:rFonts w:ascii="Palatino Linotype" w:eastAsia="Times New Roman" w:hAnsi="Palatino Linotype"/>
          <w:sz w:val="22"/>
          <w:szCs w:val="22"/>
        </w:rPr>
        <w:t xml:space="preserve">Market capitalisation of BSE decreased by 0.4 per cent to </w:t>
      </w:r>
      <w:r w:rsidRPr="00E8490D">
        <w:rPr>
          <w:rFonts w:ascii="Tahoma" w:eastAsia="Times New Roman" w:hAnsi="Tahoma" w:cs="Tahoma"/>
          <w:sz w:val="22"/>
          <w:szCs w:val="22"/>
        </w:rPr>
        <w:t>₹</w:t>
      </w:r>
      <w:r w:rsidRPr="00E8490D">
        <w:rPr>
          <w:rFonts w:ascii="Palatino Linotype" w:eastAsia="Times New Roman" w:hAnsi="Palatino Linotype"/>
          <w:bCs/>
          <w:sz w:val="22"/>
          <w:szCs w:val="22"/>
          <w:lang w:eastAsia="en-GB" w:bidi="bn-IN"/>
        </w:rPr>
        <w:t xml:space="preserve"> </w:t>
      </w:r>
      <w:r w:rsidRPr="00E8490D">
        <w:rPr>
          <w:rFonts w:ascii="Palatino Linotype" w:eastAsia="Times New Roman" w:hAnsi="Palatino Linotype" w:cs="Calibri"/>
          <w:sz w:val="22"/>
          <w:szCs w:val="22"/>
          <w:lang w:val="en-US"/>
        </w:rPr>
        <w:t xml:space="preserve">1, 40, 41,530 </w:t>
      </w:r>
      <w:r w:rsidRPr="00E8490D">
        <w:rPr>
          <w:rFonts w:ascii="Palatino Linotype" w:eastAsia="Times New Roman" w:hAnsi="Palatino Linotype" w:cs="Garamond"/>
          <w:sz w:val="22"/>
          <w:szCs w:val="22"/>
        </w:rPr>
        <w:t>crore</w:t>
      </w:r>
      <w:r w:rsidRPr="00E8490D">
        <w:rPr>
          <w:rFonts w:ascii="Palatino Linotype" w:eastAsia="Times New Roman" w:hAnsi="Palatino Linotype"/>
          <w:sz w:val="22"/>
          <w:szCs w:val="22"/>
        </w:rPr>
        <w:t xml:space="preserve"> at the end of February 2019, from </w:t>
      </w:r>
      <w:r w:rsidRPr="00E8490D">
        <w:rPr>
          <w:rFonts w:ascii="Tahoma" w:eastAsia="Times New Roman" w:hAnsi="Tahoma" w:cs="Tahoma"/>
          <w:sz w:val="22"/>
          <w:szCs w:val="22"/>
        </w:rPr>
        <w:t>₹</w:t>
      </w:r>
      <w:r w:rsidRPr="00E8490D">
        <w:rPr>
          <w:rFonts w:ascii="Palatino Linotype" w:eastAsia="Times New Roman" w:hAnsi="Palatino Linotype"/>
          <w:bCs/>
          <w:sz w:val="22"/>
          <w:szCs w:val="22"/>
          <w:lang w:eastAsia="en-GB" w:bidi="bn-IN"/>
        </w:rPr>
        <w:t xml:space="preserve"> </w:t>
      </w:r>
      <w:r w:rsidRPr="00E8490D">
        <w:rPr>
          <w:rFonts w:ascii="Palatino Linotype" w:eastAsia="Times New Roman" w:hAnsi="Palatino Linotype" w:cs="Calibri"/>
          <w:sz w:val="22"/>
          <w:szCs w:val="22"/>
          <w:lang w:val="en-US"/>
        </w:rPr>
        <w:t xml:space="preserve">1, 40, 99,330 </w:t>
      </w:r>
      <w:r w:rsidRPr="00E8490D">
        <w:rPr>
          <w:rFonts w:ascii="Palatino Linotype" w:eastAsia="Times New Roman" w:hAnsi="Palatino Linotype" w:cs="Garamond"/>
          <w:sz w:val="22"/>
          <w:szCs w:val="22"/>
        </w:rPr>
        <w:t>crore</w:t>
      </w:r>
      <w:r w:rsidRPr="00E8490D">
        <w:rPr>
          <w:rFonts w:ascii="Palatino Linotype" w:eastAsia="Times New Roman" w:hAnsi="Palatino Linotype"/>
          <w:sz w:val="22"/>
          <w:szCs w:val="22"/>
        </w:rPr>
        <w:t xml:space="preserve"> at the end of January </w:t>
      </w:r>
      <w:r w:rsidRPr="00EF14C9">
        <w:rPr>
          <w:rFonts w:ascii="Palatino Linotype" w:eastAsia="Times New Roman" w:hAnsi="Palatino Linotype"/>
          <w:sz w:val="22"/>
          <w:szCs w:val="22"/>
        </w:rPr>
        <w:t>2019</w:t>
      </w:r>
      <w:r w:rsidRPr="00EF14C9">
        <w:rPr>
          <w:rFonts w:ascii="Palatino Linotype" w:eastAsia="Times New Roman" w:hAnsi="Palatino Linotype" w:cs="Garamond"/>
          <w:sz w:val="22"/>
          <w:szCs w:val="22"/>
        </w:rPr>
        <w:t>. Market capitalization at</w:t>
      </w:r>
      <w:r w:rsidRPr="00EF14C9">
        <w:rPr>
          <w:rFonts w:ascii="Palatino Linotype" w:eastAsia="Times New Roman" w:hAnsi="Palatino Linotype"/>
          <w:sz w:val="22"/>
          <w:szCs w:val="22"/>
        </w:rPr>
        <w:t xml:space="preserve"> NSE too decreased to </w:t>
      </w:r>
      <w:r w:rsidRPr="00EF14C9">
        <w:rPr>
          <w:rFonts w:ascii="Tahoma" w:eastAsia="Times New Roman" w:hAnsi="Tahoma" w:cs="Tahoma"/>
          <w:sz w:val="22"/>
          <w:szCs w:val="22"/>
        </w:rPr>
        <w:t>₹</w:t>
      </w:r>
      <w:r w:rsidRPr="00EF14C9">
        <w:rPr>
          <w:rFonts w:ascii="Palatino Linotype" w:eastAsia="Times New Roman" w:hAnsi="Palatino Linotype"/>
          <w:bCs/>
          <w:sz w:val="22"/>
          <w:szCs w:val="22"/>
          <w:lang w:eastAsia="en-GB" w:bidi="bn-IN"/>
        </w:rPr>
        <w:t xml:space="preserve"> </w:t>
      </w:r>
      <w:r w:rsidRPr="00EF14C9">
        <w:rPr>
          <w:rFonts w:ascii="Palatino Linotype" w:eastAsia="Times New Roman" w:hAnsi="Palatino Linotype" w:cs="Calibri"/>
          <w:sz w:val="22"/>
          <w:szCs w:val="22"/>
          <w:lang w:val="en-US"/>
        </w:rPr>
        <w:t xml:space="preserve">1, 38, </w:t>
      </w:r>
      <w:r w:rsidRPr="0017198F">
        <w:rPr>
          <w:rFonts w:ascii="Palatino Linotype" w:eastAsia="Times New Roman" w:hAnsi="Palatino Linotype" w:cs="Calibri"/>
          <w:sz w:val="22"/>
          <w:szCs w:val="22"/>
          <w:lang w:val="en-US"/>
        </w:rPr>
        <w:t xml:space="preserve">71,449 </w:t>
      </w:r>
      <w:r w:rsidRPr="0017198F">
        <w:rPr>
          <w:rFonts w:ascii="Palatino Linotype" w:eastAsia="Times New Roman" w:hAnsi="Palatino Linotype" w:cs="Garamond"/>
          <w:sz w:val="22"/>
          <w:szCs w:val="22"/>
        </w:rPr>
        <w:t xml:space="preserve">crore from </w:t>
      </w:r>
      <w:r w:rsidRPr="0017198F">
        <w:rPr>
          <w:rFonts w:ascii="Tahoma" w:eastAsia="Times New Roman" w:hAnsi="Tahoma" w:cs="Tahoma"/>
          <w:sz w:val="22"/>
          <w:szCs w:val="22"/>
        </w:rPr>
        <w:t>₹</w:t>
      </w:r>
      <w:r w:rsidRPr="0017198F">
        <w:rPr>
          <w:rFonts w:ascii="Palatino Linotype" w:eastAsia="Times New Roman" w:hAnsi="Palatino Linotype"/>
          <w:bCs/>
          <w:sz w:val="22"/>
          <w:szCs w:val="22"/>
          <w:lang w:eastAsia="en-GB" w:bidi="bn-IN"/>
        </w:rPr>
        <w:t xml:space="preserve"> </w:t>
      </w:r>
      <w:r w:rsidRPr="0017198F">
        <w:rPr>
          <w:rFonts w:ascii="Palatino Linotype" w:eastAsia="Times New Roman" w:hAnsi="Palatino Linotype" w:cs="Calibri"/>
          <w:sz w:val="22"/>
          <w:szCs w:val="22"/>
          <w:lang w:val="en-US"/>
        </w:rPr>
        <w:t xml:space="preserve">1, 39, 16,643 </w:t>
      </w:r>
      <w:r w:rsidRPr="0017198F">
        <w:rPr>
          <w:rFonts w:ascii="Palatino Linotype" w:eastAsia="Times New Roman" w:hAnsi="Palatino Linotype" w:cs="Garamond"/>
          <w:sz w:val="22"/>
          <w:szCs w:val="22"/>
        </w:rPr>
        <w:t xml:space="preserve">crore during the same period. The monthly turnover of BSE decreased by 17.4 per cent to </w:t>
      </w:r>
      <w:r w:rsidRPr="0017198F">
        <w:rPr>
          <w:rFonts w:ascii="Tahoma" w:eastAsia="Times New Roman" w:hAnsi="Tahoma" w:cs="Tahoma"/>
          <w:sz w:val="22"/>
          <w:szCs w:val="22"/>
        </w:rPr>
        <w:t>₹</w:t>
      </w:r>
      <w:r w:rsidRPr="0017198F">
        <w:rPr>
          <w:rFonts w:ascii="Palatino Linotype" w:eastAsia="Times New Roman" w:hAnsi="Palatino Linotype" w:cs="Garamond"/>
          <w:sz w:val="22"/>
          <w:szCs w:val="22"/>
        </w:rPr>
        <w:t xml:space="preserve"> </w:t>
      </w:r>
      <w:r w:rsidRPr="0017198F">
        <w:rPr>
          <w:rFonts w:ascii="Palatino Linotype" w:eastAsia="Times New Roman" w:hAnsi="Palatino Linotype" w:cs="Calibri"/>
          <w:sz w:val="22"/>
          <w:szCs w:val="22"/>
          <w:lang w:val="en-US"/>
        </w:rPr>
        <w:t xml:space="preserve">50,656 </w:t>
      </w:r>
      <w:r w:rsidRPr="0017198F">
        <w:rPr>
          <w:rFonts w:ascii="Palatino Linotype" w:eastAsia="Times New Roman" w:hAnsi="Palatino Linotype"/>
          <w:color w:val="000000"/>
          <w:sz w:val="22"/>
          <w:szCs w:val="22"/>
          <w:lang w:val="en-US"/>
        </w:rPr>
        <w:t xml:space="preserve">crore in February 2019 </w:t>
      </w:r>
      <w:r w:rsidRPr="0017198F">
        <w:rPr>
          <w:rFonts w:ascii="Palatino Linotype" w:eastAsia="Times New Roman" w:hAnsi="Palatino Linotype" w:cs="Garamond"/>
          <w:sz w:val="22"/>
          <w:szCs w:val="22"/>
        </w:rPr>
        <w:t xml:space="preserve">from </w:t>
      </w:r>
      <w:r w:rsidRPr="0017198F">
        <w:rPr>
          <w:rFonts w:ascii="Tahoma" w:eastAsia="Times New Roman" w:hAnsi="Tahoma" w:cs="Tahoma"/>
          <w:sz w:val="22"/>
          <w:szCs w:val="22"/>
        </w:rPr>
        <w:t>₹</w:t>
      </w:r>
      <w:r w:rsidRPr="0017198F">
        <w:rPr>
          <w:rFonts w:ascii="Palatino Linotype" w:eastAsia="Times New Roman" w:hAnsi="Palatino Linotype"/>
          <w:bCs/>
          <w:sz w:val="22"/>
          <w:szCs w:val="22"/>
          <w:lang w:eastAsia="en-GB" w:bidi="bn-IN"/>
        </w:rPr>
        <w:t xml:space="preserve"> </w:t>
      </w:r>
      <w:r w:rsidRPr="0017198F">
        <w:rPr>
          <w:rFonts w:ascii="Palatino Linotype" w:eastAsia="Times New Roman" w:hAnsi="Palatino Linotype" w:cs="Calibri"/>
          <w:sz w:val="22"/>
          <w:szCs w:val="22"/>
          <w:lang w:val="en-US"/>
        </w:rPr>
        <w:t xml:space="preserve">61,332 </w:t>
      </w:r>
      <w:r w:rsidRPr="0017198F">
        <w:rPr>
          <w:rFonts w:ascii="Palatino Linotype" w:eastAsia="Times New Roman" w:hAnsi="Palatino Linotype"/>
          <w:bCs/>
          <w:sz w:val="22"/>
          <w:szCs w:val="22"/>
          <w:lang w:eastAsia="en-GB" w:bidi="bn-IN"/>
        </w:rPr>
        <w:t>crore in</w:t>
      </w:r>
      <w:r w:rsidRPr="0017198F">
        <w:rPr>
          <w:rFonts w:ascii="Palatino Linotype" w:eastAsia="Times New Roman" w:hAnsi="Palatino Linotype" w:cs="Garamond"/>
          <w:sz w:val="22"/>
          <w:szCs w:val="22"/>
        </w:rPr>
        <w:t xml:space="preserve"> January 2019. Further, the monthly turnover of NSE too decreased by four per cent to </w:t>
      </w:r>
      <w:r w:rsidRPr="0017198F">
        <w:rPr>
          <w:rFonts w:ascii="Tahoma" w:eastAsia="Times New Roman" w:hAnsi="Tahoma" w:cs="Tahoma"/>
          <w:sz w:val="22"/>
          <w:szCs w:val="22"/>
        </w:rPr>
        <w:t>₹</w:t>
      </w:r>
      <w:r w:rsidRPr="0017198F">
        <w:rPr>
          <w:rFonts w:ascii="Palatino Linotype" w:eastAsia="Times New Roman" w:hAnsi="Palatino Linotype" w:cs="Garamond"/>
          <w:sz w:val="22"/>
          <w:szCs w:val="22"/>
        </w:rPr>
        <w:t xml:space="preserve"> </w:t>
      </w:r>
      <w:r w:rsidRPr="0017198F">
        <w:rPr>
          <w:rFonts w:ascii="Palatino Linotype" w:eastAsia="Times New Roman" w:hAnsi="Palatino Linotype" w:cs="Calibri"/>
          <w:sz w:val="22"/>
          <w:szCs w:val="22"/>
        </w:rPr>
        <w:t xml:space="preserve">6, 39,270 </w:t>
      </w:r>
      <w:r w:rsidRPr="0017198F">
        <w:rPr>
          <w:rFonts w:ascii="Palatino Linotype" w:eastAsia="Times New Roman" w:hAnsi="Palatino Linotype"/>
          <w:color w:val="000000"/>
          <w:sz w:val="22"/>
          <w:szCs w:val="22"/>
          <w:lang w:val="en-US"/>
        </w:rPr>
        <w:t>crore in February 2019 from</w:t>
      </w:r>
      <w:r w:rsidRPr="0017198F">
        <w:rPr>
          <w:rFonts w:ascii="Palatino Linotype" w:eastAsia="Times New Roman" w:hAnsi="Palatino Linotype" w:cs="Garamond"/>
          <w:sz w:val="22"/>
          <w:szCs w:val="22"/>
        </w:rPr>
        <w:t xml:space="preserve"> </w:t>
      </w:r>
      <w:r w:rsidRPr="0017198F">
        <w:rPr>
          <w:rFonts w:ascii="Tahoma" w:eastAsia="Times New Roman" w:hAnsi="Tahoma" w:cs="Tahoma"/>
          <w:sz w:val="22"/>
          <w:szCs w:val="22"/>
        </w:rPr>
        <w:t>₹</w:t>
      </w:r>
      <w:r w:rsidRPr="0017198F">
        <w:rPr>
          <w:rFonts w:ascii="Palatino Linotype" w:eastAsia="Times New Roman" w:hAnsi="Palatino Linotype" w:cs="Garamond"/>
          <w:sz w:val="22"/>
          <w:szCs w:val="22"/>
        </w:rPr>
        <w:t xml:space="preserve"> </w:t>
      </w:r>
      <w:r w:rsidRPr="0017198F">
        <w:rPr>
          <w:rFonts w:ascii="Palatino Linotype" w:eastAsia="Times New Roman" w:hAnsi="Palatino Linotype" w:cs="Calibri"/>
          <w:sz w:val="22"/>
          <w:szCs w:val="22"/>
          <w:lang w:val="en-US"/>
        </w:rPr>
        <w:t>6, 65,889</w:t>
      </w:r>
      <w:r w:rsidRPr="0017198F">
        <w:rPr>
          <w:rFonts w:ascii="Palatino Linotype" w:eastAsia="Times New Roman" w:hAnsi="Palatino Linotype"/>
          <w:color w:val="000000"/>
          <w:sz w:val="22"/>
          <w:szCs w:val="22"/>
          <w:lang w:val="en-US"/>
        </w:rPr>
        <w:t xml:space="preserve"> </w:t>
      </w:r>
      <w:r w:rsidRPr="0017198F">
        <w:rPr>
          <w:rFonts w:ascii="Palatino Linotype" w:eastAsia="Times New Roman" w:hAnsi="Palatino Linotype" w:cs="Garamond"/>
          <w:sz w:val="22"/>
          <w:szCs w:val="22"/>
        </w:rPr>
        <w:t xml:space="preserve">crore in </w:t>
      </w:r>
      <w:r w:rsidRPr="0017198F">
        <w:rPr>
          <w:rFonts w:ascii="Palatino Linotype" w:eastAsia="Times New Roman" w:hAnsi="Palatino Linotype"/>
          <w:color w:val="000000"/>
          <w:sz w:val="22"/>
          <w:szCs w:val="22"/>
          <w:lang w:val="en-US"/>
        </w:rPr>
        <w:t>January 2019</w:t>
      </w:r>
      <w:r w:rsidRPr="0017198F">
        <w:rPr>
          <w:rFonts w:ascii="Palatino Linotype" w:eastAsia="Times New Roman" w:hAnsi="Palatino Linotype" w:cs="Garamond"/>
          <w:sz w:val="22"/>
          <w:szCs w:val="22"/>
        </w:rPr>
        <w:t>.</w:t>
      </w:r>
    </w:p>
    <w:p w:rsidR="00994860" w:rsidRPr="00F5250B" w:rsidRDefault="00994860" w:rsidP="00994860">
      <w:pPr>
        <w:jc w:val="both"/>
        <w:rPr>
          <w:rFonts w:ascii="Palatino Linotype" w:eastAsia="Times New Roman" w:hAnsi="Palatino Linotype" w:cs="Garamond"/>
          <w:sz w:val="22"/>
          <w:szCs w:val="22"/>
        </w:rPr>
      </w:pPr>
    </w:p>
    <w:p w:rsidR="00994860" w:rsidRPr="00F5250B" w:rsidRDefault="00994860" w:rsidP="00994860">
      <w:pPr>
        <w:jc w:val="both"/>
        <w:rPr>
          <w:rFonts w:ascii="Palatino Linotype" w:eastAsia="Times New Roman" w:hAnsi="Palatino Linotype" w:cs="Garamond"/>
          <w:sz w:val="22"/>
          <w:szCs w:val="22"/>
        </w:rPr>
      </w:pPr>
      <w:r w:rsidRPr="00F5250B">
        <w:rPr>
          <w:rFonts w:ascii="Palatino Linotype" w:eastAsia="Times New Roman" w:hAnsi="Palatino Linotype" w:cs="Garamond"/>
          <w:sz w:val="22"/>
          <w:szCs w:val="22"/>
        </w:rPr>
        <w:t xml:space="preserve"> The P/E ratios of S&amp;P BSE Sensex and Nifty 50 were 23.8 and 26.3</w:t>
      </w:r>
      <w:r>
        <w:rPr>
          <w:rFonts w:ascii="Palatino Linotype" w:eastAsia="Times New Roman" w:hAnsi="Palatino Linotype" w:cs="Garamond"/>
          <w:sz w:val="22"/>
          <w:szCs w:val="22"/>
        </w:rPr>
        <w:t>2</w:t>
      </w:r>
      <w:r w:rsidRPr="00F5250B">
        <w:rPr>
          <w:rFonts w:ascii="Palatino Linotype" w:eastAsia="Times New Roman" w:hAnsi="Palatino Linotype" w:cs="Garamond"/>
          <w:sz w:val="22"/>
          <w:szCs w:val="22"/>
        </w:rPr>
        <w:t xml:space="preserve"> respectively, at the end of </w:t>
      </w:r>
      <w:r w:rsidRPr="00F5250B">
        <w:rPr>
          <w:rFonts w:ascii="Palatino Linotype" w:eastAsia="Times New Roman" w:hAnsi="Palatino Linotype"/>
          <w:sz w:val="22"/>
          <w:szCs w:val="22"/>
        </w:rPr>
        <w:t>February</w:t>
      </w:r>
      <w:r w:rsidRPr="00F5250B">
        <w:rPr>
          <w:rFonts w:ascii="Palatino Linotype" w:eastAsia="Times New Roman" w:hAnsi="Palatino Linotype" w:cs="Garamond"/>
          <w:sz w:val="22"/>
          <w:szCs w:val="22"/>
        </w:rPr>
        <w:t xml:space="preserve"> 2019 compared to </w:t>
      </w:r>
      <w:r>
        <w:rPr>
          <w:rFonts w:ascii="Palatino Linotype" w:eastAsia="Times New Roman" w:hAnsi="Palatino Linotype" w:cs="Garamond"/>
          <w:sz w:val="22"/>
          <w:szCs w:val="22"/>
        </w:rPr>
        <w:t>23.6 and 26.26</w:t>
      </w:r>
      <w:r w:rsidRPr="00F5250B">
        <w:rPr>
          <w:rFonts w:ascii="Palatino Linotype" w:eastAsia="Times New Roman" w:hAnsi="Palatino Linotype" w:cs="Garamond"/>
          <w:sz w:val="22"/>
          <w:szCs w:val="22"/>
        </w:rPr>
        <w:t xml:space="preserve"> respectively a month ago.</w:t>
      </w:r>
    </w:p>
    <w:p w:rsidR="00994860" w:rsidRPr="00C256D7" w:rsidRDefault="00994860" w:rsidP="00994860">
      <w:pPr>
        <w:jc w:val="both"/>
        <w:rPr>
          <w:rFonts w:ascii="Palatino Linotype" w:eastAsia="Times New Roman" w:hAnsi="Palatino Linotype" w:cs="Garamond"/>
          <w:sz w:val="22"/>
          <w:szCs w:val="22"/>
          <w:highlight w:val="yellow"/>
        </w:rPr>
      </w:pPr>
    </w:p>
    <w:p w:rsidR="00994860" w:rsidRPr="00C256D7" w:rsidRDefault="00994860" w:rsidP="00994860">
      <w:pPr>
        <w:ind w:hanging="270"/>
        <w:jc w:val="center"/>
        <w:rPr>
          <w:rFonts w:ascii="Palatino Linotype" w:hAnsi="Palatino Linotype"/>
          <w:b/>
          <w:bCs/>
          <w:sz w:val="22"/>
          <w:szCs w:val="22"/>
          <w:highlight w:val="yellow"/>
        </w:rPr>
      </w:pPr>
    </w:p>
    <w:p w:rsidR="00994860" w:rsidRPr="00C256D7" w:rsidRDefault="00994860" w:rsidP="00994860">
      <w:pPr>
        <w:ind w:hanging="270"/>
        <w:jc w:val="center"/>
        <w:rPr>
          <w:rFonts w:ascii="Palatino Linotype" w:hAnsi="Palatino Linotype"/>
          <w:b/>
          <w:bCs/>
          <w:sz w:val="22"/>
          <w:szCs w:val="22"/>
          <w:highlight w:val="yellow"/>
        </w:rPr>
      </w:pPr>
    </w:p>
    <w:p w:rsidR="00994860" w:rsidRPr="00C256D7" w:rsidRDefault="00994860" w:rsidP="00994860">
      <w:pPr>
        <w:ind w:hanging="270"/>
        <w:jc w:val="center"/>
        <w:rPr>
          <w:rFonts w:ascii="Palatino Linotype" w:hAnsi="Palatino Linotype"/>
          <w:b/>
          <w:bCs/>
          <w:sz w:val="22"/>
          <w:szCs w:val="22"/>
          <w:highlight w:val="yellow"/>
        </w:rPr>
      </w:pPr>
    </w:p>
    <w:p w:rsidR="00994860" w:rsidRPr="00C256D7" w:rsidRDefault="00994860" w:rsidP="00994860">
      <w:pPr>
        <w:ind w:hanging="270"/>
        <w:jc w:val="center"/>
        <w:rPr>
          <w:rFonts w:ascii="Palatino Linotype" w:hAnsi="Palatino Linotype"/>
          <w:b/>
          <w:bCs/>
          <w:sz w:val="22"/>
          <w:szCs w:val="22"/>
          <w:highlight w:val="yellow"/>
        </w:rPr>
      </w:pPr>
    </w:p>
    <w:p w:rsidR="00994860" w:rsidRPr="00C256D7" w:rsidRDefault="00994860" w:rsidP="00994860">
      <w:pPr>
        <w:ind w:hanging="270"/>
        <w:jc w:val="center"/>
        <w:rPr>
          <w:rFonts w:ascii="Palatino Linotype" w:hAnsi="Palatino Linotype"/>
          <w:b/>
          <w:bCs/>
          <w:sz w:val="22"/>
          <w:szCs w:val="22"/>
          <w:highlight w:val="yellow"/>
        </w:rPr>
      </w:pPr>
    </w:p>
    <w:p w:rsidR="00994860" w:rsidRPr="00C256D7" w:rsidRDefault="00994860" w:rsidP="00994860">
      <w:pPr>
        <w:ind w:hanging="270"/>
        <w:jc w:val="center"/>
        <w:rPr>
          <w:rFonts w:ascii="Palatino Linotype" w:hAnsi="Palatino Linotype"/>
          <w:b/>
          <w:bCs/>
          <w:sz w:val="22"/>
          <w:szCs w:val="22"/>
          <w:highlight w:val="yellow"/>
        </w:rPr>
      </w:pPr>
    </w:p>
    <w:p w:rsidR="00994860" w:rsidRPr="00C256D7" w:rsidRDefault="00994860" w:rsidP="00994860">
      <w:pPr>
        <w:ind w:hanging="270"/>
        <w:jc w:val="center"/>
        <w:rPr>
          <w:rFonts w:ascii="Palatino Linotype" w:hAnsi="Palatino Linotype"/>
          <w:b/>
          <w:bCs/>
          <w:sz w:val="22"/>
          <w:szCs w:val="22"/>
          <w:highlight w:val="yellow"/>
        </w:rPr>
      </w:pPr>
    </w:p>
    <w:p w:rsidR="00994860" w:rsidRPr="00C256D7" w:rsidRDefault="00994860" w:rsidP="00994860">
      <w:pPr>
        <w:ind w:hanging="270"/>
        <w:jc w:val="center"/>
        <w:rPr>
          <w:rFonts w:ascii="Palatino Linotype" w:hAnsi="Palatino Linotype"/>
          <w:b/>
          <w:bCs/>
          <w:sz w:val="22"/>
          <w:szCs w:val="22"/>
          <w:highlight w:val="yellow"/>
        </w:rPr>
      </w:pPr>
    </w:p>
    <w:p w:rsidR="00994860" w:rsidRPr="00C256D7" w:rsidRDefault="00994860" w:rsidP="00994860">
      <w:pPr>
        <w:ind w:hanging="270"/>
        <w:jc w:val="center"/>
        <w:rPr>
          <w:rFonts w:ascii="Palatino Linotype" w:hAnsi="Palatino Linotype"/>
          <w:b/>
          <w:sz w:val="22"/>
          <w:szCs w:val="22"/>
          <w:highlight w:val="yellow"/>
        </w:rPr>
      </w:pPr>
      <w:r w:rsidRPr="002C0CF3">
        <w:rPr>
          <w:rFonts w:ascii="Palatino Linotype" w:hAnsi="Palatino Linotype"/>
          <w:b/>
          <w:bCs/>
          <w:sz w:val="22"/>
          <w:szCs w:val="22"/>
        </w:rPr>
        <w:lastRenderedPageBreak/>
        <w:t xml:space="preserve">Figure </w:t>
      </w:r>
      <w:r w:rsidRPr="002C0CF3">
        <w:rPr>
          <w:rFonts w:ascii="Palatino Linotype" w:hAnsi="Palatino Linotype"/>
          <w:b/>
          <w:bCs/>
          <w:sz w:val="22"/>
          <w:szCs w:val="22"/>
        </w:rPr>
        <w:fldChar w:fldCharType="begin"/>
      </w:r>
      <w:r w:rsidRPr="002C0CF3">
        <w:rPr>
          <w:rFonts w:ascii="Palatino Linotype" w:hAnsi="Palatino Linotype"/>
          <w:b/>
          <w:bCs/>
          <w:sz w:val="22"/>
          <w:szCs w:val="22"/>
        </w:rPr>
        <w:instrText xml:space="preserve"> SEQ Figure \* ARABIC </w:instrText>
      </w:r>
      <w:r w:rsidRPr="002C0CF3">
        <w:rPr>
          <w:rFonts w:ascii="Palatino Linotype" w:hAnsi="Palatino Linotype"/>
          <w:b/>
          <w:bCs/>
          <w:sz w:val="22"/>
          <w:szCs w:val="22"/>
        </w:rPr>
        <w:fldChar w:fldCharType="separate"/>
      </w:r>
      <w:r>
        <w:rPr>
          <w:rFonts w:ascii="Palatino Linotype" w:hAnsi="Palatino Linotype"/>
          <w:b/>
          <w:bCs/>
          <w:noProof/>
          <w:sz w:val="22"/>
          <w:szCs w:val="22"/>
        </w:rPr>
        <w:t>2</w:t>
      </w:r>
      <w:r w:rsidRPr="002C0CF3">
        <w:rPr>
          <w:rFonts w:ascii="Palatino Linotype" w:hAnsi="Palatino Linotype"/>
          <w:b/>
          <w:bCs/>
          <w:sz w:val="22"/>
          <w:szCs w:val="22"/>
        </w:rPr>
        <w:fldChar w:fldCharType="end"/>
      </w:r>
      <w:r w:rsidRPr="002C0CF3">
        <w:rPr>
          <w:rFonts w:ascii="Palatino Linotype" w:hAnsi="Palatino Linotype"/>
          <w:b/>
          <w:bCs/>
          <w:sz w:val="22"/>
          <w:szCs w:val="22"/>
        </w:rPr>
        <w:t xml:space="preserve">: </w:t>
      </w:r>
      <w:r w:rsidRPr="002C0CF3">
        <w:rPr>
          <w:rFonts w:ascii="Palatino Linotype" w:hAnsi="Palatino Linotype"/>
          <w:b/>
          <w:sz w:val="22"/>
          <w:szCs w:val="22"/>
        </w:rPr>
        <w:t>Trends in Average Daily Values of Nifty 50 and NSE Equity Cash Segment Turnover</w:t>
      </w:r>
    </w:p>
    <w:p w:rsidR="00994860" w:rsidRPr="00C256D7" w:rsidRDefault="00994860" w:rsidP="00994860">
      <w:pPr>
        <w:ind w:hanging="270"/>
        <w:jc w:val="center"/>
        <w:rPr>
          <w:rFonts w:ascii="Palatino Linotype" w:hAnsi="Palatino Linotype"/>
          <w:b/>
          <w:sz w:val="22"/>
          <w:szCs w:val="22"/>
          <w:highlight w:val="yellow"/>
          <w:rtl/>
          <w:cs/>
        </w:rPr>
      </w:pPr>
    </w:p>
    <w:p w:rsidR="00994860" w:rsidRPr="00C256D7" w:rsidRDefault="00994860" w:rsidP="00994860">
      <w:pPr>
        <w:rPr>
          <w:rFonts w:ascii="Palatino Linotype" w:hAnsi="Palatino Linotype"/>
          <w:b/>
          <w:bCs/>
          <w:sz w:val="22"/>
          <w:szCs w:val="22"/>
          <w:highlight w:val="yellow"/>
        </w:rPr>
      </w:pPr>
      <w:r>
        <w:rPr>
          <w:noProof/>
          <w:lang w:val="en-IN" w:eastAsia="en-IN"/>
        </w:rPr>
        <w:drawing>
          <wp:inline distT="0" distB="0" distL="0" distR="0" wp14:anchorId="77F811BE" wp14:editId="02CD9F09">
            <wp:extent cx="5923280" cy="3422015"/>
            <wp:effectExtent l="0" t="0" r="1270" b="6985"/>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994860" w:rsidRPr="00C256D7" w:rsidRDefault="00994860" w:rsidP="00994860">
      <w:pPr>
        <w:rPr>
          <w:rFonts w:ascii="Palatino Linotype" w:hAnsi="Palatino Linotype"/>
          <w:b/>
          <w:bCs/>
          <w:sz w:val="22"/>
          <w:szCs w:val="22"/>
          <w:highlight w:val="yellow"/>
        </w:rPr>
      </w:pPr>
    </w:p>
    <w:p w:rsidR="00994860" w:rsidRPr="002C0CF3" w:rsidRDefault="00994860" w:rsidP="00994860">
      <w:pPr>
        <w:jc w:val="center"/>
        <w:rPr>
          <w:rFonts w:ascii="Palatino Linotype" w:hAnsi="Palatino Linotype"/>
          <w:b/>
          <w:bCs/>
          <w:sz w:val="22"/>
          <w:szCs w:val="22"/>
        </w:rPr>
      </w:pPr>
      <w:r w:rsidRPr="002C0CF3">
        <w:rPr>
          <w:rFonts w:ascii="Palatino Linotype" w:hAnsi="Palatino Linotype"/>
          <w:b/>
          <w:bCs/>
          <w:sz w:val="22"/>
          <w:szCs w:val="22"/>
        </w:rPr>
        <w:t xml:space="preserve">Figure </w:t>
      </w:r>
      <w:r w:rsidRPr="002C0CF3">
        <w:rPr>
          <w:rFonts w:ascii="Palatino Linotype" w:hAnsi="Palatino Linotype"/>
          <w:b/>
          <w:bCs/>
          <w:sz w:val="22"/>
          <w:szCs w:val="22"/>
        </w:rPr>
        <w:fldChar w:fldCharType="begin"/>
      </w:r>
      <w:r w:rsidRPr="002C0CF3">
        <w:rPr>
          <w:rFonts w:ascii="Palatino Linotype" w:hAnsi="Palatino Linotype"/>
          <w:b/>
          <w:bCs/>
          <w:sz w:val="22"/>
          <w:szCs w:val="22"/>
        </w:rPr>
        <w:instrText xml:space="preserve"> SEQ Figure \* ARABIC </w:instrText>
      </w:r>
      <w:r w:rsidRPr="002C0CF3">
        <w:rPr>
          <w:rFonts w:ascii="Palatino Linotype" w:hAnsi="Palatino Linotype"/>
          <w:b/>
          <w:bCs/>
          <w:sz w:val="22"/>
          <w:szCs w:val="22"/>
        </w:rPr>
        <w:fldChar w:fldCharType="separate"/>
      </w:r>
      <w:r>
        <w:rPr>
          <w:rFonts w:ascii="Palatino Linotype" w:hAnsi="Palatino Linotype"/>
          <w:b/>
          <w:bCs/>
          <w:noProof/>
          <w:sz w:val="22"/>
          <w:szCs w:val="22"/>
        </w:rPr>
        <w:t>3</w:t>
      </w:r>
      <w:r w:rsidRPr="002C0CF3">
        <w:rPr>
          <w:rFonts w:ascii="Palatino Linotype" w:hAnsi="Palatino Linotype"/>
          <w:b/>
          <w:bCs/>
          <w:sz w:val="22"/>
          <w:szCs w:val="22"/>
        </w:rPr>
        <w:fldChar w:fldCharType="end"/>
      </w:r>
      <w:r w:rsidRPr="002C0CF3">
        <w:rPr>
          <w:rFonts w:ascii="Palatino Linotype" w:hAnsi="Palatino Linotype"/>
          <w:b/>
          <w:bCs/>
          <w:sz w:val="22"/>
          <w:szCs w:val="22"/>
        </w:rPr>
        <w:t>: Trends in Average Daily Values of Sensex and BSE Equity Cash Segment Turnover</w:t>
      </w:r>
    </w:p>
    <w:p w:rsidR="00994860" w:rsidRPr="00C256D7" w:rsidRDefault="00994860" w:rsidP="00994860">
      <w:pPr>
        <w:jc w:val="center"/>
        <w:rPr>
          <w:rFonts w:ascii="Palatino Linotype" w:hAnsi="Palatino Linotype"/>
          <w:b/>
          <w:bCs/>
          <w:sz w:val="22"/>
          <w:szCs w:val="22"/>
          <w:highlight w:val="yellow"/>
        </w:rPr>
      </w:pPr>
    </w:p>
    <w:p w:rsidR="00994860" w:rsidRPr="00C256D7" w:rsidRDefault="00994860" w:rsidP="00994860">
      <w:pPr>
        <w:jc w:val="center"/>
        <w:rPr>
          <w:rFonts w:ascii="Palatino Linotype" w:hAnsi="Palatino Linotype"/>
          <w:b/>
          <w:bCs/>
          <w:color w:val="000099"/>
          <w:sz w:val="22"/>
          <w:szCs w:val="22"/>
          <w:highlight w:val="yellow"/>
        </w:rPr>
      </w:pPr>
      <w:r>
        <w:rPr>
          <w:noProof/>
          <w:lang w:val="en-IN" w:eastAsia="en-IN"/>
        </w:rPr>
        <w:drawing>
          <wp:inline distT="0" distB="0" distL="0" distR="0" wp14:anchorId="255ADD3C" wp14:editId="29E60CC9">
            <wp:extent cx="5923280" cy="3514725"/>
            <wp:effectExtent l="0" t="0" r="1270" b="9525"/>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994860" w:rsidRPr="00C256D7" w:rsidRDefault="00994860" w:rsidP="00994860">
      <w:pPr>
        <w:jc w:val="center"/>
        <w:rPr>
          <w:rFonts w:ascii="Palatino Linotype" w:hAnsi="Palatino Linotype"/>
          <w:b/>
          <w:bCs/>
          <w:color w:val="000099"/>
          <w:sz w:val="22"/>
          <w:szCs w:val="22"/>
          <w:highlight w:val="yellow"/>
        </w:rPr>
      </w:pPr>
    </w:p>
    <w:p w:rsidR="00994860" w:rsidRPr="00C256D7" w:rsidRDefault="00994860" w:rsidP="00994860">
      <w:pPr>
        <w:jc w:val="both"/>
        <w:rPr>
          <w:rFonts w:ascii="Palatino Linotype" w:eastAsia="Times New Roman" w:hAnsi="Palatino Linotype"/>
          <w:bCs/>
          <w:sz w:val="22"/>
          <w:szCs w:val="22"/>
          <w:highlight w:val="yellow"/>
        </w:rPr>
      </w:pPr>
    </w:p>
    <w:p w:rsidR="00994860" w:rsidRPr="00C256D7" w:rsidRDefault="00994860" w:rsidP="00994860">
      <w:pPr>
        <w:jc w:val="both"/>
        <w:rPr>
          <w:rFonts w:ascii="Palatino Linotype" w:eastAsia="Times New Roman" w:hAnsi="Palatino Linotype"/>
          <w:bCs/>
          <w:sz w:val="22"/>
          <w:szCs w:val="22"/>
          <w:highlight w:val="yellow"/>
        </w:rPr>
      </w:pPr>
    </w:p>
    <w:p w:rsidR="00994860" w:rsidRPr="00C256D7" w:rsidRDefault="00994860" w:rsidP="00994860">
      <w:pPr>
        <w:jc w:val="center"/>
        <w:rPr>
          <w:rFonts w:ascii="Palatino Linotype" w:hAnsi="Palatino Linotype"/>
          <w:b/>
          <w:bCs/>
          <w:color w:val="000099"/>
          <w:sz w:val="22"/>
          <w:szCs w:val="22"/>
          <w:highlight w:val="yellow"/>
        </w:rPr>
      </w:pPr>
    </w:p>
    <w:p w:rsidR="00994860" w:rsidRPr="00341FCF" w:rsidRDefault="00994860" w:rsidP="00994860">
      <w:pPr>
        <w:jc w:val="both"/>
        <w:rPr>
          <w:rFonts w:ascii="Palatino Linotype" w:eastAsia="Times New Roman" w:hAnsi="Palatino Linotype"/>
          <w:bCs/>
          <w:sz w:val="22"/>
          <w:szCs w:val="22"/>
        </w:rPr>
      </w:pPr>
      <w:r w:rsidRPr="00341FCF">
        <w:rPr>
          <w:rFonts w:ascii="Palatino Linotype" w:eastAsia="Times New Roman" w:hAnsi="Palatino Linotype"/>
          <w:bCs/>
          <w:sz w:val="22"/>
          <w:szCs w:val="22"/>
        </w:rPr>
        <w:t xml:space="preserve">The performance of the sectoral indices in February 2019 present a mixed picture.  Among BSE indices, S&amp;P BSE Teck increased by 0.93 per cent, followed by S&amp;P BSE Consumer Durables (0.73 </w:t>
      </w:r>
      <w:r w:rsidRPr="00341FCF">
        <w:rPr>
          <w:rFonts w:ascii="Palatino Linotype" w:eastAsia="Times New Roman" w:hAnsi="Palatino Linotype"/>
          <w:bCs/>
          <w:sz w:val="22"/>
          <w:szCs w:val="22"/>
        </w:rPr>
        <w:lastRenderedPageBreak/>
        <w:t xml:space="preserve">per cent) however S&amp;P BSE Power decreased by 2.78 per cent followed by S&amp;P BSE PSU (2.43 per cent) and S&amp;P BSE Bankex (2.29 per cent). </w:t>
      </w:r>
    </w:p>
    <w:p w:rsidR="00994860" w:rsidRPr="00C256D7" w:rsidRDefault="00994860" w:rsidP="00994860">
      <w:pPr>
        <w:jc w:val="both"/>
        <w:rPr>
          <w:rFonts w:ascii="Palatino Linotype" w:eastAsia="Times New Roman" w:hAnsi="Palatino Linotype"/>
          <w:bCs/>
          <w:sz w:val="22"/>
          <w:szCs w:val="22"/>
          <w:highlight w:val="yellow"/>
        </w:rPr>
      </w:pPr>
    </w:p>
    <w:p w:rsidR="00994860" w:rsidRPr="00C256D7" w:rsidRDefault="00994860" w:rsidP="00994860">
      <w:pPr>
        <w:jc w:val="both"/>
        <w:rPr>
          <w:rFonts w:ascii="Palatino Linotype" w:eastAsia="Times New Roman" w:hAnsi="Palatino Linotype"/>
          <w:bCs/>
          <w:sz w:val="22"/>
          <w:szCs w:val="22"/>
          <w:highlight w:val="yellow"/>
        </w:rPr>
      </w:pPr>
      <w:r w:rsidRPr="006E6B6C">
        <w:rPr>
          <w:rFonts w:ascii="Palatino Linotype" w:eastAsia="Times New Roman" w:hAnsi="Palatino Linotype"/>
          <w:bCs/>
          <w:sz w:val="22"/>
          <w:szCs w:val="22"/>
        </w:rPr>
        <w:t xml:space="preserve">Further, among BSE indices, S&amp;P BSE Metal recorded the highest daily volatility 1.77 per cent, followed by S&amp;P BSE PSU and S&amp;P BSE Power (1.08 per </w:t>
      </w:r>
      <w:r w:rsidRPr="000E33A1">
        <w:rPr>
          <w:rFonts w:ascii="Palatino Linotype" w:eastAsia="Times New Roman" w:hAnsi="Palatino Linotype"/>
          <w:bCs/>
          <w:sz w:val="22"/>
          <w:szCs w:val="22"/>
        </w:rPr>
        <w:t>cent), and S&amp;P BSE Capital Goods registering a volatility of (0.99 per cent). S&amp;P BSE Bankex, S&amp;P BSE 200, S&amp;P BSE 500 and S&amp;P BSE Sensex were the least volatile indices for the month of February 2019.</w:t>
      </w:r>
    </w:p>
    <w:p w:rsidR="00994860" w:rsidRDefault="00994860" w:rsidP="00994860">
      <w:pPr>
        <w:jc w:val="center"/>
        <w:rPr>
          <w:rFonts w:ascii="Palatino Linotype" w:hAnsi="Palatino Linotype"/>
          <w:b/>
          <w:bCs/>
          <w:sz w:val="22"/>
          <w:szCs w:val="22"/>
        </w:rPr>
      </w:pPr>
    </w:p>
    <w:p w:rsidR="00994860" w:rsidRPr="001357A7" w:rsidRDefault="00994860" w:rsidP="00994860">
      <w:pPr>
        <w:rPr>
          <w:rFonts w:ascii="Palatino Linotype" w:hAnsi="Palatino Linotype"/>
          <w:b/>
          <w:bCs/>
          <w:sz w:val="22"/>
          <w:szCs w:val="22"/>
        </w:rPr>
      </w:pPr>
      <w:r w:rsidRPr="001357A7">
        <w:rPr>
          <w:rFonts w:ascii="Palatino Linotype" w:hAnsi="Palatino Linotype"/>
          <w:b/>
          <w:bCs/>
          <w:sz w:val="22"/>
          <w:szCs w:val="22"/>
        </w:rPr>
        <w:t>Figure 4: Performance of BSE Indices</w:t>
      </w:r>
    </w:p>
    <w:p w:rsidR="00994860" w:rsidRPr="00C256D7" w:rsidRDefault="00994860" w:rsidP="00994860">
      <w:pPr>
        <w:rPr>
          <w:noProof/>
          <w:highlight w:val="yellow"/>
          <w:lang w:val="en-US" w:bidi="hi-IN"/>
        </w:rPr>
      </w:pPr>
    </w:p>
    <w:p w:rsidR="00994860" w:rsidRDefault="00994860" w:rsidP="00994860">
      <w:pPr>
        <w:rPr>
          <w:rFonts w:ascii="Palatino Linotype" w:hAnsi="Palatino Linotype"/>
          <w:b/>
          <w:bCs/>
          <w:sz w:val="22"/>
          <w:szCs w:val="22"/>
          <w:highlight w:val="yellow"/>
        </w:rPr>
      </w:pPr>
      <w:r>
        <w:rPr>
          <w:noProof/>
          <w:lang w:val="en-IN" w:eastAsia="en-IN"/>
        </w:rPr>
        <w:drawing>
          <wp:inline distT="0" distB="0" distL="0" distR="0" wp14:anchorId="79853828" wp14:editId="06C85F21">
            <wp:extent cx="5562600" cy="241935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994860" w:rsidRPr="00C256D7" w:rsidRDefault="00994860" w:rsidP="00994860">
      <w:pPr>
        <w:rPr>
          <w:rFonts w:ascii="Palatino Linotype" w:hAnsi="Palatino Linotype"/>
          <w:b/>
          <w:bCs/>
          <w:sz w:val="22"/>
          <w:szCs w:val="22"/>
          <w:highlight w:val="yellow"/>
        </w:rPr>
      </w:pPr>
    </w:p>
    <w:p w:rsidR="00994860" w:rsidRPr="00C256D7" w:rsidRDefault="00994860" w:rsidP="00994860">
      <w:pPr>
        <w:jc w:val="center"/>
        <w:rPr>
          <w:rFonts w:ascii="Palatino Linotype" w:eastAsia="Times New Roman" w:hAnsi="Palatino Linotype"/>
          <w:bCs/>
          <w:sz w:val="22"/>
          <w:szCs w:val="22"/>
          <w:highlight w:val="yellow"/>
        </w:rPr>
      </w:pPr>
    </w:p>
    <w:p w:rsidR="00994860" w:rsidRPr="00C702D6" w:rsidRDefault="00994860" w:rsidP="00994860">
      <w:pPr>
        <w:jc w:val="both"/>
        <w:rPr>
          <w:rFonts w:ascii="Palatino Linotype" w:eastAsia="Times New Roman" w:hAnsi="Palatino Linotype"/>
          <w:bCs/>
          <w:color w:val="000000" w:themeColor="text1"/>
          <w:sz w:val="22"/>
          <w:szCs w:val="22"/>
        </w:rPr>
      </w:pPr>
    </w:p>
    <w:p w:rsidR="00994860" w:rsidRPr="000C5AA9" w:rsidRDefault="00994860" w:rsidP="00994860">
      <w:pPr>
        <w:jc w:val="both"/>
        <w:rPr>
          <w:rFonts w:ascii="Palatino Linotype" w:eastAsia="Times New Roman" w:hAnsi="Palatino Linotype"/>
          <w:bCs/>
          <w:color w:val="000000" w:themeColor="text1"/>
          <w:sz w:val="22"/>
          <w:szCs w:val="22"/>
        </w:rPr>
      </w:pPr>
      <w:r w:rsidRPr="00C702D6">
        <w:rPr>
          <w:rFonts w:ascii="Palatino Linotype" w:eastAsia="Times New Roman" w:hAnsi="Palatino Linotype"/>
          <w:bCs/>
          <w:color w:val="000000" w:themeColor="text1"/>
          <w:sz w:val="22"/>
          <w:szCs w:val="22"/>
        </w:rPr>
        <w:t xml:space="preserve">As regards NSE indices, the largest increase was registered by Nifty Media (13.44 per cent) followed by Nifty IT (1.50 per cent) and Nifty Pharma (0.67). On the contrary, Nifty PSU Bank </w:t>
      </w:r>
      <w:r w:rsidRPr="000C5AA9">
        <w:rPr>
          <w:rFonts w:ascii="Palatino Linotype" w:eastAsia="Times New Roman" w:hAnsi="Palatino Linotype"/>
          <w:bCs/>
          <w:color w:val="000000" w:themeColor="text1"/>
          <w:sz w:val="22"/>
          <w:szCs w:val="22"/>
        </w:rPr>
        <w:t>recorded the largest fall of 8.76 per cent followed by Nifty Small 100 (3.24 per cent) and Nifty Bank (1.85 per cent) for the month under review.</w:t>
      </w:r>
    </w:p>
    <w:p w:rsidR="00994860" w:rsidRPr="000C5AA9" w:rsidRDefault="00994860" w:rsidP="00994860">
      <w:pPr>
        <w:jc w:val="both"/>
        <w:rPr>
          <w:rFonts w:ascii="Palatino Linotype" w:eastAsia="Times New Roman" w:hAnsi="Palatino Linotype"/>
          <w:bCs/>
          <w:color w:val="FF0000"/>
          <w:sz w:val="22"/>
          <w:szCs w:val="22"/>
        </w:rPr>
      </w:pPr>
    </w:p>
    <w:p w:rsidR="00994860" w:rsidRPr="000C5AA9" w:rsidRDefault="00994860" w:rsidP="00994860">
      <w:pPr>
        <w:jc w:val="both"/>
        <w:rPr>
          <w:rFonts w:ascii="Palatino Linotype" w:eastAsia="Times New Roman" w:hAnsi="Palatino Linotype"/>
          <w:bCs/>
          <w:color w:val="000000" w:themeColor="text1"/>
          <w:sz w:val="22"/>
          <w:szCs w:val="22"/>
        </w:rPr>
      </w:pPr>
      <w:r w:rsidRPr="000C5AA9">
        <w:rPr>
          <w:rFonts w:ascii="Palatino Linotype" w:eastAsia="Times New Roman" w:hAnsi="Palatino Linotype"/>
          <w:bCs/>
          <w:color w:val="000000" w:themeColor="text1"/>
          <w:sz w:val="22"/>
          <w:szCs w:val="22"/>
        </w:rPr>
        <w:t xml:space="preserve">Further, among NSE indices, Nifty Media recorded highest daily volatility of 1.97 per cent followed by Nifty PSU Bank (1.36 per cent) and Nifty Pharma (1.23 per cent). However, Nifty  Bank, Nifty Next 50, Nifty 200 and Nifty 500 were the least volatile for the month under consideration. </w:t>
      </w:r>
    </w:p>
    <w:p w:rsidR="00994860" w:rsidRPr="00C256D7" w:rsidRDefault="00994860" w:rsidP="00994860">
      <w:pPr>
        <w:rPr>
          <w:rFonts w:ascii="Palatino Linotype" w:hAnsi="Palatino Linotype"/>
          <w:b/>
          <w:bCs/>
          <w:sz w:val="22"/>
          <w:szCs w:val="22"/>
          <w:highlight w:val="yellow"/>
        </w:rPr>
      </w:pPr>
    </w:p>
    <w:p w:rsidR="00994860" w:rsidRDefault="00994860" w:rsidP="00994860">
      <w:pPr>
        <w:jc w:val="center"/>
        <w:rPr>
          <w:rFonts w:ascii="Palatino Linotype" w:hAnsi="Palatino Linotype"/>
          <w:b/>
          <w:bCs/>
          <w:sz w:val="22"/>
          <w:szCs w:val="22"/>
          <w:highlight w:val="yellow"/>
        </w:rPr>
      </w:pPr>
    </w:p>
    <w:p w:rsidR="00994860" w:rsidRDefault="00994860" w:rsidP="00994860">
      <w:pPr>
        <w:jc w:val="center"/>
        <w:rPr>
          <w:rFonts w:ascii="Palatino Linotype" w:hAnsi="Palatino Linotype"/>
          <w:b/>
          <w:bCs/>
          <w:sz w:val="22"/>
          <w:szCs w:val="22"/>
          <w:highlight w:val="yellow"/>
        </w:rPr>
      </w:pPr>
    </w:p>
    <w:p w:rsidR="00994860" w:rsidRDefault="00994860" w:rsidP="00994860">
      <w:pPr>
        <w:jc w:val="center"/>
        <w:rPr>
          <w:rFonts w:ascii="Palatino Linotype" w:hAnsi="Palatino Linotype"/>
          <w:b/>
          <w:bCs/>
          <w:sz w:val="22"/>
          <w:szCs w:val="22"/>
          <w:highlight w:val="yellow"/>
        </w:rPr>
      </w:pPr>
    </w:p>
    <w:p w:rsidR="00994860" w:rsidRDefault="00994860" w:rsidP="00994860">
      <w:pPr>
        <w:jc w:val="center"/>
        <w:rPr>
          <w:rFonts w:ascii="Palatino Linotype" w:hAnsi="Palatino Linotype"/>
          <w:b/>
          <w:bCs/>
          <w:sz w:val="22"/>
          <w:szCs w:val="22"/>
          <w:highlight w:val="yellow"/>
        </w:rPr>
      </w:pPr>
    </w:p>
    <w:p w:rsidR="00994860" w:rsidRDefault="00994860" w:rsidP="00994860">
      <w:pPr>
        <w:jc w:val="center"/>
        <w:rPr>
          <w:rFonts w:ascii="Palatino Linotype" w:hAnsi="Palatino Linotype"/>
          <w:b/>
          <w:bCs/>
          <w:sz w:val="22"/>
          <w:szCs w:val="22"/>
          <w:highlight w:val="yellow"/>
        </w:rPr>
      </w:pPr>
    </w:p>
    <w:p w:rsidR="00994860" w:rsidRDefault="00994860" w:rsidP="00994860">
      <w:pPr>
        <w:jc w:val="center"/>
        <w:rPr>
          <w:rFonts w:ascii="Palatino Linotype" w:hAnsi="Palatino Linotype"/>
          <w:b/>
          <w:bCs/>
          <w:sz w:val="22"/>
          <w:szCs w:val="22"/>
          <w:highlight w:val="yellow"/>
        </w:rPr>
      </w:pPr>
    </w:p>
    <w:p w:rsidR="00994860" w:rsidRDefault="00994860" w:rsidP="00994860">
      <w:pPr>
        <w:jc w:val="center"/>
        <w:rPr>
          <w:rFonts w:ascii="Palatino Linotype" w:hAnsi="Palatino Linotype"/>
          <w:b/>
          <w:bCs/>
          <w:sz w:val="22"/>
          <w:szCs w:val="22"/>
          <w:highlight w:val="yellow"/>
        </w:rPr>
      </w:pPr>
    </w:p>
    <w:p w:rsidR="00994860" w:rsidRDefault="00994860" w:rsidP="00994860">
      <w:pPr>
        <w:jc w:val="center"/>
        <w:rPr>
          <w:rFonts w:ascii="Palatino Linotype" w:hAnsi="Palatino Linotype"/>
          <w:b/>
          <w:bCs/>
          <w:sz w:val="22"/>
          <w:szCs w:val="22"/>
          <w:highlight w:val="yellow"/>
        </w:rPr>
      </w:pPr>
    </w:p>
    <w:p w:rsidR="00994860" w:rsidRDefault="00994860" w:rsidP="00994860">
      <w:pPr>
        <w:jc w:val="center"/>
        <w:rPr>
          <w:rFonts w:ascii="Palatino Linotype" w:hAnsi="Palatino Linotype"/>
          <w:b/>
          <w:bCs/>
          <w:sz w:val="22"/>
          <w:szCs w:val="22"/>
          <w:highlight w:val="yellow"/>
        </w:rPr>
      </w:pPr>
    </w:p>
    <w:p w:rsidR="00994860" w:rsidRDefault="00994860" w:rsidP="00994860">
      <w:pPr>
        <w:jc w:val="center"/>
        <w:rPr>
          <w:rFonts w:ascii="Palatino Linotype" w:hAnsi="Palatino Linotype"/>
          <w:b/>
          <w:bCs/>
          <w:sz w:val="22"/>
          <w:szCs w:val="22"/>
          <w:highlight w:val="yellow"/>
        </w:rPr>
      </w:pPr>
    </w:p>
    <w:p w:rsidR="00994860" w:rsidRDefault="00994860" w:rsidP="00994860">
      <w:pPr>
        <w:jc w:val="center"/>
        <w:rPr>
          <w:rFonts w:ascii="Palatino Linotype" w:hAnsi="Palatino Linotype"/>
          <w:b/>
          <w:bCs/>
          <w:sz w:val="22"/>
          <w:szCs w:val="22"/>
          <w:highlight w:val="yellow"/>
        </w:rPr>
      </w:pPr>
    </w:p>
    <w:p w:rsidR="00AD7686" w:rsidRDefault="00AD7686">
      <w:pPr>
        <w:rPr>
          <w:rFonts w:ascii="Palatino Linotype" w:hAnsi="Palatino Linotype"/>
          <w:b/>
          <w:bCs/>
          <w:sz w:val="22"/>
          <w:szCs w:val="22"/>
        </w:rPr>
      </w:pPr>
      <w:r>
        <w:rPr>
          <w:rFonts w:ascii="Palatino Linotype" w:hAnsi="Palatino Linotype"/>
          <w:b/>
          <w:bCs/>
          <w:sz w:val="22"/>
          <w:szCs w:val="22"/>
        </w:rPr>
        <w:br w:type="page"/>
      </w:r>
    </w:p>
    <w:p w:rsidR="00994860" w:rsidRPr="00E00B96" w:rsidRDefault="00994860" w:rsidP="00994860">
      <w:pPr>
        <w:jc w:val="center"/>
        <w:rPr>
          <w:rFonts w:ascii="Palatino Linotype" w:hAnsi="Palatino Linotype"/>
          <w:b/>
          <w:bCs/>
          <w:sz w:val="22"/>
          <w:szCs w:val="22"/>
        </w:rPr>
      </w:pPr>
      <w:r w:rsidRPr="00E00B96">
        <w:rPr>
          <w:rFonts w:ascii="Palatino Linotype" w:hAnsi="Palatino Linotype"/>
          <w:b/>
          <w:bCs/>
          <w:sz w:val="22"/>
          <w:szCs w:val="22"/>
        </w:rPr>
        <w:lastRenderedPageBreak/>
        <w:t>Figure 5: Performance of NSE Indices</w:t>
      </w:r>
    </w:p>
    <w:p w:rsidR="00994860" w:rsidRPr="00C256D7" w:rsidRDefault="00994860" w:rsidP="00994860">
      <w:pPr>
        <w:tabs>
          <w:tab w:val="left" w:pos="6225"/>
        </w:tabs>
        <w:rPr>
          <w:noProof/>
          <w:highlight w:val="yellow"/>
          <w:lang w:val="en-US" w:bidi="hi-IN"/>
        </w:rPr>
      </w:pPr>
    </w:p>
    <w:p w:rsidR="00994860" w:rsidRPr="00C256D7" w:rsidRDefault="00994860" w:rsidP="00994860">
      <w:pPr>
        <w:tabs>
          <w:tab w:val="left" w:pos="6225"/>
        </w:tabs>
        <w:rPr>
          <w:rFonts w:ascii="Palatino Linotype" w:eastAsia="Times New Roman" w:hAnsi="Palatino Linotype"/>
          <w:b/>
          <w:bCs/>
          <w:sz w:val="22"/>
          <w:szCs w:val="22"/>
          <w:highlight w:val="yellow"/>
        </w:rPr>
      </w:pPr>
      <w:r>
        <w:rPr>
          <w:noProof/>
          <w:lang w:val="en-IN" w:eastAsia="en-IN"/>
        </w:rPr>
        <w:drawing>
          <wp:inline distT="0" distB="0" distL="0" distR="0" wp14:anchorId="4FF62D8F" wp14:editId="323EA61C">
            <wp:extent cx="5953125" cy="2238375"/>
            <wp:effectExtent l="0" t="0" r="9525" b="952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994860" w:rsidRPr="00C256D7" w:rsidRDefault="00994860" w:rsidP="00994860">
      <w:pPr>
        <w:tabs>
          <w:tab w:val="left" w:pos="6225"/>
        </w:tabs>
        <w:rPr>
          <w:rFonts w:ascii="Palatino Linotype" w:eastAsia="Times New Roman" w:hAnsi="Palatino Linotype"/>
          <w:b/>
          <w:bCs/>
          <w:sz w:val="22"/>
          <w:szCs w:val="22"/>
          <w:highlight w:val="yellow"/>
        </w:rPr>
      </w:pPr>
    </w:p>
    <w:p w:rsidR="00994860" w:rsidRPr="001032F6" w:rsidRDefault="00994860" w:rsidP="00994860">
      <w:pPr>
        <w:tabs>
          <w:tab w:val="left" w:pos="6225"/>
        </w:tabs>
        <w:rPr>
          <w:rFonts w:ascii="Palatino Linotype" w:eastAsia="Times New Roman" w:hAnsi="Palatino Linotype"/>
          <w:b/>
          <w:bCs/>
          <w:sz w:val="22"/>
          <w:szCs w:val="22"/>
        </w:rPr>
      </w:pPr>
      <w:r w:rsidRPr="001032F6">
        <w:rPr>
          <w:rFonts w:ascii="Palatino Linotype" w:eastAsia="Times New Roman" w:hAnsi="Palatino Linotype"/>
          <w:b/>
          <w:bCs/>
          <w:sz w:val="22"/>
          <w:szCs w:val="22"/>
        </w:rPr>
        <w:tab/>
      </w:r>
    </w:p>
    <w:p w:rsidR="00994860" w:rsidRPr="00856CD9" w:rsidRDefault="00994860" w:rsidP="00994860">
      <w:pPr>
        <w:widowControl w:val="0"/>
        <w:numPr>
          <w:ilvl w:val="0"/>
          <w:numId w:val="2"/>
        </w:numPr>
        <w:contextualSpacing/>
        <w:jc w:val="both"/>
        <w:rPr>
          <w:rFonts w:ascii="Palatino Linotype" w:hAnsi="Palatino Linotype"/>
          <w:b/>
          <w:color w:val="000000" w:themeColor="text1"/>
          <w:sz w:val="22"/>
          <w:szCs w:val="22"/>
        </w:rPr>
      </w:pPr>
      <w:r w:rsidRPr="00856CD9">
        <w:rPr>
          <w:rFonts w:ascii="Palatino Linotype" w:hAnsi="Palatino Linotype"/>
          <w:b/>
          <w:color w:val="000000" w:themeColor="text1"/>
          <w:sz w:val="22"/>
          <w:szCs w:val="22"/>
        </w:rPr>
        <w:t xml:space="preserve">Trends in Depository Accounts </w:t>
      </w:r>
    </w:p>
    <w:p w:rsidR="00994860" w:rsidRPr="00856CD9" w:rsidRDefault="00994860" w:rsidP="00994860">
      <w:pPr>
        <w:widowControl w:val="0"/>
        <w:jc w:val="both"/>
        <w:rPr>
          <w:rFonts w:ascii="Palatino Linotype" w:hAnsi="Palatino Linotype"/>
          <w:b/>
          <w:color w:val="000000" w:themeColor="text1"/>
          <w:sz w:val="22"/>
          <w:szCs w:val="22"/>
        </w:rPr>
      </w:pPr>
    </w:p>
    <w:p w:rsidR="00994860" w:rsidRPr="00856CD9" w:rsidRDefault="00994860" w:rsidP="00994860">
      <w:pPr>
        <w:jc w:val="both"/>
        <w:rPr>
          <w:rFonts w:ascii="Palatino Linotype" w:eastAsia="Times New Roman" w:hAnsi="Palatino Linotype"/>
          <w:color w:val="000000" w:themeColor="text1"/>
          <w:sz w:val="22"/>
          <w:szCs w:val="22"/>
        </w:rPr>
      </w:pPr>
      <w:r w:rsidRPr="00856CD9">
        <w:rPr>
          <w:rFonts w:ascii="Palatino Linotype" w:eastAsia="Times New Roman" w:hAnsi="Palatino Linotype"/>
          <w:color w:val="000000" w:themeColor="text1"/>
          <w:sz w:val="22"/>
          <w:szCs w:val="22"/>
        </w:rPr>
        <w:t xml:space="preserve">At the end of February 2019, there were 184 lakh demat accounts at NSDL and 170 lakh demat accounts at CDSL. At NSDL, till February 2019, 6,136 listed companies signed up to make their shares available for dematerialisation while at CDSL, 6,886 listed companies signed up. </w:t>
      </w:r>
    </w:p>
    <w:p w:rsidR="00994860" w:rsidRPr="00DA2E0B" w:rsidRDefault="00994860" w:rsidP="00994860">
      <w:pPr>
        <w:jc w:val="both"/>
        <w:rPr>
          <w:rFonts w:ascii="Palatino Linotype" w:hAnsi="Palatino Linotype"/>
          <w:b/>
          <w:sz w:val="22"/>
          <w:szCs w:val="22"/>
        </w:rPr>
      </w:pPr>
    </w:p>
    <w:p w:rsidR="00994860" w:rsidRPr="00DA2E0B" w:rsidRDefault="00994860" w:rsidP="00994860">
      <w:pPr>
        <w:jc w:val="both"/>
        <w:rPr>
          <w:rFonts w:ascii="Palatino Linotype" w:hAnsi="Palatino Linotype"/>
          <w:b/>
          <w:sz w:val="22"/>
          <w:szCs w:val="22"/>
        </w:rPr>
      </w:pPr>
      <w:r w:rsidRPr="00DA2E0B">
        <w:rPr>
          <w:rFonts w:ascii="Palatino Linotype" w:hAnsi="Palatino Linotype"/>
          <w:b/>
          <w:sz w:val="22"/>
          <w:szCs w:val="22"/>
        </w:rPr>
        <w:t>Trends in Derivatives Segment</w:t>
      </w:r>
      <w:r w:rsidRPr="00DA2E0B">
        <w:rPr>
          <w:rFonts w:ascii="Palatino Linotype" w:hAnsi="Palatino Linotype"/>
          <w:b/>
          <w:sz w:val="22"/>
          <w:szCs w:val="22"/>
        </w:rPr>
        <w:tab/>
      </w:r>
    </w:p>
    <w:p w:rsidR="00994860" w:rsidRPr="00DA2E0B" w:rsidRDefault="00994860" w:rsidP="00994860">
      <w:pPr>
        <w:widowControl w:val="0"/>
        <w:jc w:val="both"/>
        <w:rPr>
          <w:rFonts w:ascii="Palatino Linotype" w:eastAsia="Times New Roman" w:hAnsi="Palatino Linotype"/>
          <w:sz w:val="22"/>
          <w:szCs w:val="22"/>
        </w:rPr>
      </w:pPr>
    </w:p>
    <w:p w:rsidR="00994860" w:rsidRPr="00DA2E0B" w:rsidRDefault="00994860" w:rsidP="00994860">
      <w:pPr>
        <w:widowControl w:val="0"/>
        <w:numPr>
          <w:ilvl w:val="0"/>
          <w:numId w:val="3"/>
        </w:numPr>
        <w:contextualSpacing/>
        <w:jc w:val="both"/>
        <w:outlineLvl w:val="0"/>
        <w:rPr>
          <w:rFonts w:ascii="Palatino Linotype" w:hAnsi="Palatino Linotype"/>
          <w:b/>
          <w:sz w:val="22"/>
          <w:szCs w:val="22"/>
        </w:rPr>
      </w:pPr>
      <w:r w:rsidRPr="00DA2E0B">
        <w:rPr>
          <w:rFonts w:ascii="Palatino Linotype" w:hAnsi="Palatino Linotype"/>
          <w:b/>
          <w:sz w:val="22"/>
          <w:szCs w:val="22"/>
        </w:rPr>
        <w:t>Equity Derivatives</w:t>
      </w:r>
    </w:p>
    <w:p w:rsidR="00994860" w:rsidRPr="00DA2E0B" w:rsidRDefault="00994860" w:rsidP="00994860">
      <w:pPr>
        <w:jc w:val="both"/>
        <w:rPr>
          <w:rFonts w:ascii="Palatino Linotype" w:eastAsia="Times New Roman" w:hAnsi="Palatino Linotype"/>
          <w:sz w:val="22"/>
          <w:szCs w:val="22"/>
        </w:rPr>
      </w:pPr>
    </w:p>
    <w:p w:rsidR="00994860" w:rsidRPr="00DA2E0B" w:rsidRDefault="00994860" w:rsidP="00994860">
      <w:pPr>
        <w:jc w:val="both"/>
        <w:rPr>
          <w:rFonts w:ascii="Palatino Linotype" w:eastAsia="Times New Roman" w:hAnsi="Palatino Linotype"/>
          <w:color w:val="000000" w:themeColor="text1"/>
          <w:sz w:val="22"/>
          <w:szCs w:val="22"/>
        </w:rPr>
      </w:pPr>
      <w:r w:rsidRPr="00DA2E0B">
        <w:rPr>
          <w:rFonts w:ascii="Palatino Linotype" w:eastAsia="Times New Roman" w:hAnsi="Palatino Linotype"/>
          <w:color w:val="000000" w:themeColor="text1"/>
          <w:sz w:val="22"/>
          <w:szCs w:val="22"/>
        </w:rPr>
        <w:t>Over the years, the Indian equity derivatives segment has grown exponentially and is continuing to maintain its momentum in the current financial year as well.  Among the three exchanges in the equity derivative market ecosystem, viz., NSE, BSE and MSEI, NSE is dominating the market with almost 100 per cent share in equity derivatives. There is insignificant trading taking place at BSE and MSEI.</w:t>
      </w:r>
    </w:p>
    <w:p w:rsidR="00994860" w:rsidRPr="000E76D0" w:rsidRDefault="00994860" w:rsidP="00994860">
      <w:pPr>
        <w:jc w:val="both"/>
        <w:rPr>
          <w:rFonts w:ascii="Palatino Linotype" w:eastAsia="Times New Roman" w:hAnsi="Palatino Linotype"/>
          <w:color w:val="FF0000"/>
          <w:sz w:val="22"/>
          <w:szCs w:val="22"/>
        </w:rPr>
      </w:pPr>
      <w:r w:rsidRPr="00C256D7">
        <w:rPr>
          <w:rFonts w:ascii="Palatino Linotype" w:eastAsia="Times New Roman" w:hAnsi="Palatino Linotype"/>
          <w:color w:val="FF0000"/>
          <w:sz w:val="22"/>
          <w:szCs w:val="22"/>
          <w:highlight w:val="yellow"/>
        </w:rPr>
        <w:t xml:space="preserve"> </w:t>
      </w:r>
    </w:p>
    <w:p w:rsidR="00994860" w:rsidRPr="00AC22A0" w:rsidRDefault="00994860" w:rsidP="00994860">
      <w:pPr>
        <w:jc w:val="both"/>
        <w:rPr>
          <w:rFonts w:ascii="Palatino Linotype" w:eastAsia="Times New Roman" w:hAnsi="Palatino Linotype"/>
          <w:b/>
          <w:bCs/>
          <w:color w:val="000000" w:themeColor="text1"/>
          <w:sz w:val="22"/>
          <w:szCs w:val="22"/>
          <w:highlight w:val="yellow"/>
        </w:rPr>
      </w:pPr>
      <w:r w:rsidRPr="000E76D0">
        <w:rPr>
          <w:rFonts w:ascii="Palatino Linotype" w:eastAsia="Times New Roman" w:hAnsi="Palatino Linotype"/>
          <w:color w:val="000000" w:themeColor="text1"/>
          <w:sz w:val="22"/>
          <w:szCs w:val="22"/>
        </w:rPr>
        <w:t xml:space="preserve">During February 2019, the notional turnover at NSE decreased to </w:t>
      </w:r>
      <w:r w:rsidRPr="000E76D0">
        <w:rPr>
          <w:rFonts w:ascii="Tahoma" w:eastAsia="Times New Roman" w:hAnsi="Tahoma" w:cs="Tahoma"/>
          <w:color w:val="000000" w:themeColor="text1"/>
          <w:sz w:val="22"/>
          <w:szCs w:val="22"/>
        </w:rPr>
        <w:t xml:space="preserve">₹ </w:t>
      </w:r>
      <w:r w:rsidRPr="000E76D0">
        <w:rPr>
          <w:rFonts w:ascii="Palatino Linotype" w:eastAsia="Times New Roman" w:hAnsi="Palatino Linotype"/>
          <w:color w:val="000000" w:themeColor="text1"/>
          <w:sz w:val="22"/>
          <w:szCs w:val="22"/>
        </w:rPr>
        <w:t>1, 89, 56,225</w:t>
      </w:r>
      <w:r w:rsidRPr="000E76D0">
        <w:rPr>
          <w:rFonts w:ascii="Palatino Linotype" w:eastAsia="Times New Roman" w:hAnsi="Palatino Linotype"/>
          <w:b/>
          <w:bCs/>
          <w:color w:val="000000" w:themeColor="text1"/>
          <w:sz w:val="22"/>
          <w:szCs w:val="22"/>
        </w:rPr>
        <w:t xml:space="preserve"> </w:t>
      </w:r>
      <w:r w:rsidRPr="000E76D0">
        <w:rPr>
          <w:rFonts w:ascii="Palatino Linotype" w:eastAsia="Times New Roman" w:hAnsi="Palatino Linotype"/>
          <w:color w:val="000000" w:themeColor="text1"/>
          <w:sz w:val="22"/>
          <w:szCs w:val="22"/>
        </w:rPr>
        <w:t>crore from</w:t>
      </w:r>
      <w:r w:rsidRPr="000E76D0">
        <w:rPr>
          <w:rFonts w:ascii="Tahoma" w:eastAsia="Times New Roman" w:hAnsi="Tahoma" w:cs="Tahoma"/>
          <w:color w:val="000000" w:themeColor="text1"/>
          <w:sz w:val="22"/>
          <w:szCs w:val="22"/>
        </w:rPr>
        <w:t xml:space="preserve">            ₹</w:t>
      </w:r>
      <w:r w:rsidRPr="000E76D0">
        <w:rPr>
          <w:rFonts w:ascii="Palatino Linotype" w:eastAsia="Times New Roman" w:hAnsi="Palatino Linotype" w:cs="Garamond"/>
          <w:color w:val="000000" w:themeColor="text1"/>
          <w:sz w:val="22"/>
          <w:szCs w:val="22"/>
        </w:rPr>
        <w:t xml:space="preserve">2, 20, 84,835 crore during </w:t>
      </w:r>
      <w:r w:rsidRPr="000E76D0">
        <w:rPr>
          <w:rFonts w:ascii="Palatino Linotype" w:eastAsia="Times New Roman" w:hAnsi="Palatino Linotype"/>
          <w:color w:val="000000" w:themeColor="text1"/>
          <w:sz w:val="22"/>
          <w:szCs w:val="22"/>
        </w:rPr>
        <w:t>January 2019</w:t>
      </w:r>
      <w:r w:rsidRPr="000E76D0">
        <w:rPr>
          <w:rFonts w:ascii="Palatino Linotype" w:eastAsia="Times New Roman" w:hAnsi="Palatino Linotype" w:cs="Garamond"/>
          <w:color w:val="000000" w:themeColor="text1"/>
          <w:sz w:val="22"/>
          <w:szCs w:val="22"/>
        </w:rPr>
        <w:t>. Index options accounted for 86.3 per cent of the total notional turnover during the month in the F&amp;O segment at NSE.</w:t>
      </w:r>
      <w:r w:rsidRPr="000E76D0">
        <w:rPr>
          <w:rFonts w:ascii="Palatino Linotype" w:eastAsia="Times New Roman" w:hAnsi="Palatino Linotype"/>
          <w:color w:val="000000" w:themeColor="text1"/>
          <w:sz w:val="22"/>
          <w:szCs w:val="22"/>
        </w:rPr>
        <w:t xml:space="preserve"> The notional turnover of index futures decreased by 12.5 per cent in February 2019 and that of stock futures also decreased by 9.5 per cent over the previous month. </w:t>
      </w:r>
    </w:p>
    <w:p w:rsidR="00994860" w:rsidRPr="00C256D7" w:rsidRDefault="00994860" w:rsidP="00994860">
      <w:pPr>
        <w:jc w:val="both"/>
        <w:rPr>
          <w:rFonts w:ascii="Palatino Linotype" w:hAnsi="Palatino Linotype"/>
          <w:b/>
          <w:sz w:val="22"/>
          <w:szCs w:val="22"/>
          <w:highlight w:val="yellow"/>
        </w:rPr>
      </w:pPr>
    </w:p>
    <w:p w:rsidR="00994860" w:rsidRPr="00C256D7" w:rsidRDefault="00994860" w:rsidP="00994860">
      <w:pPr>
        <w:jc w:val="both"/>
        <w:rPr>
          <w:rFonts w:ascii="Palatino Linotype" w:hAnsi="Palatino Linotype"/>
          <w:b/>
          <w:sz w:val="22"/>
          <w:szCs w:val="22"/>
          <w:highlight w:val="yellow"/>
        </w:rPr>
      </w:pPr>
    </w:p>
    <w:p w:rsidR="00994860" w:rsidRDefault="00994860" w:rsidP="00994860">
      <w:pPr>
        <w:jc w:val="center"/>
        <w:rPr>
          <w:rFonts w:ascii="Palatino Linotype" w:hAnsi="Palatino Linotype"/>
          <w:b/>
          <w:sz w:val="22"/>
          <w:szCs w:val="22"/>
        </w:rPr>
      </w:pPr>
    </w:p>
    <w:p w:rsidR="00994860" w:rsidRDefault="00994860" w:rsidP="00994860">
      <w:pPr>
        <w:jc w:val="center"/>
        <w:rPr>
          <w:rFonts w:ascii="Palatino Linotype" w:hAnsi="Palatino Linotype"/>
          <w:b/>
          <w:sz w:val="22"/>
          <w:szCs w:val="22"/>
        </w:rPr>
      </w:pPr>
    </w:p>
    <w:p w:rsidR="00994860" w:rsidRDefault="00994860" w:rsidP="00994860">
      <w:pPr>
        <w:jc w:val="center"/>
        <w:rPr>
          <w:rFonts w:ascii="Palatino Linotype" w:hAnsi="Palatino Linotype"/>
          <w:b/>
          <w:sz w:val="22"/>
          <w:szCs w:val="22"/>
        </w:rPr>
      </w:pPr>
    </w:p>
    <w:p w:rsidR="00994860" w:rsidRDefault="00994860" w:rsidP="00994860">
      <w:pPr>
        <w:jc w:val="center"/>
        <w:rPr>
          <w:rFonts w:ascii="Palatino Linotype" w:hAnsi="Palatino Linotype"/>
          <w:b/>
          <w:sz w:val="22"/>
          <w:szCs w:val="22"/>
        </w:rPr>
      </w:pPr>
    </w:p>
    <w:p w:rsidR="00994860" w:rsidRDefault="00994860" w:rsidP="00994860">
      <w:pPr>
        <w:jc w:val="center"/>
        <w:rPr>
          <w:rFonts w:ascii="Palatino Linotype" w:hAnsi="Palatino Linotype"/>
          <w:b/>
          <w:sz w:val="22"/>
          <w:szCs w:val="22"/>
        </w:rPr>
      </w:pPr>
    </w:p>
    <w:p w:rsidR="00994860" w:rsidRDefault="00994860" w:rsidP="00994860">
      <w:pPr>
        <w:jc w:val="center"/>
        <w:rPr>
          <w:rFonts w:ascii="Palatino Linotype" w:hAnsi="Palatino Linotype"/>
          <w:b/>
          <w:sz w:val="22"/>
          <w:szCs w:val="22"/>
        </w:rPr>
      </w:pPr>
    </w:p>
    <w:p w:rsidR="00994860" w:rsidRDefault="00994860" w:rsidP="00994860">
      <w:pPr>
        <w:jc w:val="center"/>
        <w:rPr>
          <w:rFonts w:ascii="Palatino Linotype" w:hAnsi="Palatino Linotype"/>
          <w:b/>
          <w:sz w:val="22"/>
          <w:szCs w:val="22"/>
        </w:rPr>
      </w:pPr>
    </w:p>
    <w:p w:rsidR="00994860" w:rsidRDefault="00994860" w:rsidP="00994860">
      <w:pPr>
        <w:jc w:val="center"/>
        <w:rPr>
          <w:rFonts w:ascii="Palatino Linotype" w:hAnsi="Palatino Linotype"/>
          <w:b/>
          <w:sz w:val="22"/>
          <w:szCs w:val="22"/>
        </w:rPr>
      </w:pPr>
    </w:p>
    <w:p w:rsidR="00AD7686" w:rsidRDefault="00AD7686">
      <w:pPr>
        <w:rPr>
          <w:rFonts w:ascii="Palatino Linotype" w:hAnsi="Palatino Linotype"/>
          <w:b/>
          <w:sz w:val="22"/>
          <w:szCs w:val="22"/>
        </w:rPr>
      </w:pPr>
      <w:r>
        <w:rPr>
          <w:rFonts w:ascii="Palatino Linotype" w:hAnsi="Palatino Linotype"/>
          <w:b/>
          <w:sz w:val="22"/>
          <w:szCs w:val="22"/>
        </w:rPr>
        <w:br w:type="page"/>
      </w:r>
    </w:p>
    <w:p w:rsidR="00994860" w:rsidRPr="000E76D0" w:rsidRDefault="00994860" w:rsidP="00994860">
      <w:pPr>
        <w:jc w:val="center"/>
        <w:rPr>
          <w:rFonts w:ascii="Palatino Linotype" w:hAnsi="Palatino Linotype"/>
          <w:b/>
          <w:sz w:val="22"/>
          <w:szCs w:val="22"/>
        </w:rPr>
      </w:pPr>
      <w:r w:rsidRPr="000E76D0">
        <w:rPr>
          <w:rFonts w:ascii="Palatino Linotype" w:hAnsi="Palatino Linotype"/>
          <w:b/>
          <w:sz w:val="22"/>
          <w:szCs w:val="22"/>
        </w:rPr>
        <w:lastRenderedPageBreak/>
        <w:t>Figure 6: Trends of Equity Derivatives Segment at NSE (</w:t>
      </w:r>
      <w:r w:rsidRPr="000E76D0">
        <w:rPr>
          <w:rFonts w:ascii="Times New Roman" w:hAnsi="Times New Roman"/>
          <w:b/>
          <w:sz w:val="22"/>
          <w:szCs w:val="22"/>
        </w:rPr>
        <w:t>₹</w:t>
      </w:r>
      <w:r w:rsidRPr="000E76D0">
        <w:rPr>
          <w:rFonts w:ascii="Palatino Linotype" w:hAnsi="Palatino Linotype" w:cs="Garamond"/>
          <w:b/>
          <w:sz w:val="22"/>
          <w:szCs w:val="22"/>
        </w:rPr>
        <w:t xml:space="preserve"> </w:t>
      </w:r>
      <w:r w:rsidRPr="000E76D0">
        <w:rPr>
          <w:rFonts w:ascii="Palatino Linotype" w:hAnsi="Palatino Linotype"/>
          <w:b/>
          <w:sz w:val="22"/>
          <w:szCs w:val="22"/>
        </w:rPr>
        <w:t>crore)</w:t>
      </w:r>
    </w:p>
    <w:p w:rsidR="00994860" w:rsidRPr="00C256D7" w:rsidRDefault="00994860" w:rsidP="00994860">
      <w:pPr>
        <w:jc w:val="both"/>
        <w:rPr>
          <w:rFonts w:ascii="Palatino Linotype" w:eastAsia="Times New Roman" w:hAnsi="Palatino Linotype"/>
          <w:b/>
          <w:sz w:val="22"/>
          <w:szCs w:val="22"/>
          <w:highlight w:val="yellow"/>
        </w:rPr>
      </w:pPr>
    </w:p>
    <w:p w:rsidR="00994860" w:rsidRPr="00C256D7" w:rsidRDefault="00994860" w:rsidP="00994860">
      <w:pPr>
        <w:jc w:val="both"/>
        <w:rPr>
          <w:rFonts w:ascii="Palatino Linotype" w:eastAsia="Times New Roman" w:hAnsi="Palatino Linotype"/>
          <w:b/>
          <w:sz w:val="22"/>
          <w:szCs w:val="22"/>
          <w:highlight w:val="yellow"/>
        </w:rPr>
      </w:pPr>
      <w:r>
        <w:rPr>
          <w:noProof/>
          <w:lang w:val="en-IN" w:eastAsia="en-IN"/>
        </w:rPr>
        <w:drawing>
          <wp:inline distT="0" distB="0" distL="0" distR="0" wp14:anchorId="28774DE0" wp14:editId="03F34BB7">
            <wp:extent cx="5544230" cy="2653053"/>
            <wp:effectExtent l="0" t="0" r="18415" b="1397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994860" w:rsidRPr="00C256D7" w:rsidRDefault="00994860" w:rsidP="00994860">
      <w:pPr>
        <w:jc w:val="both"/>
        <w:rPr>
          <w:rFonts w:ascii="Palatino Linotype" w:eastAsia="Times New Roman" w:hAnsi="Palatino Linotype"/>
          <w:b/>
          <w:sz w:val="22"/>
          <w:szCs w:val="22"/>
          <w:highlight w:val="yellow"/>
        </w:rPr>
      </w:pPr>
    </w:p>
    <w:p w:rsidR="00994860" w:rsidRDefault="00994860" w:rsidP="00994860">
      <w:pPr>
        <w:jc w:val="both"/>
        <w:rPr>
          <w:rFonts w:ascii="Palatino Linotype" w:eastAsia="Times New Roman" w:hAnsi="Palatino Linotype"/>
          <w:color w:val="000000" w:themeColor="text1"/>
          <w:sz w:val="22"/>
          <w:szCs w:val="22"/>
        </w:rPr>
      </w:pPr>
      <w:r w:rsidRPr="00562052">
        <w:rPr>
          <w:rFonts w:ascii="Palatino Linotype" w:eastAsia="Times New Roman" w:hAnsi="Palatino Linotype"/>
          <w:color w:val="000000" w:themeColor="text1"/>
          <w:sz w:val="22"/>
          <w:szCs w:val="22"/>
        </w:rPr>
        <w:t xml:space="preserve">Further, monthly notional turnover of put options on index and call options on index decreased by </w:t>
      </w:r>
      <w:r>
        <w:rPr>
          <w:rFonts w:ascii="Palatino Linotype" w:eastAsia="Times New Roman" w:hAnsi="Palatino Linotype"/>
          <w:color w:val="000000" w:themeColor="text1"/>
          <w:sz w:val="22"/>
          <w:szCs w:val="22"/>
        </w:rPr>
        <w:t>13.1</w:t>
      </w:r>
      <w:r w:rsidRPr="00562052">
        <w:rPr>
          <w:rFonts w:ascii="Palatino Linotype" w:eastAsia="Times New Roman" w:hAnsi="Palatino Linotype"/>
          <w:color w:val="000000" w:themeColor="text1"/>
          <w:sz w:val="22"/>
          <w:szCs w:val="22"/>
        </w:rPr>
        <w:t xml:space="preserve"> per cent, and </w:t>
      </w:r>
      <w:r>
        <w:rPr>
          <w:rFonts w:ascii="Palatino Linotype" w:eastAsia="Times New Roman" w:hAnsi="Palatino Linotype"/>
          <w:color w:val="000000" w:themeColor="text1"/>
          <w:sz w:val="22"/>
          <w:szCs w:val="22"/>
        </w:rPr>
        <w:t>16.4</w:t>
      </w:r>
      <w:r w:rsidRPr="00562052">
        <w:rPr>
          <w:rFonts w:ascii="Palatino Linotype" w:eastAsia="Times New Roman" w:hAnsi="Palatino Linotype"/>
          <w:color w:val="000000" w:themeColor="text1"/>
          <w:sz w:val="22"/>
          <w:szCs w:val="22"/>
        </w:rPr>
        <w:t xml:space="preserve"> </w:t>
      </w:r>
      <w:r w:rsidRPr="0055272B">
        <w:rPr>
          <w:rFonts w:ascii="Palatino Linotype" w:eastAsia="Times New Roman" w:hAnsi="Palatino Linotype"/>
          <w:color w:val="000000" w:themeColor="text1"/>
          <w:sz w:val="22"/>
          <w:szCs w:val="22"/>
        </w:rPr>
        <w:t xml:space="preserve">per cent respectively. In addition, monthly notional turnover of put options on stock decreased by 4.1 per cent and call options on stock decreased by 10.9 per cent over previous month. The open interest in value terms in the equity derivative segment of NSE decreased by 4.5 per cent to </w:t>
      </w:r>
      <w:r w:rsidRPr="0055272B">
        <w:rPr>
          <w:rFonts w:ascii="Tahoma" w:eastAsia="Times New Roman" w:hAnsi="Tahoma" w:cs="Tahoma"/>
          <w:color w:val="000000" w:themeColor="text1"/>
          <w:sz w:val="22"/>
          <w:szCs w:val="22"/>
        </w:rPr>
        <w:t xml:space="preserve">₹ </w:t>
      </w:r>
      <w:r w:rsidRPr="0055272B">
        <w:rPr>
          <w:rFonts w:ascii="Palatino Linotype" w:eastAsia="Times New Roman" w:hAnsi="Palatino Linotype"/>
          <w:color w:val="000000" w:themeColor="text1"/>
          <w:sz w:val="22"/>
          <w:szCs w:val="22"/>
        </w:rPr>
        <w:t xml:space="preserve">2, 32,144 crore as at end </w:t>
      </w:r>
      <w:r>
        <w:rPr>
          <w:rFonts w:ascii="Palatino Linotype" w:eastAsia="Times New Roman" w:hAnsi="Palatino Linotype"/>
          <w:color w:val="000000" w:themeColor="text1"/>
          <w:sz w:val="22"/>
          <w:szCs w:val="22"/>
        </w:rPr>
        <w:t>February</w:t>
      </w:r>
      <w:r w:rsidRPr="0055272B">
        <w:rPr>
          <w:rFonts w:ascii="Palatino Linotype" w:eastAsia="Times New Roman" w:hAnsi="Palatino Linotype"/>
          <w:color w:val="000000" w:themeColor="text1"/>
          <w:sz w:val="22"/>
          <w:szCs w:val="22"/>
        </w:rPr>
        <w:t xml:space="preserve"> 2019 from </w:t>
      </w:r>
      <w:r w:rsidRPr="0055272B">
        <w:rPr>
          <w:rFonts w:ascii="Tahoma" w:eastAsia="Times New Roman" w:hAnsi="Tahoma" w:cs="Tahoma"/>
          <w:color w:val="000000" w:themeColor="text1"/>
          <w:sz w:val="22"/>
          <w:szCs w:val="22"/>
        </w:rPr>
        <w:t>₹</w:t>
      </w:r>
      <w:r w:rsidRPr="0055272B">
        <w:rPr>
          <w:rFonts w:ascii="Palatino Linotype" w:eastAsia="Times New Roman" w:hAnsi="Palatino Linotype"/>
          <w:color w:val="000000" w:themeColor="text1"/>
          <w:sz w:val="22"/>
          <w:szCs w:val="22"/>
        </w:rPr>
        <w:t xml:space="preserve"> 2, 43,146</w:t>
      </w:r>
      <w:r w:rsidRPr="0055272B">
        <w:rPr>
          <w:rFonts w:ascii="Tahoma" w:eastAsia="Times New Roman" w:hAnsi="Tahoma" w:cs="Tahoma"/>
          <w:color w:val="000000" w:themeColor="text1"/>
          <w:sz w:val="22"/>
          <w:szCs w:val="22"/>
        </w:rPr>
        <w:t xml:space="preserve"> </w:t>
      </w:r>
      <w:r w:rsidRPr="0055272B">
        <w:rPr>
          <w:rFonts w:ascii="Palatino Linotype" w:eastAsia="Times New Roman" w:hAnsi="Palatino Linotype"/>
          <w:color w:val="000000" w:themeColor="text1"/>
          <w:sz w:val="22"/>
          <w:szCs w:val="22"/>
        </w:rPr>
        <w:t>crore as at end January 2019.</w:t>
      </w:r>
    </w:p>
    <w:p w:rsidR="00994860" w:rsidRPr="00C256D7" w:rsidRDefault="00994860" w:rsidP="00994860">
      <w:pPr>
        <w:jc w:val="both"/>
        <w:rPr>
          <w:rFonts w:ascii="Garamond" w:eastAsia="Times New Roman" w:hAnsi="Garamond"/>
          <w:b/>
          <w:bCs/>
          <w:sz w:val="20"/>
          <w:szCs w:val="20"/>
          <w:highlight w:val="yellow"/>
          <w:lang w:val="en-US" w:bidi="hi-IN"/>
        </w:rPr>
      </w:pPr>
    </w:p>
    <w:p w:rsidR="00994860" w:rsidRPr="002C6FCE" w:rsidRDefault="00994860" w:rsidP="00994860">
      <w:pPr>
        <w:jc w:val="both"/>
        <w:rPr>
          <w:rFonts w:ascii="Palatino Linotype" w:eastAsia="Times New Roman" w:hAnsi="Palatino Linotype" w:cs="Calibri"/>
          <w:color w:val="000000" w:themeColor="text1"/>
          <w:sz w:val="22"/>
          <w:szCs w:val="22"/>
        </w:rPr>
      </w:pPr>
      <w:r w:rsidRPr="002C6FCE">
        <w:rPr>
          <w:rFonts w:ascii="Palatino Linotype" w:eastAsia="Times New Roman" w:hAnsi="Palatino Linotype"/>
          <w:color w:val="000000" w:themeColor="text1"/>
          <w:sz w:val="22"/>
          <w:szCs w:val="22"/>
        </w:rPr>
        <w:t xml:space="preserve">In February 2019, the equity derivatives segment turnover of BSE was </w:t>
      </w:r>
      <w:r w:rsidRPr="002C6FCE">
        <w:rPr>
          <w:rFonts w:ascii="Times New Roman" w:eastAsia="Times New Roman" w:hAnsi="Times New Roman"/>
          <w:color w:val="000000" w:themeColor="text1"/>
          <w:sz w:val="22"/>
          <w:szCs w:val="22"/>
        </w:rPr>
        <w:t>₹0.8 crore</w:t>
      </w:r>
      <w:r w:rsidRPr="002C6FCE">
        <w:rPr>
          <w:rFonts w:ascii="Palatino Linotype" w:eastAsia="Times New Roman" w:hAnsi="Palatino Linotype"/>
          <w:color w:val="000000" w:themeColor="text1"/>
          <w:sz w:val="22"/>
          <w:szCs w:val="22"/>
        </w:rPr>
        <w:t xml:space="preserve"> compared to </w:t>
      </w:r>
      <w:r w:rsidRPr="002C6FCE">
        <w:rPr>
          <w:rFonts w:ascii="Tahoma" w:eastAsia="Times New Roman" w:hAnsi="Tahoma" w:cs="Tahoma"/>
          <w:color w:val="000000" w:themeColor="text1"/>
          <w:sz w:val="22"/>
          <w:szCs w:val="22"/>
        </w:rPr>
        <w:t xml:space="preserve">₹ </w:t>
      </w:r>
      <w:r w:rsidRPr="002C6FCE">
        <w:rPr>
          <w:rFonts w:ascii="Palatino Linotype" w:eastAsia="Times New Roman" w:hAnsi="Palatino Linotype"/>
          <w:color w:val="000000" w:themeColor="text1"/>
          <w:sz w:val="22"/>
          <w:szCs w:val="22"/>
        </w:rPr>
        <w:t>0.5 crore in January 2019</w:t>
      </w:r>
      <w:r w:rsidRPr="002C6FCE">
        <w:rPr>
          <w:rFonts w:ascii="Palatino Linotype" w:eastAsia="Times New Roman" w:hAnsi="Palatino Linotype" w:cs="Calibri"/>
          <w:color w:val="000000" w:themeColor="text1"/>
          <w:sz w:val="22"/>
          <w:szCs w:val="22"/>
        </w:rPr>
        <w:t>, while t</w:t>
      </w:r>
      <w:r w:rsidRPr="002C6FCE">
        <w:rPr>
          <w:rFonts w:ascii="Palatino Linotype" w:eastAsia="Times New Roman" w:hAnsi="Palatino Linotype"/>
          <w:color w:val="000000" w:themeColor="text1"/>
          <w:sz w:val="22"/>
          <w:szCs w:val="22"/>
        </w:rPr>
        <w:t xml:space="preserve">he open interest in terms of value stood at </w:t>
      </w:r>
      <w:r w:rsidRPr="002C6FCE">
        <w:rPr>
          <w:rFonts w:ascii="Tahoma" w:eastAsia="Times New Roman" w:hAnsi="Tahoma" w:cs="Tahoma"/>
          <w:color w:val="000000" w:themeColor="text1"/>
          <w:sz w:val="22"/>
          <w:szCs w:val="22"/>
        </w:rPr>
        <w:t>₹</w:t>
      </w:r>
      <w:r w:rsidRPr="002C6FCE">
        <w:rPr>
          <w:rFonts w:ascii="Palatino Linotype" w:eastAsia="Times New Roman" w:hAnsi="Palatino Linotype"/>
          <w:color w:val="000000" w:themeColor="text1"/>
          <w:sz w:val="22"/>
          <w:szCs w:val="22"/>
        </w:rPr>
        <w:t>0.2 crore as on February 28, 2019</w:t>
      </w:r>
      <w:r w:rsidRPr="002C6FCE">
        <w:rPr>
          <w:rFonts w:ascii="Palatino Linotype" w:eastAsia="Times New Roman" w:hAnsi="Palatino Linotype" w:cs="Calibri"/>
          <w:color w:val="000000" w:themeColor="text1"/>
          <w:sz w:val="22"/>
          <w:szCs w:val="22"/>
        </w:rPr>
        <w:t>.</w:t>
      </w:r>
    </w:p>
    <w:p w:rsidR="00994860" w:rsidRPr="00C256D7" w:rsidRDefault="00994860" w:rsidP="00994860">
      <w:pPr>
        <w:jc w:val="both"/>
        <w:rPr>
          <w:rFonts w:ascii="Palatino Linotype" w:eastAsia="Times New Roman" w:hAnsi="Palatino Linotype"/>
          <w:color w:val="000000" w:themeColor="text1"/>
          <w:sz w:val="22"/>
          <w:szCs w:val="22"/>
          <w:highlight w:val="yellow"/>
        </w:rPr>
      </w:pPr>
    </w:p>
    <w:p w:rsidR="00AD7686" w:rsidRDefault="00AD7686">
      <w:pPr>
        <w:rPr>
          <w:rFonts w:ascii="Palatino Linotype" w:eastAsia="Times New Roman" w:hAnsi="Palatino Linotype"/>
          <w:b/>
          <w:bCs/>
          <w:sz w:val="22"/>
          <w:szCs w:val="22"/>
        </w:rPr>
      </w:pPr>
      <w:r>
        <w:rPr>
          <w:rFonts w:ascii="Palatino Linotype" w:eastAsia="Times New Roman" w:hAnsi="Palatino Linotype"/>
          <w:b/>
          <w:bCs/>
          <w:sz w:val="22"/>
          <w:szCs w:val="22"/>
        </w:rPr>
        <w:br w:type="page"/>
      </w:r>
    </w:p>
    <w:p w:rsidR="00994860" w:rsidRPr="00175A49" w:rsidRDefault="00994860" w:rsidP="00994860">
      <w:pPr>
        <w:jc w:val="both"/>
        <w:rPr>
          <w:rFonts w:ascii="Palatino Linotype" w:eastAsia="Times New Roman" w:hAnsi="Palatino Linotype"/>
          <w:color w:val="000000" w:themeColor="text1"/>
          <w:sz w:val="22"/>
          <w:szCs w:val="22"/>
        </w:rPr>
      </w:pPr>
      <w:r w:rsidRPr="00AC22A0">
        <w:rPr>
          <w:rFonts w:ascii="Palatino Linotype" w:eastAsia="Times New Roman" w:hAnsi="Palatino Linotype"/>
          <w:b/>
          <w:bCs/>
          <w:sz w:val="22"/>
          <w:szCs w:val="22"/>
        </w:rPr>
        <w:lastRenderedPageBreak/>
        <w:t>Exhibit 3: Trends in Equity Derivatives Market</w:t>
      </w:r>
    </w:p>
    <w:tbl>
      <w:tblPr>
        <w:tblW w:w="8355" w:type="dxa"/>
        <w:tblInd w:w="-10" w:type="dxa"/>
        <w:tblLook w:val="04A0" w:firstRow="1" w:lastRow="0" w:firstColumn="1" w:lastColumn="0" w:noHBand="0" w:noVBand="1"/>
      </w:tblPr>
      <w:tblGrid>
        <w:gridCol w:w="1960"/>
        <w:gridCol w:w="1216"/>
        <w:gridCol w:w="1209"/>
        <w:gridCol w:w="1270"/>
        <w:gridCol w:w="700"/>
        <w:gridCol w:w="720"/>
        <w:gridCol w:w="1280"/>
      </w:tblGrid>
      <w:tr w:rsidR="00994860" w:rsidRPr="00AC22A0" w:rsidTr="00660BC8">
        <w:trPr>
          <w:trHeight w:val="255"/>
        </w:trPr>
        <w:tc>
          <w:tcPr>
            <w:tcW w:w="1960" w:type="dxa"/>
            <w:vMerge w:val="restart"/>
            <w:tcBorders>
              <w:top w:val="single" w:sz="4" w:space="0" w:color="auto"/>
              <w:left w:val="single" w:sz="4" w:space="0" w:color="auto"/>
              <w:bottom w:val="single" w:sz="4" w:space="0" w:color="auto"/>
              <w:right w:val="single" w:sz="4" w:space="0" w:color="auto"/>
            </w:tcBorders>
            <w:shd w:val="clear" w:color="000000" w:fill="8DB4E2"/>
            <w:noWrap/>
            <w:vAlign w:val="center"/>
            <w:hideMark/>
          </w:tcPr>
          <w:p w:rsidR="00994860" w:rsidRPr="00AC22A0" w:rsidRDefault="00994860" w:rsidP="00660BC8">
            <w:pPr>
              <w:jc w:val="center"/>
              <w:rPr>
                <w:rFonts w:ascii="Garamond" w:eastAsia="Times New Roman" w:hAnsi="Garamond"/>
                <w:b/>
                <w:bCs/>
                <w:sz w:val="20"/>
                <w:szCs w:val="20"/>
                <w:lang w:val="en-US" w:bidi="hi-IN"/>
              </w:rPr>
            </w:pPr>
            <w:bookmarkStart w:id="1" w:name="RANGE!A2:G43"/>
            <w:r w:rsidRPr="00AC22A0">
              <w:rPr>
                <w:rFonts w:ascii="Garamond" w:eastAsia="Times New Roman" w:hAnsi="Garamond"/>
                <w:b/>
                <w:bCs/>
                <w:sz w:val="20"/>
                <w:szCs w:val="20"/>
                <w:lang w:val="en-US" w:bidi="hi-IN"/>
              </w:rPr>
              <w:t>Description</w:t>
            </w:r>
            <w:bookmarkEnd w:id="1"/>
          </w:p>
        </w:tc>
        <w:tc>
          <w:tcPr>
            <w:tcW w:w="3695" w:type="dxa"/>
            <w:gridSpan w:val="3"/>
            <w:tcBorders>
              <w:top w:val="single" w:sz="4" w:space="0" w:color="auto"/>
              <w:left w:val="nil"/>
              <w:bottom w:val="single" w:sz="4" w:space="0" w:color="auto"/>
              <w:right w:val="single" w:sz="4" w:space="0" w:color="auto"/>
            </w:tcBorders>
            <w:shd w:val="clear" w:color="000000" w:fill="8DB4E2"/>
            <w:noWrap/>
            <w:vAlign w:val="center"/>
            <w:hideMark/>
          </w:tcPr>
          <w:p w:rsidR="00994860" w:rsidRPr="00AC22A0" w:rsidRDefault="00994860" w:rsidP="00660BC8">
            <w:pPr>
              <w:jc w:val="center"/>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NSE</w:t>
            </w:r>
          </w:p>
        </w:tc>
        <w:tc>
          <w:tcPr>
            <w:tcW w:w="2700" w:type="dxa"/>
            <w:gridSpan w:val="3"/>
            <w:tcBorders>
              <w:top w:val="single" w:sz="4" w:space="0" w:color="auto"/>
              <w:left w:val="nil"/>
              <w:bottom w:val="single" w:sz="4" w:space="0" w:color="auto"/>
              <w:right w:val="single" w:sz="4" w:space="0" w:color="auto"/>
            </w:tcBorders>
            <w:shd w:val="clear" w:color="000000" w:fill="8DB4E2"/>
            <w:noWrap/>
            <w:vAlign w:val="center"/>
            <w:hideMark/>
          </w:tcPr>
          <w:p w:rsidR="00994860" w:rsidRPr="00AC22A0" w:rsidRDefault="00994860" w:rsidP="00660BC8">
            <w:pPr>
              <w:jc w:val="center"/>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BSE</w:t>
            </w:r>
          </w:p>
        </w:tc>
      </w:tr>
      <w:tr w:rsidR="00994860" w:rsidRPr="00AC22A0" w:rsidTr="00660BC8">
        <w:trPr>
          <w:trHeight w:val="765"/>
        </w:trPr>
        <w:tc>
          <w:tcPr>
            <w:tcW w:w="1960" w:type="dxa"/>
            <w:vMerge/>
            <w:tcBorders>
              <w:top w:val="single" w:sz="4" w:space="0" w:color="auto"/>
              <w:left w:val="single" w:sz="4" w:space="0" w:color="auto"/>
              <w:bottom w:val="single" w:sz="4" w:space="0" w:color="auto"/>
              <w:right w:val="single" w:sz="4" w:space="0" w:color="auto"/>
            </w:tcBorders>
            <w:vAlign w:val="center"/>
            <w:hideMark/>
          </w:tcPr>
          <w:p w:rsidR="00994860" w:rsidRPr="00AC22A0" w:rsidRDefault="00994860" w:rsidP="00660BC8">
            <w:pPr>
              <w:rPr>
                <w:rFonts w:ascii="Garamond" w:eastAsia="Times New Roman" w:hAnsi="Garamond"/>
                <w:b/>
                <w:bCs/>
                <w:sz w:val="20"/>
                <w:szCs w:val="20"/>
                <w:lang w:val="en-US" w:bidi="hi-IN"/>
              </w:rPr>
            </w:pPr>
          </w:p>
        </w:tc>
        <w:tc>
          <w:tcPr>
            <w:tcW w:w="1216" w:type="dxa"/>
            <w:tcBorders>
              <w:top w:val="nil"/>
              <w:left w:val="nil"/>
              <w:bottom w:val="nil"/>
              <w:right w:val="single" w:sz="4" w:space="0" w:color="auto"/>
            </w:tcBorders>
            <w:shd w:val="clear" w:color="000000" w:fill="8DB4E2"/>
            <w:noWrap/>
            <w:vAlign w:val="center"/>
            <w:hideMark/>
          </w:tcPr>
          <w:p w:rsidR="00994860" w:rsidRPr="00AC22A0" w:rsidRDefault="00994860" w:rsidP="00660BC8">
            <w:pPr>
              <w:jc w:val="center"/>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Jan-19</w:t>
            </w:r>
          </w:p>
        </w:tc>
        <w:tc>
          <w:tcPr>
            <w:tcW w:w="1209" w:type="dxa"/>
            <w:tcBorders>
              <w:top w:val="nil"/>
              <w:left w:val="nil"/>
              <w:bottom w:val="nil"/>
              <w:right w:val="single" w:sz="4" w:space="0" w:color="auto"/>
            </w:tcBorders>
            <w:shd w:val="clear" w:color="000000" w:fill="8DB4E2"/>
            <w:noWrap/>
            <w:vAlign w:val="center"/>
            <w:hideMark/>
          </w:tcPr>
          <w:p w:rsidR="00994860" w:rsidRPr="00AC22A0" w:rsidRDefault="00994860" w:rsidP="00660BC8">
            <w:pPr>
              <w:jc w:val="center"/>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Feb-19</w:t>
            </w:r>
          </w:p>
        </w:tc>
        <w:tc>
          <w:tcPr>
            <w:tcW w:w="1270" w:type="dxa"/>
            <w:tcBorders>
              <w:top w:val="nil"/>
              <w:left w:val="nil"/>
              <w:bottom w:val="nil"/>
              <w:right w:val="single" w:sz="4" w:space="0" w:color="auto"/>
            </w:tcBorders>
            <w:shd w:val="clear" w:color="000000" w:fill="8DB4E2"/>
            <w:vAlign w:val="center"/>
            <w:hideMark/>
          </w:tcPr>
          <w:p w:rsidR="00994860" w:rsidRPr="00AC22A0" w:rsidRDefault="00994860" w:rsidP="00660BC8">
            <w:pPr>
              <w:jc w:val="center"/>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Percentage Change Over Month</w:t>
            </w:r>
          </w:p>
        </w:tc>
        <w:tc>
          <w:tcPr>
            <w:tcW w:w="700" w:type="dxa"/>
            <w:tcBorders>
              <w:top w:val="nil"/>
              <w:left w:val="nil"/>
              <w:bottom w:val="nil"/>
              <w:right w:val="single" w:sz="4" w:space="0" w:color="auto"/>
            </w:tcBorders>
            <w:shd w:val="clear" w:color="000000" w:fill="8DB4E2"/>
            <w:noWrap/>
            <w:vAlign w:val="center"/>
            <w:hideMark/>
          </w:tcPr>
          <w:p w:rsidR="00994860" w:rsidRPr="00AC22A0" w:rsidRDefault="00994860" w:rsidP="00660BC8">
            <w:pPr>
              <w:jc w:val="center"/>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Jan-19</w:t>
            </w:r>
          </w:p>
        </w:tc>
        <w:tc>
          <w:tcPr>
            <w:tcW w:w="720" w:type="dxa"/>
            <w:tcBorders>
              <w:top w:val="nil"/>
              <w:left w:val="nil"/>
              <w:bottom w:val="nil"/>
              <w:right w:val="single" w:sz="4" w:space="0" w:color="auto"/>
            </w:tcBorders>
            <w:shd w:val="clear" w:color="000000" w:fill="8DB4E2"/>
            <w:noWrap/>
            <w:vAlign w:val="center"/>
            <w:hideMark/>
          </w:tcPr>
          <w:p w:rsidR="00994860" w:rsidRPr="00AC22A0" w:rsidRDefault="00994860" w:rsidP="00660BC8">
            <w:pPr>
              <w:jc w:val="center"/>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Feb-19</w:t>
            </w:r>
          </w:p>
        </w:tc>
        <w:tc>
          <w:tcPr>
            <w:tcW w:w="1280" w:type="dxa"/>
            <w:tcBorders>
              <w:top w:val="nil"/>
              <w:left w:val="nil"/>
              <w:bottom w:val="nil"/>
              <w:right w:val="single" w:sz="4" w:space="0" w:color="auto"/>
            </w:tcBorders>
            <w:shd w:val="clear" w:color="000000" w:fill="8DB4E2"/>
            <w:vAlign w:val="center"/>
            <w:hideMark/>
          </w:tcPr>
          <w:p w:rsidR="00994860" w:rsidRPr="00AC22A0" w:rsidRDefault="00994860" w:rsidP="00660BC8">
            <w:pPr>
              <w:jc w:val="center"/>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Percentage Change Over Month</w:t>
            </w:r>
          </w:p>
        </w:tc>
      </w:tr>
      <w:tr w:rsidR="00994860" w:rsidRPr="00AC22A0" w:rsidTr="00660BC8">
        <w:trPr>
          <w:trHeight w:val="255"/>
        </w:trPr>
        <w:tc>
          <w:tcPr>
            <w:tcW w:w="8355"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994860" w:rsidRPr="00AC22A0" w:rsidRDefault="00994860" w:rsidP="00660BC8">
            <w:pPr>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 xml:space="preserve">A. Turnover  </w:t>
            </w:r>
            <w:r w:rsidRPr="00AC22A0">
              <w:rPr>
                <w:rFonts w:ascii="Rupee" w:eastAsia="Times New Roman" w:hAnsi="Rupee"/>
                <w:b/>
                <w:bCs/>
                <w:sz w:val="20"/>
                <w:szCs w:val="20"/>
                <w:lang w:val="en-US" w:bidi="hi-IN"/>
              </w:rPr>
              <w:t>(</w:t>
            </w:r>
            <w:r w:rsidRPr="00AC22A0">
              <w:rPr>
                <w:rFonts w:ascii="Rupee Foradian" w:eastAsia="Times New Roman" w:hAnsi="Rupee Foradian"/>
                <w:b/>
                <w:bCs/>
                <w:sz w:val="20"/>
                <w:szCs w:val="20"/>
                <w:lang w:val="en-US" w:bidi="hi-IN"/>
              </w:rPr>
              <w:t>`</w:t>
            </w:r>
            <w:r w:rsidRPr="00AC22A0">
              <w:rPr>
                <w:rFonts w:ascii="Rupee" w:eastAsia="Times New Roman" w:hAnsi="Rupee"/>
                <w:b/>
                <w:bCs/>
                <w:sz w:val="20"/>
                <w:szCs w:val="20"/>
                <w:lang w:val="en-US" w:bidi="hi-IN"/>
              </w:rPr>
              <w:t xml:space="preserve"> </w:t>
            </w:r>
            <w:r w:rsidRPr="00AC22A0">
              <w:rPr>
                <w:rFonts w:ascii="Garamond" w:eastAsia="Times New Roman" w:hAnsi="Garamond"/>
                <w:b/>
                <w:bCs/>
                <w:sz w:val="20"/>
                <w:szCs w:val="20"/>
                <w:lang w:val="en-US" w:bidi="hi-IN"/>
              </w:rPr>
              <w:t>crore)</w:t>
            </w:r>
          </w:p>
        </w:tc>
      </w:tr>
      <w:tr w:rsidR="00994860" w:rsidRPr="00AC22A0" w:rsidTr="00660BC8">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sz w:val="20"/>
                <w:szCs w:val="20"/>
                <w:lang w:val="en-US" w:bidi="hi-IN"/>
              </w:rPr>
            </w:pPr>
            <w:r w:rsidRPr="00AC22A0">
              <w:rPr>
                <w:rFonts w:ascii="Garamond" w:eastAsia="Times New Roman" w:hAnsi="Garamond"/>
                <w:sz w:val="20"/>
                <w:szCs w:val="20"/>
                <w:lang w:val="en-US" w:bidi="hi-IN"/>
              </w:rPr>
              <w:t xml:space="preserve">   (i) Index  Futures</w:t>
            </w:r>
          </w:p>
        </w:tc>
        <w:tc>
          <w:tcPr>
            <w:tcW w:w="1216"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4,72,303</w:t>
            </w:r>
          </w:p>
        </w:tc>
        <w:tc>
          <w:tcPr>
            <w:tcW w:w="1209"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4,13,440</w:t>
            </w:r>
          </w:p>
        </w:tc>
        <w:tc>
          <w:tcPr>
            <w:tcW w:w="1270" w:type="dxa"/>
            <w:tcBorders>
              <w:top w:val="nil"/>
              <w:left w:val="nil"/>
              <w:bottom w:val="nil"/>
              <w:right w:val="nil"/>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-12.5</w:t>
            </w:r>
          </w:p>
        </w:tc>
        <w:tc>
          <w:tcPr>
            <w:tcW w:w="700" w:type="dxa"/>
            <w:tcBorders>
              <w:top w:val="nil"/>
              <w:left w:val="single" w:sz="4" w:space="0" w:color="auto"/>
              <w:bottom w:val="nil"/>
              <w:right w:val="single" w:sz="4" w:space="0" w:color="auto"/>
            </w:tcBorders>
            <w:shd w:val="clear" w:color="auto" w:fill="auto"/>
            <w:vAlign w:val="center"/>
            <w:hideMark/>
          </w:tcPr>
          <w:p w:rsidR="00994860" w:rsidRPr="00AC22A0" w:rsidRDefault="00994860" w:rsidP="00660BC8">
            <w:pPr>
              <w:jc w:val="right"/>
              <w:rPr>
                <w:rFonts w:ascii="Garamond" w:eastAsia="Times New Roman" w:hAnsi="Garamond"/>
                <w:color w:val="000000"/>
                <w:sz w:val="20"/>
                <w:szCs w:val="20"/>
                <w:lang w:val="en-US" w:bidi="hi-IN"/>
              </w:rPr>
            </w:pPr>
            <w:r w:rsidRPr="00AC22A0">
              <w:rPr>
                <w:rFonts w:ascii="Garamond" w:eastAsia="Times New Roman" w:hAnsi="Garamond"/>
                <w:color w:val="000000"/>
                <w:sz w:val="20"/>
                <w:szCs w:val="20"/>
                <w:lang w:val="en-US" w:bidi="hi-IN"/>
              </w:rPr>
              <w:t>0.2</w:t>
            </w:r>
          </w:p>
        </w:tc>
        <w:tc>
          <w:tcPr>
            <w:tcW w:w="720" w:type="dxa"/>
            <w:tcBorders>
              <w:top w:val="nil"/>
              <w:left w:val="nil"/>
              <w:bottom w:val="nil"/>
              <w:right w:val="single" w:sz="4" w:space="0" w:color="auto"/>
            </w:tcBorders>
            <w:shd w:val="clear" w:color="auto" w:fill="auto"/>
            <w:vAlign w:val="center"/>
            <w:hideMark/>
          </w:tcPr>
          <w:p w:rsidR="00994860" w:rsidRPr="00AC22A0" w:rsidRDefault="00994860" w:rsidP="00660BC8">
            <w:pPr>
              <w:jc w:val="right"/>
              <w:rPr>
                <w:rFonts w:ascii="Garamond" w:eastAsia="Times New Roman" w:hAnsi="Garamond"/>
                <w:color w:val="000000"/>
                <w:sz w:val="20"/>
                <w:szCs w:val="20"/>
                <w:lang w:val="en-US" w:bidi="hi-IN"/>
              </w:rPr>
            </w:pPr>
            <w:r w:rsidRPr="00AC22A0">
              <w:rPr>
                <w:rFonts w:ascii="Garamond" w:eastAsia="Times New Roman" w:hAnsi="Garamond"/>
                <w:color w:val="000000"/>
                <w:sz w:val="20"/>
                <w:szCs w:val="20"/>
                <w:lang w:val="en-US" w:bidi="hi-IN"/>
              </w:rPr>
              <w:t>0.0</w:t>
            </w:r>
          </w:p>
        </w:tc>
        <w:tc>
          <w:tcPr>
            <w:tcW w:w="128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color w:val="000000"/>
                <w:sz w:val="20"/>
                <w:szCs w:val="20"/>
                <w:lang w:val="en-US" w:bidi="hi-IN"/>
              </w:rPr>
            </w:pPr>
            <w:r w:rsidRPr="00AC22A0">
              <w:rPr>
                <w:rFonts w:ascii="Garamond" w:eastAsia="Times New Roman" w:hAnsi="Garamond"/>
                <w:color w:val="000000"/>
                <w:sz w:val="20"/>
                <w:szCs w:val="20"/>
                <w:lang w:val="en-US" w:bidi="hi-IN"/>
              </w:rPr>
              <w:t>-100.0</w:t>
            </w:r>
          </w:p>
        </w:tc>
      </w:tr>
      <w:tr w:rsidR="00994860" w:rsidRPr="00AC22A0" w:rsidTr="00660BC8">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sz w:val="20"/>
                <w:szCs w:val="20"/>
                <w:lang w:val="en-US" w:bidi="hi-IN"/>
              </w:rPr>
            </w:pPr>
            <w:r w:rsidRPr="00AC22A0">
              <w:rPr>
                <w:rFonts w:ascii="Garamond" w:eastAsia="Times New Roman" w:hAnsi="Garamond"/>
                <w:sz w:val="20"/>
                <w:szCs w:val="20"/>
                <w:lang w:val="en-US" w:bidi="hi-IN"/>
              </w:rPr>
              <w:t xml:space="preserve">   (ii) Options on Index</w:t>
            </w:r>
          </w:p>
        </w:tc>
        <w:tc>
          <w:tcPr>
            <w:tcW w:w="1216"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1209"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1270" w:type="dxa"/>
            <w:tcBorders>
              <w:top w:val="nil"/>
              <w:left w:val="nil"/>
              <w:bottom w:val="nil"/>
              <w:right w:val="nil"/>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p>
        </w:tc>
        <w:tc>
          <w:tcPr>
            <w:tcW w:w="700" w:type="dxa"/>
            <w:tcBorders>
              <w:top w:val="nil"/>
              <w:left w:val="single" w:sz="4" w:space="0" w:color="auto"/>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72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r>
      <w:tr w:rsidR="00994860" w:rsidRPr="00AC22A0" w:rsidTr="00660BC8">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i/>
                <w:iCs/>
                <w:sz w:val="20"/>
                <w:szCs w:val="20"/>
                <w:lang w:val="en-US" w:bidi="hi-IN"/>
              </w:rPr>
            </w:pPr>
            <w:r w:rsidRPr="00AC22A0">
              <w:rPr>
                <w:rFonts w:ascii="Garamond" w:eastAsia="Times New Roman" w:hAnsi="Garamond"/>
                <w:i/>
                <w:iCs/>
                <w:sz w:val="20"/>
                <w:szCs w:val="20"/>
                <w:lang w:val="en-US" w:bidi="hi-IN"/>
              </w:rPr>
              <w:t xml:space="preserve">            Put</w:t>
            </w:r>
          </w:p>
        </w:tc>
        <w:tc>
          <w:tcPr>
            <w:tcW w:w="1216"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88,87,078</w:t>
            </w:r>
          </w:p>
        </w:tc>
        <w:tc>
          <w:tcPr>
            <w:tcW w:w="1209"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77,25,598</w:t>
            </w:r>
          </w:p>
        </w:tc>
        <w:tc>
          <w:tcPr>
            <w:tcW w:w="1270" w:type="dxa"/>
            <w:tcBorders>
              <w:top w:val="nil"/>
              <w:left w:val="nil"/>
              <w:bottom w:val="nil"/>
              <w:right w:val="nil"/>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-13.1</w:t>
            </w:r>
          </w:p>
        </w:tc>
        <w:tc>
          <w:tcPr>
            <w:tcW w:w="700" w:type="dxa"/>
            <w:tcBorders>
              <w:top w:val="nil"/>
              <w:left w:val="single" w:sz="4" w:space="0" w:color="auto"/>
              <w:bottom w:val="nil"/>
              <w:right w:val="single" w:sz="4" w:space="0" w:color="auto"/>
            </w:tcBorders>
            <w:shd w:val="clear" w:color="auto" w:fill="auto"/>
            <w:noWrap/>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0.0</w:t>
            </w:r>
          </w:p>
        </w:tc>
        <w:tc>
          <w:tcPr>
            <w:tcW w:w="720" w:type="dxa"/>
            <w:tcBorders>
              <w:top w:val="nil"/>
              <w:left w:val="nil"/>
              <w:bottom w:val="nil"/>
              <w:right w:val="single" w:sz="4" w:space="0" w:color="auto"/>
            </w:tcBorders>
            <w:shd w:val="clear" w:color="auto" w:fill="auto"/>
            <w:noWrap/>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0.0</w:t>
            </w:r>
          </w:p>
        </w:tc>
        <w:tc>
          <w:tcPr>
            <w:tcW w:w="128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NA</w:t>
            </w:r>
          </w:p>
        </w:tc>
      </w:tr>
      <w:tr w:rsidR="00994860" w:rsidRPr="00AC22A0" w:rsidTr="00660BC8">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i/>
                <w:iCs/>
                <w:sz w:val="20"/>
                <w:szCs w:val="20"/>
                <w:lang w:val="en-US" w:bidi="hi-IN"/>
              </w:rPr>
            </w:pPr>
            <w:r w:rsidRPr="00AC22A0">
              <w:rPr>
                <w:rFonts w:ascii="Garamond" w:eastAsia="Times New Roman" w:hAnsi="Garamond"/>
                <w:i/>
                <w:iCs/>
                <w:sz w:val="20"/>
                <w:szCs w:val="20"/>
                <w:lang w:val="en-US" w:bidi="hi-IN"/>
              </w:rPr>
              <w:t xml:space="preserve">           Call</w:t>
            </w:r>
          </w:p>
        </w:tc>
        <w:tc>
          <w:tcPr>
            <w:tcW w:w="1216"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1,03,16,456</w:t>
            </w:r>
          </w:p>
        </w:tc>
        <w:tc>
          <w:tcPr>
            <w:tcW w:w="1209"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86,25,206</w:t>
            </w:r>
          </w:p>
        </w:tc>
        <w:tc>
          <w:tcPr>
            <w:tcW w:w="1270" w:type="dxa"/>
            <w:tcBorders>
              <w:top w:val="nil"/>
              <w:left w:val="nil"/>
              <w:bottom w:val="nil"/>
              <w:right w:val="nil"/>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-16.4</w:t>
            </w:r>
          </w:p>
        </w:tc>
        <w:tc>
          <w:tcPr>
            <w:tcW w:w="700" w:type="dxa"/>
            <w:tcBorders>
              <w:top w:val="nil"/>
              <w:left w:val="single" w:sz="4" w:space="0" w:color="auto"/>
              <w:bottom w:val="nil"/>
              <w:right w:val="single" w:sz="4" w:space="0" w:color="auto"/>
            </w:tcBorders>
            <w:shd w:val="clear" w:color="auto" w:fill="auto"/>
            <w:noWrap/>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0.0</w:t>
            </w:r>
          </w:p>
        </w:tc>
        <w:tc>
          <w:tcPr>
            <w:tcW w:w="720" w:type="dxa"/>
            <w:tcBorders>
              <w:top w:val="nil"/>
              <w:left w:val="nil"/>
              <w:bottom w:val="nil"/>
              <w:right w:val="single" w:sz="4" w:space="0" w:color="auto"/>
            </w:tcBorders>
            <w:shd w:val="clear" w:color="auto" w:fill="auto"/>
            <w:noWrap/>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0.0</w:t>
            </w:r>
          </w:p>
        </w:tc>
        <w:tc>
          <w:tcPr>
            <w:tcW w:w="128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NA</w:t>
            </w:r>
          </w:p>
        </w:tc>
      </w:tr>
      <w:tr w:rsidR="00994860" w:rsidRPr="00AC22A0" w:rsidTr="00660BC8">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sz w:val="20"/>
                <w:szCs w:val="20"/>
                <w:lang w:val="en-US" w:bidi="hi-IN"/>
              </w:rPr>
            </w:pPr>
            <w:r w:rsidRPr="00AC22A0">
              <w:rPr>
                <w:rFonts w:ascii="Garamond" w:eastAsia="Times New Roman" w:hAnsi="Garamond"/>
                <w:sz w:val="20"/>
                <w:szCs w:val="20"/>
                <w:lang w:val="en-US" w:bidi="hi-IN"/>
              </w:rPr>
              <w:t xml:space="preserve">  (iii) Stock Futures</w:t>
            </w:r>
          </w:p>
        </w:tc>
        <w:tc>
          <w:tcPr>
            <w:tcW w:w="1216"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12,77,385</w:t>
            </w:r>
          </w:p>
        </w:tc>
        <w:tc>
          <w:tcPr>
            <w:tcW w:w="1209"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11,56,661</w:t>
            </w:r>
          </w:p>
        </w:tc>
        <w:tc>
          <w:tcPr>
            <w:tcW w:w="1270" w:type="dxa"/>
            <w:tcBorders>
              <w:top w:val="nil"/>
              <w:left w:val="nil"/>
              <w:bottom w:val="nil"/>
              <w:right w:val="nil"/>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-9.5</w:t>
            </w:r>
          </w:p>
        </w:tc>
        <w:tc>
          <w:tcPr>
            <w:tcW w:w="700" w:type="dxa"/>
            <w:tcBorders>
              <w:top w:val="nil"/>
              <w:left w:val="single" w:sz="4" w:space="0" w:color="auto"/>
              <w:bottom w:val="nil"/>
              <w:right w:val="single" w:sz="4" w:space="0" w:color="auto"/>
            </w:tcBorders>
            <w:shd w:val="clear" w:color="auto" w:fill="auto"/>
            <w:vAlign w:val="center"/>
            <w:hideMark/>
          </w:tcPr>
          <w:p w:rsidR="00994860" w:rsidRPr="00AC22A0" w:rsidRDefault="00994860" w:rsidP="00660BC8">
            <w:pPr>
              <w:jc w:val="right"/>
              <w:rPr>
                <w:rFonts w:ascii="Calibri" w:eastAsia="Times New Roman" w:hAnsi="Calibri" w:cs="Calibri"/>
                <w:color w:val="000000"/>
                <w:sz w:val="20"/>
                <w:szCs w:val="20"/>
                <w:lang w:val="en-US" w:bidi="hi-IN"/>
              </w:rPr>
            </w:pPr>
            <w:r w:rsidRPr="00AC22A0">
              <w:rPr>
                <w:rFonts w:ascii="Calibri" w:eastAsia="Times New Roman" w:hAnsi="Calibri" w:cs="Calibri"/>
                <w:color w:val="000000"/>
                <w:sz w:val="20"/>
                <w:szCs w:val="20"/>
                <w:lang w:val="en-US" w:bidi="hi-IN"/>
              </w:rPr>
              <w:t>0.3</w:t>
            </w:r>
          </w:p>
        </w:tc>
        <w:tc>
          <w:tcPr>
            <w:tcW w:w="720" w:type="dxa"/>
            <w:tcBorders>
              <w:top w:val="nil"/>
              <w:left w:val="nil"/>
              <w:bottom w:val="nil"/>
              <w:right w:val="single" w:sz="4" w:space="0" w:color="auto"/>
            </w:tcBorders>
            <w:shd w:val="clear" w:color="auto" w:fill="auto"/>
            <w:vAlign w:val="center"/>
            <w:hideMark/>
          </w:tcPr>
          <w:p w:rsidR="00994860" w:rsidRPr="00AC22A0" w:rsidRDefault="00994860" w:rsidP="00660BC8">
            <w:pPr>
              <w:jc w:val="right"/>
              <w:rPr>
                <w:rFonts w:ascii="Calibri" w:eastAsia="Times New Roman" w:hAnsi="Calibri" w:cs="Calibri"/>
                <w:color w:val="000000"/>
                <w:sz w:val="20"/>
                <w:szCs w:val="20"/>
                <w:lang w:val="en-US" w:bidi="hi-IN"/>
              </w:rPr>
            </w:pPr>
            <w:r w:rsidRPr="00AC22A0">
              <w:rPr>
                <w:rFonts w:ascii="Calibri" w:eastAsia="Times New Roman" w:hAnsi="Calibri" w:cs="Calibri"/>
                <w:color w:val="000000"/>
                <w:sz w:val="20"/>
                <w:szCs w:val="20"/>
                <w:lang w:val="en-US" w:bidi="hi-IN"/>
              </w:rPr>
              <w:t>0.8</w:t>
            </w:r>
          </w:p>
        </w:tc>
        <w:tc>
          <w:tcPr>
            <w:tcW w:w="128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169.4</w:t>
            </w:r>
          </w:p>
        </w:tc>
      </w:tr>
      <w:tr w:rsidR="00994860" w:rsidRPr="00AC22A0" w:rsidTr="00660BC8">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sz w:val="20"/>
                <w:szCs w:val="20"/>
                <w:lang w:val="en-US" w:bidi="hi-IN"/>
              </w:rPr>
            </w:pPr>
            <w:r w:rsidRPr="00AC22A0">
              <w:rPr>
                <w:rFonts w:ascii="Garamond" w:eastAsia="Times New Roman" w:hAnsi="Garamond"/>
                <w:sz w:val="20"/>
                <w:szCs w:val="20"/>
                <w:lang w:val="en-US" w:bidi="hi-IN"/>
              </w:rPr>
              <w:t>(iv) Options on Stock</w:t>
            </w:r>
          </w:p>
        </w:tc>
        <w:tc>
          <w:tcPr>
            <w:tcW w:w="1216"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1209"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1270" w:type="dxa"/>
            <w:tcBorders>
              <w:top w:val="nil"/>
              <w:left w:val="nil"/>
              <w:bottom w:val="nil"/>
              <w:right w:val="nil"/>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700" w:type="dxa"/>
            <w:tcBorders>
              <w:top w:val="nil"/>
              <w:left w:val="single" w:sz="4" w:space="0" w:color="auto"/>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72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r>
      <w:tr w:rsidR="00994860" w:rsidRPr="00AC22A0" w:rsidTr="00660BC8">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i/>
                <w:iCs/>
                <w:sz w:val="20"/>
                <w:szCs w:val="20"/>
                <w:lang w:val="en-US" w:bidi="hi-IN"/>
              </w:rPr>
            </w:pPr>
            <w:r w:rsidRPr="00AC22A0">
              <w:rPr>
                <w:rFonts w:ascii="Garamond" w:eastAsia="Times New Roman" w:hAnsi="Garamond"/>
                <w:i/>
                <w:iCs/>
                <w:sz w:val="20"/>
                <w:szCs w:val="20"/>
                <w:lang w:val="en-US" w:bidi="hi-IN"/>
              </w:rPr>
              <w:t xml:space="preserve">            Put</w:t>
            </w:r>
          </w:p>
        </w:tc>
        <w:tc>
          <w:tcPr>
            <w:tcW w:w="1216"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3,93,323</w:t>
            </w:r>
          </w:p>
        </w:tc>
        <w:tc>
          <w:tcPr>
            <w:tcW w:w="1209"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3,77,220</w:t>
            </w:r>
          </w:p>
        </w:tc>
        <w:tc>
          <w:tcPr>
            <w:tcW w:w="1270" w:type="dxa"/>
            <w:tcBorders>
              <w:top w:val="nil"/>
              <w:left w:val="nil"/>
              <w:bottom w:val="nil"/>
              <w:right w:val="nil"/>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-4.1</w:t>
            </w:r>
          </w:p>
        </w:tc>
        <w:tc>
          <w:tcPr>
            <w:tcW w:w="700" w:type="dxa"/>
            <w:tcBorders>
              <w:top w:val="nil"/>
              <w:left w:val="single" w:sz="4" w:space="0" w:color="auto"/>
              <w:bottom w:val="nil"/>
              <w:right w:val="single" w:sz="4" w:space="0" w:color="auto"/>
            </w:tcBorders>
            <w:shd w:val="clear" w:color="auto" w:fill="auto"/>
            <w:noWrap/>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0.0</w:t>
            </w:r>
          </w:p>
        </w:tc>
        <w:tc>
          <w:tcPr>
            <w:tcW w:w="720" w:type="dxa"/>
            <w:tcBorders>
              <w:top w:val="nil"/>
              <w:left w:val="nil"/>
              <w:bottom w:val="nil"/>
              <w:right w:val="single" w:sz="4" w:space="0" w:color="auto"/>
            </w:tcBorders>
            <w:shd w:val="clear" w:color="auto" w:fill="auto"/>
            <w:noWrap/>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0.0</w:t>
            </w:r>
          </w:p>
        </w:tc>
        <w:tc>
          <w:tcPr>
            <w:tcW w:w="128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NA</w:t>
            </w:r>
          </w:p>
        </w:tc>
      </w:tr>
      <w:tr w:rsidR="00994860" w:rsidRPr="00AC22A0" w:rsidTr="00660BC8">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i/>
                <w:iCs/>
                <w:sz w:val="20"/>
                <w:szCs w:val="20"/>
                <w:lang w:val="en-US" w:bidi="hi-IN"/>
              </w:rPr>
            </w:pPr>
            <w:r w:rsidRPr="00AC22A0">
              <w:rPr>
                <w:rFonts w:ascii="Garamond" w:eastAsia="Times New Roman" w:hAnsi="Garamond"/>
                <w:i/>
                <w:iCs/>
                <w:sz w:val="20"/>
                <w:szCs w:val="20"/>
                <w:lang w:val="en-US" w:bidi="hi-IN"/>
              </w:rPr>
              <w:t xml:space="preserve">          Call</w:t>
            </w:r>
          </w:p>
        </w:tc>
        <w:tc>
          <w:tcPr>
            <w:tcW w:w="1216" w:type="dxa"/>
            <w:tcBorders>
              <w:top w:val="nil"/>
              <w:left w:val="nil"/>
              <w:bottom w:val="single" w:sz="4" w:space="0" w:color="auto"/>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7,38,290</w:t>
            </w:r>
          </w:p>
        </w:tc>
        <w:tc>
          <w:tcPr>
            <w:tcW w:w="1209" w:type="dxa"/>
            <w:tcBorders>
              <w:top w:val="nil"/>
              <w:left w:val="nil"/>
              <w:bottom w:val="single" w:sz="4" w:space="0" w:color="auto"/>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6,58,100</w:t>
            </w:r>
          </w:p>
        </w:tc>
        <w:tc>
          <w:tcPr>
            <w:tcW w:w="1270" w:type="dxa"/>
            <w:tcBorders>
              <w:top w:val="nil"/>
              <w:left w:val="nil"/>
              <w:bottom w:val="nil"/>
              <w:right w:val="nil"/>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-10.9</w:t>
            </w:r>
          </w:p>
        </w:tc>
        <w:tc>
          <w:tcPr>
            <w:tcW w:w="700" w:type="dxa"/>
            <w:tcBorders>
              <w:top w:val="nil"/>
              <w:left w:val="single" w:sz="4" w:space="0" w:color="auto"/>
              <w:bottom w:val="single" w:sz="4" w:space="0" w:color="auto"/>
              <w:right w:val="single" w:sz="4" w:space="0" w:color="auto"/>
            </w:tcBorders>
            <w:shd w:val="clear" w:color="auto" w:fill="auto"/>
            <w:noWrap/>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0.0</w:t>
            </w:r>
          </w:p>
        </w:tc>
        <w:tc>
          <w:tcPr>
            <w:tcW w:w="720" w:type="dxa"/>
            <w:tcBorders>
              <w:top w:val="nil"/>
              <w:left w:val="nil"/>
              <w:bottom w:val="single" w:sz="4" w:space="0" w:color="auto"/>
              <w:right w:val="single" w:sz="4" w:space="0" w:color="auto"/>
            </w:tcBorders>
            <w:shd w:val="clear" w:color="auto" w:fill="auto"/>
            <w:noWrap/>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0.0</w:t>
            </w:r>
          </w:p>
        </w:tc>
        <w:tc>
          <w:tcPr>
            <w:tcW w:w="1280" w:type="dxa"/>
            <w:tcBorders>
              <w:top w:val="nil"/>
              <w:left w:val="nil"/>
              <w:bottom w:val="single" w:sz="4" w:space="0" w:color="auto"/>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NA</w:t>
            </w:r>
          </w:p>
        </w:tc>
      </w:tr>
      <w:tr w:rsidR="00994860" w:rsidRPr="00AC22A0" w:rsidTr="00660BC8">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 xml:space="preserve">         Total</w:t>
            </w:r>
          </w:p>
        </w:tc>
        <w:tc>
          <w:tcPr>
            <w:tcW w:w="1216" w:type="dxa"/>
            <w:tcBorders>
              <w:top w:val="nil"/>
              <w:left w:val="nil"/>
              <w:bottom w:val="single" w:sz="4" w:space="0" w:color="auto"/>
              <w:right w:val="single" w:sz="4" w:space="0" w:color="auto"/>
            </w:tcBorders>
            <w:shd w:val="clear" w:color="000000" w:fill="C5D9F1"/>
            <w:noWrap/>
            <w:vAlign w:val="center"/>
            <w:hideMark/>
          </w:tcPr>
          <w:p w:rsidR="00994860" w:rsidRPr="00AC22A0" w:rsidRDefault="00994860" w:rsidP="00660BC8">
            <w:pPr>
              <w:jc w:val="right"/>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2,20,84,835</w:t>
            </w:r>
          </w:p>
        </w:tc>
        <w:tc>
          <w:tcPr>
            <w:tcW w:w="1209" w:type="dxa"/>
            <w:tcBorders>
              <w:top w:val="nil"/>
              <w:left w:val="nil"/>
              <w:bottom w:val="single" w:sz="4" w:space="0" w:color="auto"/>
              <w:right w:val="single" w:sz="4" w:space="0" w:color="auto"/>
            </w:tcBorders>
            <w:shd w:val="clear" w:color="000000" w:fill="C5D9F1"/>
            <w:noWrap/>
            <w:vAlign w:val="center"/>
            <w:hideMark/>
          </w:tcPr>
          <w:p w:rsidR="00994860" w:rsidRPr="00AC22A0" w:rsidRDefault="00994860" w:rsidP="00660BC8">
            <w:pPr>
              <w:jc w:val="right"/>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1,89,56,225</w:t>
            </w:r>
          </w:p>
        </w:tc>
        <w:tc>
          <w:tcPr>
            <w:tcW w:w="1270" w:type="dxa"/>
            <w:tcBorders>
              <w:top w:val="single" w:sz="4" w:space="0" w:color="auto"/>
              <w:left w:val="nil"/>
              <w:bottom w:val="single" w:sz="4" w:space="0" w:color="auto"/>
              <w:right w:val="single" w:sz="4" w:space="0" w:color="auto"/>
            </w:tcBorders>
            <w:shd w:val="clear" w:color="000000" w:fill="C5D9F1"/>
            <w:noWrap/>
            <w:vAlign w:val="center"/>
            <w:hideMark/>
          </w:tcPr>
          <w:p w:rsidR="00994860" w:rsidRPr="00AC22A0" w:rsidRDefault="00994860" w:rsidP="00660BC8">
            <w:pPr>
              <w:jc w:val="right"/>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-14.2</w:t>
            </w:r>
          </w:p>
        </w:tc>
        <w:tc>
          <w:tcPr>
            <w:tcW w:w="700" w:type="dxa"/>
            <w:tcBorders>
              <w:top w:val="nil"/>
              <w:left w:val="nil"/>
              <w:bottom w:val="single" w:sz="4" w:space="0" w:color="auto"/>
              <w:right w:val="single" w:sz="4" w:space="0" w:color="auto"/>
            </w:tcBorders>
            <w:shd w:val="clear" w:color="000000" w:fill="C5D9F1"/>
            <w:noWrap/>
            <w:vAlign w:val="center"/>
            <w:hideMark/>
          </w:tcPr>
          <w:p w:rsidR="00994860" w:rsidRPr="00AC22A0" w:rsidRDefault="00994860" w:rsidP="00660BC8">
            <w:pPr>
              <w:jc w:val="right"/>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0.5</w:t>
            </w:r>
          </w:p>
        </w:tc>
        <w:tc>
          <w:tcPr>
            <w:tcW w:w="720" w:type="dxa"/>
            <w:tcBorders>
              <w:top w:val="nil"/>
              <w:left w:val="nil"/>
              <w:bottom w:val="single" w:sz="4" w:space="0" w:color="auto"/>
              <w:right w:val="single" w:sz="4" w:space="0" w:color="auto"/>
            </w:tcBorders>
            <w:shd w:val="clear" w:color="000000" w:fill="C5D9F1"/>
            <w:noWrap/>
            <w:vAlign w:val="center"/>
            <w:hideMark/>
          </w:tcPr>
          <w:p w:rsidR="00994860" w:rsidRPr="00AC22A0" w:rsidRDefault="00994860" w:rsidP="00660BC8">
            <w:pPr>
              <w:jc w:val="right"/>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0.8</w:t>
            </w:r>
          </w:p>
        </w:tc>
        <w:tc>
          <w:tcPr>
            <w:tcW w:w="1280" w:type="dxa"/>
            <w:tcBorders>
              <w:top w:val="nil"/>
              <w:left w:val="nil"/>
              <w:bottom w:val="single" w:sz="4" w:space="0" w:color="auto"/>
              <w:right w:val="single" w:sz="4" w:space="0" w:color="auto"/>
            </w:tcBorders>
            <w:shd w:val="clear" w:color="000000" w:fill="C5D9F1"/>
            <w:noWrap/>
            <w:vAlign w:val="center"/>
            <w:hideMark/>
          </w:tcPr>
          <w:p w:rsidR="00994860" w:rsidRPr="00AC22A0" w:rsidRDefault="00994860" w:rsidP="00660BC8">
            <w:pPr>
              <w:jc w:val="right"/>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66.1</w:t>
            </w:r>
          </w:p>
        </w:tc>
      </w:tr>
      <w:tr w:rsidR="00994860" w:rsidRPr="00AC22A0" w:rsidTr="00660BC8">
        <w:trPr>
          <w:trHeight w:val="255"/>
        </w:trPr>
        <w:tc>
          <w:tcPr>
            <w:tcW w:w="8355"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994860" w:rsidRPr="00AC22A0" w:rsidRDefault="00994860" w:rsidP="00660BC8">
            <w:pPr>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 xml:space="preserve">B. No. of Contracts </w:t>
            </w:r>
          </w:p>
        </w:tc>
      </w:tr>
      <w:tr w:rsidR="00994860" w:rsidRPr="00AC22A0" w:rsidTr="00660BC8">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sz w:val="20"/>
                <w:szCs w:val="20"/>
                <w:lang w:val="en-US" w:bidi="hi-IN"/>
              </w:rPr>
            </w:pPr>
            <w:r w:rsidRPr="00AC22A0">
              <w:rPr>
                <w:rFonts w:ascii="Garamond" w:eastAsia="Times New Roman" w:hAnsi="Garamond"/>
                <w:sz w:val="20"/>
                <w:szCs w:val="20"/>
                <w:lang w:val="en-US" w:bidi="hi-IN"/>
              </w:rPr>
              <w:t xml:space="preserve">   (i) Index  Futures</w:t>
            </w:r>
          </w:p>
        </w:tc>
        <w:tc>
          <w:tcPr>
            <w:tcW w:w="1216"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68,52,010</w:t>
            </w:r>
          </w:p>
        </w:tc>
        <w:tc>
          <w:tcPr>
            <w:tcW w:w="1209"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59,53,512</w:t>
            </w:r>
          </w:p>
        </w:tc>
        <w:tc>
          <w:tcPr>
            <w:tcW w:w="1270"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-13.1</w:t>
            </w:r>
          </w:p>
        </w:tc>
        <w:tc>
          <w:tcPr>
            <w:tcW w:w="70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color w:val="000000"/>
                <w:sz w:val="20"/>
                <w:szCs w:val="20"/>
                <w:lang w:val="en-US" w:bidi="hi-IN"/>
              </w:rPr>
            </w:pPr>
            <w:r w:rsidRPr="00AC22A0">
              <w:rPr>
                <w:rFonts w:ascii="Garamond" w:eastAsia="Times New Roman" w:hAnsi="Garamond"/>
                <w:color w:val="000000"/>
                <w:sz w:val="20"/>
                <w:szCs w:val="20"/>
                <w:lang w:val="en-US" w:bidi="hi-IN"/>
              </w:rPr>
              <w:t>2</w:t>
            </w:r>
          </w:p>
        </w:tc>
        <w:tc>
          <w:tcPr>
            <w:tcW w:w="72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color w:val="000000"/>
                <w:sz w:val="20"/>
                <w:szCs w:val="20"/>
                <w:lang w:val="en-US" w:bidi="hi-IN"/>
              </w:rPr>
            </w:pPr>
            <w:r w:rsidRPr="00AC22A0">
              <w:rPr>
                <w:rFonts w:ascii="Garamond" w:eastAsia="Times New Roman" w:hAnsi="Garamond"/>
                <w:color w:val="000000"/>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color w:val="000000"/>
                <w:sz w:val="20"/>
                <w:szCs w:val="20"/>
                <w:lang w:val="en-US" w:bidi="hi-IN"/>
              </w:rPr>
            </w:pPr>
            <w:r w:rsidRPr="00AC22A0">
              <w:rPr>
                <w:rFonts w:ascii="Garamond" w:eastAsia="Times New Roman" w:hAnsi="Garamond"/>
                <w:color w:val="000000"/>
                <w:sz w:val="20"/>
                <w:szCs w:val="20"/>
                <w:lang w:val="en-US" w:bidi="hi-IN"/>
              </w:rPr>
              <w:t>-100.0</w:t>
            </w:r>
          </w:p>
        </w:tc>
      </w:tr>
      <w:tr w:rsidR="00994860" w:rsidRPr="00AC22A0" w:rsidTr="00660BC8">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sz w:val="20"/>
                <w:szCs w:val="20"/>
                <w:lang w:val="en-US" w:bidi="hi-IN"/>
              </w:rPr>
            </w:pPr>
            <w:r w:rsidRPr="00AC22A0">
              <w:rPr>
                <w:rFonts w:ascii="Garamond" w:eastAsia="Times New Roman" w:hAnsi="Garamond"/>
                <w:sz w:val="20"/>
                <w:szCs w:val="20"/>
                <w:lang w:val="en-US" w:bidi="hi-IN"/>
              </w:rPr>
              <w:t xml:space="preserve">   (ii) Options on Index</w:t>
            </w:r>
          </w:p>
        </w:tc>
        <w:tc>
          <w:tcPr>
            <w:tcW w:w="1216"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1209"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1270" w:type="dxa"/>
            <w:tcBorders>
              <w:top w:val="nil"/>
              <w:left w:val="nil"/>
              <w:bottom w:val="nil"/>
              <w:right w:val="single" w:sz="4" w:space="0" w:color="auto"/>
            </w:tcBorders>
            <w:shd w:val="clear" w:color="000000" w:fill="F2F2F2"/>
            <w:noWrap/>
            <w:vAlign w:val="center"/>
            <w:hideMark/>
          </w:tcPr>
          <w:p w:rsidR="00994860" w:rsidRPr="00AC22A0" w:rsidRDefault="00994860" w:rsidP="00660BC8">
            <w:pPr>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70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72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r>
      <w:tr w:rsidR="00994860" w:rsidRPr="00AC22A0" w:rsidTr="00660BC8">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i/>
                <w:iCs/>
                <w:sz w:val="20"/>
                <w:szCs w:val="20"/>
                <w:lang w:val="en-US" w:bidi="hi-IN"/>
              </w:rPr>
            </w:pPr>
            <w:r w:rsidRPr="00AC22A0">
              <w:rPr>
                <w:rFonts w:ascii="Garamond" w:eastAsia="Times New Roman" w:hAnsi="Garamond"/>
                <w:i/>
                <w:iCs/>
                <w:sz w:val="20"/>
                <w:szCs w:val="20"/>
                <w:lang w:val="en-US" w:bidi="hi-IN"/>
              </w:rPr>
              <w:t xml:space="preserve">            Put</w:t>
            </w:r>
          </w:p>
        </w:tc>
        <w:tc>
          <w:tcPr>
            <w:tcW w:w="1216"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15,21,21,040</w:t>
            </w:r>
          </w:p>
        </w:tc>
        <w:tc>
          <w:tcPr>
            <w:tcW w:w="1209"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12,69,37,217</w:t>
            </w:r>
          </w:p>
        </w:tc>
        <w:tc>
          <w:tcPr>
            <w:tcW w:w="1270"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-16.6</w:t>
            </w:r>
          </w:p>
        </w:tc>
        <w:tc>
          <w:tcPr>
            <w:tcW w:w="70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NA</w:t>
            </w:r>
          </w:p>
        </w:tc>
      </w:tr>
      <w:tr w:rsidR="00994860" w:rsidRPr="00AC22A0" w:rsidTr="00660BC8">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i/>
                <w:iCs/>
                <w:sz w:val="20"/>
                <w:szCs w:val="20"/>
                <w:lang w:val="en-US" w:bidi="hi-IN"/>
              </w:rPr>
            </w:pPr>
            <w:r w:rsidRPr="00AC22A0">
              <w:rPr>
                <w:rFonts w:ascii="Garamond" w:eastAsia="Times New Roman" w:hAnsi="Garamond"/>
                <w:i/>
                <w:iCs/>
                <w:sz w:val="20"/>
                <w:szCs w:val="20"/>
                <w:lang w:val="en-US" w:bidi="hi-IN"/>
              </w:rPr>
              <w:t xml:space="preserve">           Call</w:t>
            </w:r>
          </w:p>
        </w:tc>
        <w:tc>
          <w:tcPr>
            <w:tcW w:w="1216"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17,36,12,999</w:t>
            </w:r>
          </w:p>
        </w:tc>
        <w:tc>
          <w:tcPr>
            <w:tcW w:w="1209"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14,01,05,033</w:t>
            </w:r>
          </w:p>
        </w:tc>
        <w:tc>
          <w:tcPr>
            <w:tcW w:w="1270"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-19.3</w:t>
            </w:r>
          </w:p>
        </w:tc>
        <w:tc>
          <w:tcPr>
            <w:tcW w:w="70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NA</w:t>
            </w:r>
          </w:p>
        </w:tc>
      </w:tr>
      <w:tr w:rsidR="00994860" w:rsidRPr="00AC22A0" w:rsidTr="00660BC8">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sz w:val="20"/>
                <w:szCs w:val="20"/>
                <w:lang w:val="en-US" w:bidi="hi-IN"/>
              </w:rPr>
            </w:pPr>
            <w:r w:rsidRPr="00AC22A0">
              <w:rPr>
                <w:rFonts w:ascii="Garamond" w:eastAsia="Times New Roman" w:hAnsi="Garamond"/>
                <w:sz w:val="20"/>
                <w:szCs w:val="20"/>
                <w:lang w:val="en-US" w:bidi="hi-IN"/>
              </w:rPr>
              <w:t xml:space="preserve">  (iii) Stock Futures</w:t>
            </w:r>
          </w:p>
        </w:tc>
        <w:tc>
          <w:tcPr>
            <w:tcW w:w="1216"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2,18,35,896</w:t>
            </w:r>
          </w:p>
        </w:tc>
        <w:tc>
          <w:tcPr>
            <w:tcW w:w="1209"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2,05,66,789</w:t>
            </w:r>
          </w:p>
        </w:tc>
        <w:tc>
          <w:tcPr>
            <w:tcW w:w="1270"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-5.8</w:t>
            </w:r>
          </w:p>
        </w:tc>
        <w:tc>
          <w:tcPr>
            <w:tcW w:w="70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5</w:t>
            </w:r>
          </w:p>
        </w:tc>
        <w:tc>
          <w:tcPr>
            <w:tcW w:w="72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11</w:t>
            </w:r>
          </w:p>
        </w:tc>
        <w:tc>
          <w:tcPr>
            <w:tcW w:w="128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120.0</w:t>
            </w:r>
          </w:p>
        </w:tc>
      </w:tr>
      <w:tr w:rsidR="00994860" w:rsidRPr="00AC22A0" w:rsidTr="00660BC8">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sz w:val="20"/>
                <w:szCs w:val="20"/>
                <w:lang w:val="en-US" w:bidi="hi-IN"/>
              </w:rPr>
            </w:pPr>
            <w:r w:rsidRPr="00AC22A0">
              <w:rPr>
                <w:rFonts w:ascii="Garamond" w:eastAsia="Times New Roman" w:hAnsi="Garamond"/>
                <w:sz w:val="20"/>
                <w:szCs w:val="20"/>
                <w:lang w:val="en-US" w:bidi="hi-IN"/>
              </w:rPr>
              <w:t>(iv) Options on Stock</w:t>
            </w:r>
          </w:p>
        </w:tc>
        <w:tc>
          <w:tcPr>
            <w:tcW w:w="1216"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1209"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1270"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70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72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r>
      <w:tr w:rsidR="00994860" w:rsidRPr="00AC22A0" w:rsidTr="00660BC8">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i/>
                <w:iCs/>
                <w:sz w:val="20"/>
                <w:szCs w:val="20"/>
                <w:lang w:val="en-US" w:bidi="hi-IN"/>
              </w:rPr>
            </w:pPr>
            <w:r w:rsidRPr="00AC22A0">
              <w:rPr>
                <w:rFonts w:ascii="Garamond" w:eastAsia="Times New Roman" w:hAnsi="Garamond"/>
                <w:i/>
                <w:iCs/>
                <w:sz w:val="20"/>
                <w:szCs w:val="20"/>
                <w:lang w:val="en-US" w:bidi="hi-IN"/>
              </w:rPr>
              <w:t xml:space="preserve">            Put</w:t>
            </w:r>
          </w:p>
        </w:tc>
        <w:tc>
          <w:tcPr>
            <w:tcW w:w="1216"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67,38,236</w:t>
            </w:r>
          </w:p>
        </w:tc>
        <w:tc>
          <w:tcPr>
            <w:tcW w:w="1209"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67,71,081</w:t>
            </w:r>
          </w:p>
        </w:tc>
        <w:tc>
          <w:tcPr>
            <w:tcW w:w="1270"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0.5</w:t>
            </w:r>
          </w:p>
        </w:tc>
        <w:tc>
          <w:tcPr>
            <w:tcW w:w="70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NA</w:t>
            </w:r>
          </w:p>
        </w:tc>
      </w:tr>
      <w:tr w:rsidR="00994860" w:rsidRPr="00AC22A0" w:rsidTr="00660BC8">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i/>
                <w:iCs/>
                <w:sz w:val="20"/>
                <w:szCs w:val="20"/>
                <w:lang w:val="en-US" w:bidi="hi-IN"/>
              </w:rPr>
            </w:pPr>
            <w:r w:rsidRPr="00AC22A0">
              <w:rPr>
                <w:rFonts w:ascii="Garamond" w:eastAsia="Times New Roman" w:hAnsi="Garamond"/>
                <w:i/>
                <w:iCs/>
                <w:sz w:val="20"/>
                <w:szCs w:val="20"/>
                <w:lang w:val="en-US" w:bidi="hi-IN"/>
              </w:rPr>
              <w:t xml:space="preserve">          Call</w:t>
            </w:r>
          </w:p>
        </w:tc>
        <w:tc>
          <w:tcPr>
            <w:tcW w:w="1216" w:type="dxa"/>
            <w:tcBorders>
              <w:top w:val="nil"/>
              <w:left w:val="nil"/>
              <w:bottom w:val="single" w:sz="4" w:space="0" w:color="auto"/>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1,19,34,197</w:t>
            </w:r>
          </w:p>
        </w:tc>
        <w:tc>
          <w:tcPr>
            <w:tcW w:w="1209" w:type="dxa"/>
            <w:tcBorders>
              <w:top w:val="nil"/>
              <w:left w:val="nil"/>
              <w:bottom w:val="single" w:sz="4" w:space="0" w:color="auto"/>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1,09,71,086</w:t>
            </w:r>
          </w:p>
        </w:tc>
        <w:tc>
          <w:tcPr>
            <w:tcW w:w="1270"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-8.1</w:t>
            </w:r>
          </w:p>
        </w:tc>
        <w:tc>
          <w:tcPr>
            <w:tcW w:w="70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w:t>
            </w:r>
          </w:p>
        </w:tc>
        <w:tc>
          <w:tcPr>
            <w:tcW w:w="1280" w:type="dxa"/>
            <w:tcBorders>
              <w:top w:val="nil"/>
              <w:left w:val="nil"/>
              <w:bottom w:val="single" w:sz="4" w:space="0" w:color="auto"/>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NA</w:t>
            </w:r>
          </w:p>
        </w:tc>
      </w:tr>
      <w:tr w:rsidR="00994860" w:rsidRPr="00AC22A0" w:rsidTr="00660BC8">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 xml:space="preserve">         Total</w:t>
            </w:r>
          </w:p>
        </w:tc>
        <w:tc>
          <w:tcPr>
            <w:tcW w:w="1216" w:type="dxa"/>
            <w:tcBorders>
              <w:top w:val="nil"/>
              <w:left w:val="nil"/>
              <w:bottom w:val="single" w:sz="4" w:space="0" w:color="auto"/>
              <w:right w:val="single" w:sz="4" w:space="0" w:color="auto"/>
            </w:tcBorders>
            <w:shd w:val="clear" w:color="000000" w:fill="C5D9F1"/>
            <w:noWrap/>
            <w:vAlign w:val="center"/>
            <w:hideMark/>
          </w:tcPr>
          <w:p w:rsidR="00994860" w:rsidRPr="00AC22A0" w:rsidRDefault="00994860" w:rsidP="00660BC8">
            <w:pPr>
              <w:jc w:val="right"/>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37,30,94,378</w:t>
            </w:r>
          </w:p>
        </w:tc>
        <w:tc>
          <w:tcPr>
            <w:tcW w:w="1209" w:type="dxa"/>
            <w:tcBorders>
              <w:top w:val="nil"/>
              <w:left w:val="nil"/>
              <w:bottom w:val="single" w:sz="4" w:space="0" w:color="auto"/>
              <w:right w:val="single" w:sz="4" w:space="0" w:color="auto"/>
            </w:tcBorders>
            <w:shd w:val="clear" w:color="000000" w:fill="C5D9F1"/>
            <w:noWrap/>
            <w:vAlign w:val="center"/>
            <w:hideMark/>
          </w:tcPr>
          <w:p w:rsidR="00994860" w:rsidRPr="00AC22A0" w:rsidRDefault="00994860" w:rsidP="00660BC8">
            <w:pPr>
              <w:jc w:val="right"/>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31,13,04,718</w:t>
            </w:r>
          </w:p>
        </w:tc>
        <w:tc>
          <w:tcPr>
            <w:tcW w:w="1270" w:type="dxa"/>
            <w:tcBorders>
              <w:top w:val="single" w:sz="4" w:space="0" w:color="auto"/>
              <w:left w:val="nil"/>
              <w:bottom w:val="single" w:sz="4" w:space="0" w:color="auto"/>
              <w:right w:val="single" w:sz="4" w:space="0" w:color="auto"/>
            </w:tcBorders>
            <w:shd w:val="clear" w:color="000000" w:fill="C5D9F1"/>
            <w:noWrap/>
            <w:vAlign w:val="center"/>
            <w:hideMark/>
          </w:tcPr>
          <w:p w:rsidR="00994860" w:rsidRPr="00AC22A0" w:rsidRDefault="00994860" w:rsidP="00660BC8">
            <w:pPr>
              <w:jc w:val="right"/>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-16.6</w:t>
            </w:r>
          </w:p>
        </w:tc>
        <w:tc>
          <w:tcPr>
            <w:tcW w:w="700" w:type="dxa"/>
            <w:tcBorders>
              <w:top w:val="single" w:sz="4" w:space="0" w:color="auto"/>
              <w:left w:val="nil"/>
              <w:bottom w:val="single" w:sz="4" w:space="0" w:color="auto"/>
              <w:right w:val="single" w:sz="4" w:space="0" w:color="auto"/>
            </w:tcBorders>
            <w:shd w:val="clear" w:color="000000" w:fill="C5D9F1"/>
            <w:noWrap/>
            <w:vAlign w:val="center"/>
            <w:hideMark/>
          </w:tcPr>
          <w:p w:rsidR="00994860" w:rsidRPr="00AC22A0" w:rsidRDefault="00994860" w:rsidP="00660BC8">
            <w:pPr>
              <w:jc w:val="right"/>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7</w:t>
            </w:r>
          </w:p>
        </w:tc>
        <w:tc>
          <w:tcPr>
            <w:tcW w:w="720" w:type="dxa"/>
            <w:tcBorders>
              <w:top w:val="single" w:sz="4" w:space="0" w:color="auto"/>
              <w:left w:val="nil"/>
              <w:bottom w:val="single" w:sz="4" w:space="0" w:color="auto"/>
              <w:right w:val="single" w:sz="4" w:space="0" w:color="auto"/>
            </w:tcBorders>
            <w:shd w:val="clear" w:color="000000" w:fill="C5D9F1"/>
            <w:noWrap/>
            <w:vAlign w:val="center"/>
            <w:hideMark/>
          </w:tcPr>
          <w:p w:rsidR="00994860" w:rsidRPr="00AC22A0" w:rsidRDefault="00994860" w:rsidP="00660BC8">
            <w:pPr>
              <w:jc w:val="right"/>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11</w:t>
            </w:r>
          </w:p>
        </w:tc>
        <w:tc>
          <w:tcPr>
            <w:tcW w:w="1280" w:type="dxa"/>
            <w:tcBorders>
              <w:top w:val="nil"/>
              <w:left w:val="nil"/>
              <w:bottom w:val="single" w:sz="4" w:space="0" w:color="auto"/>
              <w:right w:val="single" w:sz="4" w:space="0" w:color="auto"/>
            </w:tcBorders>
            <w:shd w:val="clear" w:color="000000" w:fill="C5D9F1"/>
            <w:noWrap/>
            <w:vAlign w:val="center"/>
            <w:hideMark/>
          </w:tcPr>
          <w:p w:rsidR="00994860" w:rsidRPr="00AC22A0" w:rsidRDefault="00994860" w:rsidP="00660BC8">
            <w:pPr>
              <w:jc w:val="right"/>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57.1</w:t>
            </w:r>
          </w:p>
        </w:tc>
      </w:tr>
      <w:tr w:rsidR="00994860" w:rsidRPr="00AC22A0" w:rsidTr="00660BC8">
        <w:trPr>
          <w:trHeight w:val="255"/>
        </w:trPr>
        <w:tc>
          <w:tcPr>
            <w:tcW w:w="8355"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994860" w:rsidRPr="00AC22A0" w:rsidRDefault="00994860" w:rsidP="00660BC8">
            <w:pPr>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 xml:space="preserve">C.  Open Interest in Terms of Value ( </w:t>
            </w:r>
            <w:r w:rsidRPr="00AC22A0">
              <w:rPr>
                <w:rFonts w:ascii="Rupee Foradian" w:eastAsia="Times New Roman" w:hAnsi="Rupee Foradian"/>
                <w:b/>
                <w:bCs/>
                <w:sz w:val="20"/>
                <w:szCs w:val="20"/>
                <w:lang w:val="en-US" w:bidi="hi-IN"/>
              </w:rPr>
              <w:t>`</w:t>
            </w:r>
            <w:r w:rsidRPr="00AC22A0">
              <w:rPr>
                <w:rFonts w:ascii="Garamond" w:eastAsia="Times New Roman" w:hAnsi="Garamond"/>
                <w:b/>
                <w:bCs/>
                <w:sz w:val="20"/>
                <w:szCs w:val="20"/>
                <w:lang w:val="en-US" w:bidi="hi-IN"/>
              </w:rPr>
              <w:t xml:space="preserve"> crore)</w:t>
            </w:r>
          </w:p>
        </w:tc>
      </w:tr>
      <w:tr w:rsidR="00994860" w:rsidRPr="00AC22A0" w:rsidTr="00660BC8">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sz w:val="20"/>
                <w:szCs w:val="20"/>
                <w:lang w:val="en-US" w:bidi="hi-IN"/>
              </w:rPr>
            </w:pPr>
            <w:r w:rsidRPr="00AC22A0">
              <w:rPr>
                <w:rFonts w:ascii="Garamond" w:eastAsia="Times New Roman" w:hAnsi="Garamond"/>
                <w:sz w:val="20"/>
                <w:szCs w:val="20"/>
                <w:lang w:val="en-US" w:bidi="hi-IN"/>
              </w:rPr>
              <w:t xml:space="preserve">   (i) Index  Futures</w:t>
            </w:r>
          </w:p>
        </w:tc>
        <w:tc>
          <w:tcPr>
            <w:tcW w:w="1216"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24,220</w:t>
            </w:r>
          </w:p>
        </w:tc>
        <w:tc>
          <w:tcPr>
            <w:tcW w:w="1209"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19,311</w:t>
            </w:r>
          </w:p>
        </w:tc>
        <w:tc>
          <w:tcPr>
            <w:tcW w:w="1270"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-20.3</w:t>
            </w:r>
          </w:p>
        </w:tc>
        <w:tc>
          <w:tcPr>
            <w:tcW w:w="70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NA</w:t>
            </w:r>
          </w:p>
        </w:tc>
      </w:tr>
      <w:tr w:rsidR="00994860" w:rsidRPr="00AC22A0" w:rsidTr="00660BC8">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sz w:val="20"/>
                <w:szCs w:val="20"/>
                <w:lang w:val="en-US" w:bidi="hi-IN"/>
              </w:rPr>
            </w:pPr>
            <w:r w:rsidRPr="00AC22A0">
              <w:rPr>
                <w:rFonts w:ascii="Garamond" w:eastAsia="Times New Roman" w:hAnsi="Garamond"/>
                <w:sz w:val="20"/>
                <w:szCs w:val="20"/>
                <w:lang w:val="en-US" w:bidi="hi-IN"/>
              </w:rPr>
              <w:t xml:space="preserve">   (ii) Options on Index</w:t>
            </w:r>
          </w:p>
        </w:tc>
        <w:tc>
          <w:tcPr>
            <w:tcW w:w="1216"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1209"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1270" w:type="dxa"/>
            <w:tcBorders>
              <w:top w:val="nil"/>
              <w:left w:val="nil"/>
              <w:bottom w:val="nil"/>
              <w:right w:val="single" w:sz="4" w:space="0" w:color="auto"/>
            </w:tcBorders>
            <w:shd w:val="clear" w:color="000000" w:fill="F2F2F2"/>
            <w:noWrap/>
            <w:vAlign w:val="center"/>
            <w:hideMark/>
          </w:tcPr>
          <w:p w:rsidR="00994860" w:rsidRPr="00AC22A0" w:rsidRDefault="00994860" w:rsidP="00660BC8">
            <w:pPr>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70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72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r>
      <w:tr w:rsidR="00994860" w:rsidRPr="00AC22A0" w:rsidTr="00660BC8">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i/>
                <w:iCs/>
                <w:sz w:val="20"/>
                <w:szCs w:val="20"/>
                <w:lang w:val="en-US" w:bidi="hi-IN"/>
              </w:rPr>
            </w:pPr>
            <w:r w:rsidRPr="00AC22A0">
              <w:rPr>
                <w:rFonts w:ascii="Garamond" w:eastAsia="Times New Roman" w:hAnsi="Garamond"/>
                <w:i/>
                <w:iCs/>
                <w:sz w:val="20"/>
                <w:szCs w:val="20"/>
                <w:lang w:val="en-US" w:bidi="hi-IN"/>
              </w:rPr>
              <w:t xml:space="preserve">            Put</w:t>
            </w:r>
          </w:p>
        </w:tc>
        <w:tc>
          <w:tcPr>
            <w:tcW w:w="1216"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63,689</w:t>
            </w:r>
          </w:p>
        </w:tc>
        <w:tc>
          <w:tcPr>
            <w:tcW w:w="1209"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62,749</w:t>
            </w:r>
          </w:p>
        </w:tc>
        <w:tc>
          <w:tcPr>
            <w:tcW w:w="1270"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-1.5</w:t>
            </w:r>
          </w:p>
        </w:tc>
        <w:tc>
          <w:tcPr>
            <w:tcW w:w="70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NA</w:t>
            </w:r>
          </w:p>
        </w:tc>
      </w:tr>
      <w:tr w:rsidR="00994860" w:rsidRPr="00AC22A0" w:rsidTr="00660BC8">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i/>
                <w:iCs/>
                <w:sz w:val="20"/>
                <w:szCs w:val="20"/>
                <w:lang w:val="en-US" w:bidi="hi-IN"/>
              </w:rPr>
            </w:pPr>
            <w:r w:rsidRPr="00AC22A0">
              <w:rPr>
                <w:rFonts w:ascii="Garamond" w:eastAsia="Times New Roman" w:hAnsi="Garamond"/>
                <w:i/>
                <w:iCs/>
                <w:sz w:val="20"/>
                <w:szCs w:val="20"/>
                <w:lang w:val="en-US" w:bidi="hi-IN"/>
              </w:rPr>
              <w:t xml:space="preserve">           Call</w:t>
            </w:r>
          </w:p>
        </w:tc>
        <w:tc>
          <w:tcPr>
            <w:tcW w:w="1216"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39,895</w:t>
            </w:r>
          </w:p>
        </w:tc>
        <w:tc>
          <w:tcPr>
            <w:tcW w:w="1209"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38,234</w:t>
            </w:r>
          </w:p>
        </w:tc>
        <w:tc>
          <w:tcPr>
            <w:tcW w:w="1270"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-4.2</w:t>
            </w:r>
          </w:p>
        </w:tc>
        <w:tc>
          <w:tcPr>
            <w:tcW w:w="70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NA</w:t>
            </w:r>
          </w:p>
        </w:tc>
      </w:tr>
      <w:tr w:rsidR="00994860" w:rsidRPr="00AC22A0" w:rsidTr="00660BC8">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sz w:val="20"/>
                <w:szCs w:val="20"/>
                <w:lang w:val="en-US" w:bidi="hi-IN"/>
              </w:rPr>
            </w:pPr>
            <w:r w:rsidRPr="00AC22A0">
              <w:rPr>
                <w:rFonts w:ascii="Garamond" w:eastAsia="Times New Roman" w:hAnsi="Garamond"/>
                <w:sz w:val="20"/>
                <w:szCs w:val="20"/>
                <w:lang w:val="en-US" w:bidi="hi-IN"/>
              </w:rPr>
              <w:t xml:space="preserve">  (iii) Stock Futures</w:t>
            </w:r>
          </w:p>
        </w:tc>
        <w:tc>
          <w:tcPr>
            <w:tcW w:w="1216"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1,02,924</w:t>
            </w:r>
          </w:p>
        </w:tc>
        <w:tc>
          <w:tcPr>
            <w:tcW w:w="1209"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1,00,193</w:t>
            </w:r>
          </w:p>
        </w:tc>
        <w:tc>
          <w:tcPr>
            <w:tcW w:w="1270"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-2.7</w:t>
            </w:r>
          </w:p>
        </w:tc>
        <w:tc>
          <w:tcPr>
            <w:tcW w:w="70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0.1</w:t>
            </w:r>
          </w:p>
        </w:tc>
        <w:tc>
          <w:tcPr>
            <w:tcW w:w="72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0.2</w:t>
            </w:r>
          </w:p>
        </w:tc>
        <w:tc>
          <w:tcPr>
            <w:tcW w:w="128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77.3</w:t>
            </w:r>
          </w:p>
        </w:tc>
      </w:tr>
      <w:tr w:rsidR="00994860" w:rsidRPr="00AC22A0" w:rsidTr="00660BC8">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sz w:val="20"/>
                <w:szCs w:val="20"/>
                <w:lang w:val="en-US" w:bidi="hi-IN"/>
              </w:rPr>
            </w:pPr>
            <w:r w:rsidRPr="00AC22A0">
              <w:rPr>
                <w:rFonts w:ascii="Garamond" w:eastAsia="Times New Roman" w:hAnsi="Garamond"/>
                <w:sz w:val="20"/>
                <w:szCs w:val="20"/>
                <w:lang w:val="en-US" w:bidi="hi-IN"/>
              </w:rPr>
              <w:t>(iv) Options on Stock</w:t>
            </w:r>
          </w:p>
        </w:tc>
        <w:tc>
          <w:tcPr>
            <w:tcW w:w="1216"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1209"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1270"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70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72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r>
      <w:tr w:rsidR="00994860" w:rsidRPr="00AC22A0" w:rsidTr="00660BC8">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i/>
                <w:iCs/>
                <w:sz w:val="20"/>
                <w:szCs w:val="20"/>
                <w:lang w:val="en-US" w:bidi="hi-IN"/>
              </w:rPr>
            </w:pPr>
            <w:r w:rsidRPr="00AC22A0">
              <w:rPr>
                <w:rFonts w:ascii="Garamond" w:eastAsia="Times New Roman" w:hAnsi="Garamond"/>
                <w:i/>
                <w:iCs/>
                <w:sz w:val="20"/>
                <w:szCs w:val="20"/>
                <w:lang w:val="en-US" w:bidi="hi-IN"/>
              </w:rPr>
              <w:t xml:space="preserve">            Put</w:t>
            </w:r>
          </w:p>
        </w:tc>
        <w:tc>
          <w:tcPr>
            <w:tcW w:w="1216"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5,521</w:t>
            </w:r>
          </w:p>
        </w:tc>
        <w:tc>
          <w:tcPr>
            <w:tcW w:w="1209"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5,171</w:t>
            </w:r>
          </w:p>
        </w:tc>
        <w:tc>
          <w:tcPr>
            <w:tcW w:w="1270"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-6.3</w:t>
            </w:r>
          </w:p>
        </w:tc>
        <w:tc>
          <w:tcPr>
            <w:tcW w:w="70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NA</w:t>
            </w:r>
          </w:p>
        </w:tc>
      </w:tr>
      <w:tr w:rsidR="00994860" w:rsidRPr="00AC22A0" w:rsidTr="00660BC8">
        <w:trPr>
          <w:trHeight w:val="31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i/>
                <w:iCs/>
                <w:sz w:val="20"/>
                <w:szCs w:val="20"/>
                <w:lang w:val="en-US" w:bidi="hi-IN"/>
              </w:rPr>
            </w:pPr>
            <w:r w:rsidRPr="00AC22A0">
              <w:rPr>
                <w:rFonts w:ascii="Garamond" w:eastAsia="Times New Roman" w:hAnsi="Garamond"/>
                <w:i/>
                <w:iCs/>
                <w:sz w:val="20"/>
                <w:szCs w:val="20"/>
                <w:lang w:val="en-US" w:bidi="hi-IN"/>
              </w:rPr>
              <w:t xml:space="preserve">          Call</w:t>
            </w:r>
          </w:p>
        </w:tc>
        <w:tc>
          <w:tcPr>
            <w:tcW w:w="1216" w:type="dxa"/>
            <w:tcBorders>
              <w:top w:val="nil"/>
              <w:left w:val="nil"/>
              <w:bottom w:val="single" w:sz="4" w:space="0" w:color="auto"/>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6,896</w:t>
            </w:r>
          </w:p>
        </w:tc>
        <w:tc>
          <w:tcPr>
            <w:tcW w:w="1209" w:type="dxa"/>
            <w:tcBorders>
              <w:top w:val="single" w:sz="4" w:space="0" w:color="auto"/>
              <w:left w:val="nil"/>
              <w:bottom w:val="single" w:sz="4" w:space="0" w:color="auto"/>
              <w:right w:val="single" w:sz="4" w:space="0" w:color="auto"/>
            </w:tcBorders>
            <w:shd w:val="clear" w:color="auto" w:fill="auto"/>
            <w:noWrap/>
            <w:hideMark/>
          </w:tcPr>
          <w:p w:rsidR="00994860" w:rsidRPr="00AC22A0" w:rsidRDefault="00994860" w:rsidP="00660BC8">
            <w:pPr>
              <w:rPr>
                <w:rFonts w:ascii="Garamond" w:eastAsia="Times New Roman" w:hAnsi="Garamond"/>
                <w:lang w:val="en-US" w:bidi="hi-IN"/>
              </w:rPr>
            </w:pPr>
            <w:r w:rsidRPr="00AC22A0">
              <w:rPr>
                <w:rFonts w:ascii="Garamond" w:eastAsia="Times New Roman" w:hAnsi="Garamond"/>
                <w:lang w:val="en-US" w:bidi="hi-IN"/>
              </w:rPr>
              <w:t xml:space="preserve">         6,486 </w:t>
            </w:r>
          </w:p>
        </w:tc>
        <w:tc>
          <w:tcPr>
            <w:tcW w:w="1270"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-6.0</w:t>
            </w:r>
          </w:p>
        </w:tc>
        <w:tc>
          <w:tcPr>
            <w:tcW w:w="700" w:type="dxa"/>
            <w:tcBorders>
              <w:top w:val="single" w:sz="4" w:space="0" w:color="auto"/>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w:t>
            </w:r>
          </w:p>
        </w:tc>
        <w:tc>
          <w:tcPr>
            <w:tcW w:w="720" w:type="dxa"/>
            <w:tcBorders>
              <w:top w:val="single" w:sz="4" w:space="0" w:color="auto"/>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w:t>
            </w:r>
          </w:p>
        </w:tc>
        <w:tc>
          <w:tcPr>
            <w:tcW w:w="1280" w:type="dxa"/>
            <w:tcBorders>
              <w:top w:val="nil"/>
              <w:left w:val="nil"/>
              <w:bottom w:val="single" w:sz="4" w:space="0" w:color="auto"/>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NA</w:t>
            </w:r>
          </w:p>
        </w:tc>
      </w:tr>
      <w:tr w:rsidR="00994860" w:rsidRPr="00AC22A0" w:rsidTr="00660BC8">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 xml:space="preserve">         Total</w:t>
            </w:r>
          </w:p>
        </w:tc>
        <w:tc>
          <w:tcPr>
            <w:tcW w:w="1216" w:type="dxa"/>
            <w:tcBorders>
              <w:top w:val="nil"/>
              <w:left w:val="nil"/>
              <w:bottom w:val="single" w:sz="4" w:space="0" w:color="auto"/>
              <w:right w:val="single" w:sz="4" w:space="0" w:color="auto"/>
            </w:tcBorders>
            <w:shd w:val="clear" w:color="000000" w:fill="C5D9F1"/>
            <w:noWrap/>
            <w:vAlign w:val="center"/>
            <w:hideMark/>
          </w:tcPr>
          <w:p w:rsidR="00994860" w:rsidRPr="00AC22A0" w:rsidRDefault="00994860" w:rsidP="00660BC8">
            <w:pPr>
              <w:jc w:val="right"/>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2,43,146</w:t>
            </w:r>
          </w:p>
        </w:tc>
        <w:tc>
          <w:tcPr>
            <w:tcW w:w="1209" w:type="dxa"/>
            <w:tcBorders>
              <w:top w:val="nil"/>
              <w:left w:val="nil"/>
              <w:bottom w:val="single" w:sz="4" w:space="0" w:color="auto"/>
              <w:right w:val="single" w:sz="4" w:space="0" w:color="auto"/>
            </w:tcBorders>
            <w:shd w:val="clear" w:color="000000" w:fill="C5D9F1"/>
            <w:noWrap/>
            <w:vAlign w:val="center"/>
            <w:hideMark/>
          </w:tcPr>
          <w:p w:rsidR="00994860" w:rsidRPr="00AC22A0" w:rsidRDefault="00994860" w:rsidP="00660BC8">
            <w:pPr>
              <w:jc w:val="right"/>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2,32,144</w:t>
            </w:r>
          </w:p>
        </w:tc>
        <w:tc>
          <w:tcPr>
            <w:tcW w:w="1270" w:type="dxa"/>
            <w:tcBorders>
              <w:top w:val="single" w:sz="4" w:space="0" w:color="auto"/>
              <w:left w:val="nil"/>
              <w:bottom w:val="single" w:sz="4" w:space="0" w:color="auto"/>
              <w:right w:val="single" w:sz="4" w:space="0" w:color="auto"/>
            </w:tcBorders>
            <w:shd w:val="clear" w:color="000000" w:fill="C5D9F1"/>
            <w:noWrap/>
            <w:vAlign w:val="center"/>
            <w:hideMark/>
          </w:tcPr>
          <w:p w:rsidR="00994860" w:rsidRPr="00AC22A0" w:rsidRDefault="00994860" w:rsidP="00660BC8">
            <w:pPr>
              <w:jc w:val="right"/>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-4.5</w:t>
            </w:r>
          </w:p>
        </w:tc>
        <w:tc>
          <w:tcPr>
            <w:tcW w:w="700" w:type="dxa"/>
            <w:tcBorders>
              <w:top w:val="single" w:sz="4" w:space="0" w:color="auto"/>
              <w:left w:val="nil"/>
              <w:bottom w:val="single" w:sz="4" w:space="0" w:color="auto"/>
              <w:right w:val="single" w:sz="4" w:space="0" w:color="auto"/>
            </w:tcBorders>
            <w:shd w:val="clear" w:color="000000" w:fill="C5D9F1"/>
            <w:noWrap/>
            <w:vAlign w:val="center"/>
            <w:hideMark/>
          </w:tcPr>
          <w:p w:rsidR="00994860" w:rsidRPr="00AC22A0" w:rsidRDefault="00994860" w:rsidP="00660BC8">
            <w:pPr>
              <w:jc w:val="right"/>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0.1</w:t>
            </w:r>
          </w:p>
        </w:tc>
        <w:tc>
          <w:tcPr>
            <w:tcW w:w="720" w:type="dxa"/>
            <w:tcBorders>
              <w:top w:val="single" w:sz="4" w:space="0" w:color="auto"/>
              <w:left w:val="nil"/>
              <w:bottom w:val="single" w:sz="4" w:space="0" w:color="auto"/>
              <w:right w:val="single" w:sz="4" w:space="0" w:color="auto"/>
            </w:tcBorders>
            <w:shd w:val="clear" w:color="000000" w:fill="C5D9F1"/>
            <w:noWrap/>
            <w:vAlign w:val="center"/>
            <w:hideMark/>
          </w:tcPr>
          <w:p w:rsidR="00994860" w:rsidRPr="00AC22A0" w:rsidRDefault="00994860" w:rsidP="00660BC8">
            <w:pPr>
              <w:jc w:val="right"/>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0.2</w:t>
            </w:r>
          </w:p>
        </w:tc>
        <w:tc>
          <w:tcPr>
            <w:tcW w:w="1280" w:type="dxa"/>
            <w:tcBorders>
              <w:top w:val="nil"/>
              <w:left w:val="nil"/>
              <w:bottom w:val="single" w:sz="4" w:space="0" w:color="auto"/>
              <w:right w:val="single" w:sz="4" w:space="0" w:color="auto"/>
            </w:tcBorders>
            <w:shd w:val="clear" w:color="000000" w:fill="C5D9F1"/>
            <w:noWrap/>
            <w:vAlign w:val="center"/>
            <w:hideMark/>
          </w:tcPr>
          <w:p w:rsidR="00994860" w:rsidRPr="00AC22A0" w:rsidRDefault="00994860" w:rsidP="00660BC8">
            <w:pPr>
              <w:jc w:val="right"/>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77.3</w:t>
            </w:r>
          </w:p>
        </w:tc>
      </w:tr>
      <w:tr w:rsidR="00994860" w:rsidRPr="00AC22A0" w:rsidTr="00660BC8">
        <w:trPr>
          <w:trHeight w:val="255"/>
        </w:trPr>
        <w:tc>
          <w:tcPr>
            <w:tcW w:w="8355"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994860" w:rsidRPr="00AC22A0" w:rsidRDefault="00994860" w:rsidP="00660BC8">
            <w:pPr>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D.  Open Interest in Terms of No of Contracts</w:t>
            </w:r>
          </w:p>
        </w:tc>
      </w:tr>
      <w:tr w:rsidR="00994860" w:rsidRPr="00AC22A0" w:rsidTr="00660BC8">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sz w:val="20"/>
                <w:szCs w:val="20"/>
                <w:lang w:val="en-US" w:bidi="hi-IN"/>
              </w:rPr>
            </w:pPr>
            <w:r w:rsidRPr="00AC22A0">
              <w:rPr>
                <w:rFonts w:ascii="Garamond" w:eastAsia="Times New Roman" w:hAnsi="Garamond"/>
                <w:sz w:val="20"/>
                <w:szCs w:val="20"/>
                <w:lang w:val="en-US" w:bidi="hi-IN"/>
              </w:rPr>
              <w:t xml:space="preserve">   (i) Index  Futures</w:t>
            </w:r>
          </w:p>
        </w:tc>
        <w:tc>
          <w:tcPr>
            <w:tcW w:w="1216"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3,21,854</w:t>
            </w:r>
          </w:p>
        </w:tc>
        <w:tc>
          <w:tcPr>
            <w:tcW w:w="1209"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2,58,639</w:t>
            </w:r>
          </w:p>
        </w:tc>
        <w:tc>
          <w:tcPr>
            <w:tcW w:w="1270"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-19.6</w:t>
            </w:r>
          </w:p>
        </w:tc>
        <w:tc>
          <w:tcPr>
            <w:tcW w:w="70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NA</w:t>
            </w:r>
          </w:p>
        </w:tc>
      </w:tr>
      <w:tr w:rsidR="00994860" w:rsidRPr="00AC22A0" w:rsidTr="00660BC8">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sz w:val="20"/>
                <w:szCs w:val="20"/>
                <w:lang w:val="en-US" w:bidi="hi-IN"/>
              </w:rPr>
            </w:pPr>
            <w:r w:rsidRPr="00AC22A0">
              <w:rPr>
                <w:rFonts w:ascii="Garamond" w:eastAsia="Times New Roman" w:hAnsi="Garamond"/>
                <w:sz w:val="20"/>
                <w:szCs w:val="20"/>
                <w:lang w:val="en-US" w:bidi="hi-IN"/>
              </w:rPr>
              <w:t xml:space="preserve">   (ii) Options on Index</w:t>
            </w:r>
          </w:p>
        </w:tc>
        <w:tc>
          <w:tcPr>
            <w:tcW w:w="1216"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1209"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1270" w:type="dxa"/>
            <w:tcBorders>
              <w:top w:val="nil"/>
              <w:left w:val="nil"/>
              <w:bottom w:val="nil"/>
              <w:right w:val="single" w:sz="4" w:space="0" w:color="auto"/>
            </w:tcBorders>
            <w:shd w:val="clear" w:color="000000" w:fill="F2F2F2"/>
            <w:noWrap/>
            <w:vAlign w:val="center"/>
            <w:hideMark/>
          </w:tcPr>
          <w:p w:rsidR="00994860" w:rsidRPr="00AC22A0" w:rsidRDefault="00994860" w:rsidP="00660BC8">
            <w:pPr>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70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72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r>
      <w:tr w:rsidR="00994860" w:rsidRPr="00AC22A0" w:rsidTr="00660BC8">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i/>
                <w:iCs/>
                <w:sz w:val="20"/>
                <w:szCs w:val="20"/>
                <w:lang w:val="en-US" w:bidi="hi-IN"/>
              </w:rPr>
            </w:pPr>
            <w:r w:rsidRPr="00AC22A0">
              <w:rPr>
                <w:rFonts w:ascii="Garamond" w:eastAsia="Times New Roman" w:hAnsi="Garamond"/>
                <w:i/>
                <w:iCs/>
                <w:sz w:val="20"/>
                <w:szCs w:val="20"/>
                <w:lang w:val="en-US" w:bidi="hi-IN"/>
              </w:rPr>
              <w:t xml:space="preserve">            Put</w:t>
            </w:r>
          </w:p>
        </w:tc>
        <w:tc>
          <w:tcPr>
            <w:tcW w:w="1216"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8,60,632</w:t>
            </w:r>
          </w:p>
        </w:tc>
        <w:tc>
          <w:tcPr>
            <w:tcW w:w="1209"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8,45,612</w:t>
            </w:r>
          </w:p>
        </w:tc>
        <w:tc>
          <w:tcPr>
            <w:tcW w:w="1270"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-1.7</w:t>
            </w:r>
          </w:p>
        </w:tc>
        <w:tc>
          <w:tcPr>
            <w:tcW w:w="70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NA</w:t>
            </w:r>
          </w:p>
        </w:tc>
      </w:tr>
      <w:tr w:rsidR="00994860" w:rsidRPr="00AC22A0" w:rsidTr="00660BC8">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i/>
                <w:iCs/>
                <w:sz w:val="20"/>
                <w:szCs w:val="20"/>
                <w:lang w:val="en-US" w:bidi="hi-IN"/>
              </w:rPr>
            </w:pPr>
            <w:r w:rsidRPr="00AC22A0">
              <w:rPr>
                <w:rFonts w:ascii="Garamond" w:eastAsia="Times New Roman" w:hAnsi="Garamond"/>
                <w:i/>
                <w:iCs/>
                <w:sz w:val="20"/>
                <w:szCs w:val="20"/>
                <w:lang w:val="en-US" w:bidi="hi-IN"/>
              </w:rPr>
              <w:t xml:space="preserve">           Call</w:t>
            </w:r>
          </w:p>
        </w:tc>
        <w:tc>
          <w:tcPr>
            <w:tcW w:w="1216"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5,45,858</w:t>
            </w:r>
          </w:p>
        </w:tc>
        <w:tc>
          <w:tcPr>
            <w:tcW w:w="1209"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5,23,077</w:t>
            </w:r>
          </w:p>
        </w:tc>
        <w:tc>
          <w:tcPr>
            <w:tcW w:w="1270"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-4.2</w:t>
            </w:r>
          </w:p>
        </w:tc>
        <w:tc>
          <w:tcPr>
            <w:tcW w:w="70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NA</w:t>
            </w:r>
          </w:p>
        </w:tc>
      </w:tr>
      <w:tr w:rsidR="00994860" w:rsidRPr="00AC22A0" w:rsidTr="00660BC8">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sz w:val="20"/>
                <w:szCs w:val="20"/>
                <w:lang w:val="en-US" w:bidi="hi-IN"/>
              </w:rPr>
            </w:pPr>
            <w:r w:rsidRPr="00AC22A0">
              <w:rPr>
                <w:rFonts w:ascii="Garamond" w:eastAsia="Times New Roman" w:hAnsi="Garamond"/>
                <w:sz w:val="20"/>
                <w:szCs w:val="20"/>
                <w:lang w:val="en-US" w:bidi="hi-IN"/>
              </w:rPr>
              <w:t xml:space="preserve">  (iii) Stock Futures</w:t>
            </w:r>
          </w:p>
        </w:tc>
        <w:tc>
          <w:tcPr>
            <w:tcW w:w="1216"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17,62,208</w:t>
            </w:r>
          </w:p>
        </w:tc>
        <w:tc>
          <w:tcPr>
            <w:tcW w:w="1209"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17,04,039</w:t>
            </w:r>
          </w:p>
        </w:tc>
        <w:tc>
          <w:tcPr>
            <w:tcW w:w="1270"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-94.3</w:t>
            </w:r>
          </w:p>
        </w:tc>
        <w:tc>
          <w:tcPr>
            <w:tcW w:w="70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2</w:t>
            </w:r>
          </w:p>
        </w:tc>
        <w:tc>
          <w:tcPr>
            <w:tcW w:w="72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3</w:t>
            </w:r>
          </w:p>
        </w:tc>
        <w:tc>
          <w:tcPr>
            <w:tcW w:w="128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50.0</w:t>
            </w:r>
          </w:p>
        </w:tc>
      </w:tr>
      <w:tr w:rsidR="00994860" w:rsidRPr="00AC22A0" w:rsidTr="00660BC8">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sz w:val="20"/>
                <w:szCs w:val="20"/>
                <w:lang w:val="en-US" w:bidi="hi-IN"/>
              </w:rPr>
            </w:pPr>
            <w:r w:rsidRPr="00AC22A0">
              <w:rPr>
                <w:rFonts w:ascii="Garamond" w:eastAsia="Times New Roman" w:hAnsi="Garamond"/>
                <w:sz w:val="20"/>
                <w:szCs w:val="20"/>
                <w:lang w:val="en-US" w:bidi="hi-IN"/>
              </w:rPr>
              <w:t>(iv) Options on Stock</w:t>
            </w:r>
          </w:p>
        </w:tc>
        <w:tc>
          <w:tcPr>
            <w:tcW w:w="1216"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1209"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1270"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70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72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 </w:t>
            </w:r>
          </w:p>
        </w:tc>
      </w:tr>
      <w:tr w:rsidR="00994860" w:rsidRPr="00AC22A0" w:rsidTr="00660BC8">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i/>
                <w:iCs/>
                <w:sz w:val="20"/>
                <w:szCs w:val="20"/>
                <w:lang w:val="en-US" w:bidi="hi-IN"/>
              </w:rPr>
            </w:pPr>
            <w:r w:rsidRPr="00AC22A0">
              <w:rPr>
                <w:rFonts w:ascii="Garamond" w:eastAsia="Times New Roman" w:hAnsi="Garamond"/>
                <w:i/>
                <w:iCs/>
                <w:sz w:val="20"/>
                <w:szCs w:val="20"/>
                <w:lang w:val="en-US" w:bidi="hi-IN"/>
              </w:rPr>
              <w:t xml:space="preserve">            Put</w:t>
            </w:r>
          </w:p>
        </w:tc>
        <w:tc>
          <w:tcPr>
            <w:tcW w:w="1216"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94,232</w:t>
            </w:r>
          </w:p>
        </w:tc>
        <w:tc>
          <w:tcPr>
            <w:tcW w:w="1209"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88,521</w:t>
            </w:r>
          </w:p>
        </w:tc>
        <w:tc>
          <w:tcPr>
            <w:tcW w:w="1270"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-6.1</w:t>
            </w:r>
          </w:p>
        </w:tc>
        <w:tc>
          <w:tcPr>
            <w:tcW w:w="70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NA</w:t>
            </w:r>
          </w:p>
        </w:tc>
      </w:tr>
      <w:tr w:rsidR="00994860" w:rsidRPr="00AC22A0" w:rsidTr="00660BC8">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i/>
                <w:iCs/>
                <w:sz w:val="20"/>
                <w:szCs w:val="20"/>
                <w:lang w:val="en-US" w:bidi="hi-IN"/>
              </w:rPr>
            </w:pPr>
            <w:r w:rsidRPr="00AC22A0">
              <w:rPr>
                <w:rFonts w:ascii="Garamond" w:eastAsia="Times New Roman" w:hAnsi="Garamond"/>
                <w:i/>
                <w:iCs/>
                <w:sz w:val="20"/>
                <w:szCs w:val="20"/>
                <w:lang w:val="en-US" w:bidi="hi-IN"/>
              </w:rPr>
              <w:t xml:space="preserve">          Call</w:t>
            </w:r>
          </w:p>
        </w:tc>
        <w:tc>
          <w:tcPr>
            <w:tcW w:w="1216" w:type="dxa"/>
            <w:tcBorders>
              <w:top w:val="nil"/>
              <w:left w:val="nil"/>
              <w:bottom w:val="single" w:sz="4" w:space="0" w:color="auto"/>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1,21,202</w:t>
            </w:r>
          </w:p>
        </w:tc>
        <w:tc>
          <w:tcPr>
            <w:tcW w:w="1209" w:type="dxa"/>
            <w:tcBorders>
              <w:top w:val="nil"/>
              <w:left w:val="nil"/>
              <w:bottom w:val="single" w:sz="4" w:space="0" w:color="auto"/>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1,14,755</w:t>
            </w:r>
          </w:p>
        </w:tc>
        <w:tc>
          <w:tcPr>
            <w:tcW w:w="1270" w:type="dxa"/>
            <w:tcBorders>
              <w:top w:val="nil"/>
              <w:left w:val="nil"/>
              <w:bottom w:val="nil"/>
              <w:right w:val="single" w:sz="4" w:space="0" w:color="auto"/>
            </w:tcBorders>
            <w:shd w:val="clear" w:color="000000" w:fill="F2F2F2"/>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-5.3</w:t>
            </w:r>
          </w:p>
        </w:tc>
        <w:tc>
          <w:tcPr>
            <w:tcW w:w="700" w:type="dxa"/>
            <w:tcBorders>
              <w:top w:val="nil"/>
              <w:left w:val="nil"/>
              <w:bottom w:val="single" w:sz="4" w:space="0" w:color="auto"/>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w:t>
            </w:r>
          </w:p>
        </w:tc>
        <w:tc>
          <w:tcPr>
            <w:tcW w:w="720" w:type="dxa"/>
            <w:tcBorders>
              <w:top w:val="nil"/>
              <w:left w:val="nil"/>
              <w:bottom w:val="single" w:sz="4" w:space="0" w:color="auto"/>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0</w:t>
            </w:r>
          </w:p>
        </w:tc>
        <w:tc>
          <w:tcPr>
            <w:tcW w:w="1280" w:type="dxa"/>
            <w:tcBorders>
              <w:top w:val="nil"/>
              <w:left w:val="nil"/>
              <w:bottom w:val="single" w:sz="4" w:space="0" w:color="auto"/>
              <w:right w:val="single" w:sz="4" w:space="0" w:color="auto"/>
            </w:tcBorders>
            <w:shd w:val="clear" w:color="auto" w:fill="auto"/>
            <w:noWrap/>
            <w:vAlign w:val="center"/>
            <w:hideMark/>
          </w:tcPr>
          <w:p w:rsidR="00994860" w:rsidRPr="00AC22A0" w:rsidRDefault="00994860" w:rsidP="00660BC8">
            <w:pPr>
              <w:jc w:val="right"/>
              <w:rPr>
                <w:rFonts w:ascii="Garamond" w:eastAsia="Times New Roman" w:hAnsi="Garamond"/>
                <w:sz w:val="20"/>
                <w:szCs w:val="20"/>
                <w:lang w:val="en-US" w:bidi="hi-IN"/>
              </w:rPr>
            </w:pPr>
            <w:r w:rsidRPr="00AC22A0">
              <w:rPr>
                <w:rFonts w:ascii="Garamond" w:eastAsia="Times New Roman" w:hAnsi="Garamond"/>
                <w:sz w:val="20"/>
                <w:szCs w:val="20"/>
                <w:lang w:val="en-US" w:bidi="hi-IN"/>
              </w:rPr>
              <w:t>NA</w:t>
            </w:r>
          </w:p>
        </w:tc>
      </w:tr>
      <w:tr w:rsidR="00994860" w:rsidRPr="00AC22A0" w:rsidTr="00660BC8">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994860" w:rsidRPr="00AC22A0" w:rsidRDefault="00994860" w:rsidP="00660BC8">
            <w:pPr>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 xml:space="preserve">         Total</w:t>
            </w:r>
          </w:p>
        </w:tc>
        <w:tc>
          <w:tcPr>
            <w:tcW w:w="1216" w:type="dxa"/>
            <w:tcBorders>
              <w:top w:val="nil"/>
              <w:left w:val="nil"/>
              <w:bottom w:val="single" w:sz="4" w:space="0" w:color="auto"/>
              <w:right w:val="single" w:sz="4" w:space="0" w:color="auto"/>
            </w:tcBorders>
            <w:shd w:val="clear" w:color="000000" w:fill="C5D9F1"/>
            <w:noWrap/>
            <w:vAlign w:val="center"/>
            <w:hideMark/>
          </w:tcPr>
          <w:p w:rsidR="00994860" w:rsidRPr="00AC22A0" w:rsidRDefault="00994860" w:rsidP="00660BC8">
            <w:pPr>
              <w:jc w:val="right"/>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37,05,986</w:t>
            </w:r>
          </w:p>
        </w:tc>
        <w:tc>
          <w:tcPr>
            <w:tcW w:w="1209" w:type="dxa"/>
            <w:tcBorders>
              <w:top w:val="nil"/>
              <w:left w:val="nil"/>
              <w:bottom w:val="single" w:sz="4" w:space="0" w:color="auto"/>
              <w:right w:val="single" w:sz="4" w:space="0" w:color="auto"/>
            </w:tcBorders>
            <w:shd w:val="clear" w:color="000000" w:fill="C5D9F1"/>
            <w:noWrap/>
            <w:vAlign w:val="center"/>
            <w:hideMark/>
          </w:tcPr>
          <w:p w:rsidR="00994860" w:rsidRPr="00AC22A0" w:rsidRDefault="00994860" w:rsidP="00660BC8">
            <w:pPr>
              <w:jc w:val="right"/>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35,34,643</w:t>
            </w:r>
          </w:p>
        </w:tc>
        <w:tc>
          <w:tcPr>
            <w:tcW w:w="1270" w:type="dxa"/>
            <w:tcBorders>
              <w:top w:val="single" w:sz="4" w:space="0" w:color="auto"/>
              <w:left w:val="nil"/>
              <w:bottom w:val="single" w:sz="4" w:space="0" w:color="auto"/>
              <w:right w:val="single" w:sz="4" w:space="0" w:color="auto"/>
            </w:tcBorders>
            <w:shd w:val="clear" w:color="000000" w:fill="C5D9F1"/>
            <w:noWrap/>
            <w:vAlign w:val="center"/>
            <w:hideMark/>
          </w:tcPr>
          <w:p w:rsidR="00994860" w:rsidRPr="00AC22A0" w:rsidRDefault="00994860" w:rsidP="00660BC8">
            <w:pPr>
              <w:jc w:val="right"/>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-4.6</w:t>
            </w:r>
          </w:p>
        </w:tc>
        <w:tc>
          <w:tcPr>
            <w:tcW w:w="700" w:type="dxa"/>
            <w:tcBorders>
              <w:top w:val="nil"/>
              <w:left w:val="nil"/>
              <w:bottom w:val="single" w:sz="4" w:space="0" w:color="auto"/>
              <w:right w:val="single" w:sz="4" w:space="0" w:color="auto"/>
            </w:tcBorders>
            <w:shd w:val="clear" w:color="000000" w:fill="C5D9F1"/>
            <w:noWrap/>
            <w:vAlign w:val="center"/>
            <w:hideMark/>
          </w:tcPr>
          <w:p w:rsidR="00994860" w:rsidRPr="00AC22A0" w:rsidRDefault="00994860" w:rsidP="00660BC8">
            <w:pPr>
              <w:jc w:val="right"/>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2</w:t>
            </w:r>
          </w:p>
        </w:tc>
        <w:tc>
          <w:tcPr>
            <w:tcW w:w="720" w:type="dxa"/>
            <w:tcBorders>
              <w:top w:val="nil"/>
              <w:left w:val="nil"/>
              <w:bottom w:val="single" w:sz="4" w:space="0" w:color="auto"/>
              <w:right w:val="single" w:sz="4" w:space="0" w:color="auto"/>
            </w:tcBorders>
            <w:shd w:val="clear" w:color="000000" w:fill="C5D9F1"/>
            <w:noWrap/>
            <w:vAlign w:val="center"/>
            <w:hideMark/>
          </w:tcPr>
          <w:p w:rsidR="00994860" w:rsidRPr="00AC22A0" w:rsidRDefault="00994860" w:rsidP="00660BC8">
            <w:pPr>
              <w:jc w:val="right"/>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3</w:t>
            </w:r>
          </w:p>
        </w:tc>
        <w:tc>
          <w:tcPr>
            <w:tcW w:w="1280" w:type="dxa"/>
            <w:tcBorders>
              <w:top w:val="nil"/>
              <w:left w:val="nil"/>
              <w:bottom w:val="single" w:sz="4" w:space="0" w:color="auto"/>
              <w:right w:val="single" w:sz="4" w:space="0" w:color="auto"/>
            </w:tcBorders>
            <w:shd w:val="clear" w:color="000000" w:fill="C5D9F1"/>
            <w:noWrap/>
            <w:vAlign w:val="center"/>
            <w:hideMark/>
          </w:tcPr>
          <w:p w:rsidR="00994860" w:rsidRPr="00AC22A0" w:rsidRDefault="00994860" w:rsidP="00660BC8">
            <w:pPr>
              <w:jc w:val="right"/>
              <w:rPr>
                <w:rFonts w:ascii="Garamond" w:eastAsia="Times New Roman" w:hAnsi="Garamond"/>
                <w:b/>
                <w:bCs/>
                <w:sz w:val="20"/>
                <w:szCs w:val="20"/>
                <w:lang w:val="en-US" w:bidi="hi-IN"/>
              </w:rPr>
            </w:pPr>
            <w:r w:rsidRPr="00AC22A0">
              <w:rPr>
                <w:rFonts w:ascii="Garamond" w:eastAsia="Times New Roman" w:hAnsi="Garamond"/>
                <w:b/>
                <w:bCs/>
                <w:sz w:val="20"/>
                <w:szCs w:val="20"/>
                <w:lang w:val="en-US" w:bidi="hi-IN"/>
              </w:rPr>
              <w:t>50.0</w:t>
            </w:r>
          </w:p>
        </w:tc>
      </w:tr>
    </w:tbl>
    <w:p w:rsidR="00994860" w:rsidRPr="001C7B28" w:rsidRDefault="00994860" w:rsidP="00994860">
      <w:pPr>
        <w:tabs>
          <w:tab w:val="left" w:pos="3135"/>
        </w:tabs>
        <w:rPr>
          <w:rFonts w:ascii="Palatino Linotype" w:eastAsia="Times New Roman" w:hAnsi="Palatino Linotype"/>
          <w:b/>
          <w:bCs/>
          <w:sz w:val="22"/>
          <w:szCs w:val="22"/>
          <w:highlight w:val="yellow"/>
        </w:rPr>
      </w:pPr>
      <w:r w:rsidRPr="001C7B28">
        <w:rPr>
          <w:rFonts w:ascii="Palatino Linotype" w:hAnsi="Palatino Linotype"/>
          <w:b/>
          <w:sz w:val="16"/>
          <w:szCs w:val="18"/>
        </w:rPr>
        <w:t>Source: NSE and BSE</w:t>
      </w:r>
    </w:p>
    <w:p w:rsidR="00994860" w:rsidRPr="00C256D7" w:rsidRDefault="00994860" w:rsidP="00994860">
      <w:pPr>
        <w:tabs>
          <w:tab w:val="left" w:pos="6100"/>
        </w:tabs>
        <w:rPr>
          <w:rFonts w:ascii="Palatino Linotype" w:eastAsia="Times New Roman" w:hAnsi="Palatino Linotype"/>
          <w:b/>
          <w:bCs/>
          <w:sz w:val="22"/>
          <w:szCs w:val="22"/>
          <w:highlight w:val="yellow"/>
        </w:rPr>
      </w:pPr>
    </w:p>
    <w:p w:rsidR="00994860" w:rsidRPr="00D2167C" w:rsidRDefault="00994860" w:rsidP="00994860">
      <w:pPr>
        <w:widowControl w:val="0"/>
        <w:numPr>
          <w:ilvl w:val="0"/>
          <w:numId w:val="3"/>
        </w:numPr>
        <w:contextualSpacing/>
        <w:jc w:val="both"/>
        <w:outlineLvl w:val="0"/>
        <w:rPr>
          <w:rFonts w:ascii="Palatino Linotype" w:hAnsi="Palatino Linotype"/>
          <w:b/>
          <w:sz w:val="22"/>
          <w:szCs w:val="22"/>
        </w:rPr>
      </w:pPr>
      <w:r w:rsidRPr="00D2167C">
        <w:rPr>
          <w:rFonts w:ascii="Palatino Linotype" w:hAnsi="Palatino Linotype"/>
          <w:b/>
          <w:sz w:val="22"/>
          <w:szCs w:val="22"/>
        </w:rPr>
        <w:t>Currency Derivatives at NSE, BSE and MSEI</w:t>
      </w:r>
    </w:p>
    <w:p w:rsidR="00994860" w:rsidRPr="00085A8E" w:rsidRDefault="00994860" w:rsidP="00994860">
      <w:pPr>
        <w:widowControl w:val="0"/>
        <w:contextualSpacing/>
        <w:jc w:val="both"/>
        <w:outlineLvl w:val="0"/>
        <w:rPr>
          <w:rFonts w:ascii="Palatino Linotype" w:hAnsi="Palatino Linotype"/>
          <w:b/>
          <w:sz w:val="22"/>
          <w:szCs w:val="22"/>
        </w:rPr>
      </w:pPr>
    </w:p>
    <w:p w:rsidR="00994860" w:rsidRPr="00085A8E" w:rsidRDefault="00994860" w:rsidP="00994860">
      <w:pPr>
        <w:jc w:val="both"/>
        <w:rPr>
          <w:rFonts w:ascii="Arial" w:eastAsia="Times New Roman" w:hAnsi="Arial" w:cs="Arial"/>
          <w:color w:val="000000"/>
          <w:sz w:val="20"/>
          <w:szCs w:val="20"/>
          <w:lang w:val="en-US" w:bidi="hi-IN"/>
        </w:rPr>
      </w:pPr>
      <w:r w:rsidRPr="00085A8E">
        <w:rPr>
          <w:rFonts w:ascii="Palatino Linotype" w:eastAsia="Times New Roman" w:hAnsi="Palatino Linotype"/>
          <w:sz w:val="22"/>
          <w:szCs w:val="22"/>
        </w:rPr>
        <w:lastRenderedPageBreak/>
        <w:t xml:space="preserve">The monthly turnover of currency derivatives at NSE during February 2019 decreased by 9.2 per cent to </w:t>
      </w:r>
      <w:r w:rsidRPr="00085A8E">
        <w:rPr>
          <w:rFonts w:ascii="Rupee Foradian" w:eastAsia="Times New Roman" w:hAnsi="Rupee Foradian"/>
          <w:sz w:val="22"/>
          <w:szCs w:val="22"/>
        </w:rPr>
        <w:t>`</w:t>
      </w:r>
      <w:r w:rsidRPr="00085A8E">
        <w:rPr>
          <w:rFonts w:ascii="Arial" w:hAnsi="Arial" w:cs="Arial"/>
          <w:color w:val="000000"/>
          <w:sz w:val="20"/>
          <w:szCs w:val="20"/>
        </w:rPr>
        <w:t xml:space="preserve"> </w:t>
      </w:r>
      <w:r w:rsidRPr="00085A8E">
        <w:rPr>
          <w:rFonts w:ascii="Palatino Linotype" w:eastAsia="Times New Roman" w:hAnsi="Palatino Linotype"/>
          <w:sz w:val="22"/>
          <w:szCs w:val="22"/>
        </w:rPr>
        <w:t>6,80,354</w:t>
      </w:r>
      <w:r w:rsidRPr="00085A8E">
        <w:rPr>
          <w:rFonts w:ascii="Arial" w:eastAsia="Times New Roman" w:hAnsi="Arial" w:cs="Arial"/>
          <w:color w:val="000000"/>
          <w:sz w:val="20"/>
          <w:szCs w:val="20"/>
          <w:lang w:val="en-US" w:bidi="hi-IN"/>
        </w:rPr>
        <w:t xml:space="preserve"> </w:t>
      </w:r>
      <w:r w:rsidRPr="00085A8E">
        <w:rPr>
          <w:rFonts w:ascii="Palatino Linotype" w:eastAsia="Times New Roman" w:hAnsi="Palatino Linotype"/>
          <w:sz w:val="22"/>
          <w:szCs w:val="22"/>
        </w:rPr>
        <w:t xml:space="preserve">crore from </w:t>
      </w:r>
      <w:r w:rsidRPr="00085A8E">
        <w:rPr>
          <w:rFonts w:ascii="Rupee Foradian" w:eastAsia="Times New Roman" w:hAnsi="Rupee Foradian"/>
          <w:sz w:val="22"/>
          <w:szCs w:val="22"/>
        </w:rPr>
        <w:t>`</w:t>
      </w:r>
      <w:r w:rsidRPr="00085A8E">
        <w:rPr>
          <w:rFonts w:ascii="Palatino Linotype" w:eastAsia="Times New Roman" w:hAnsi="Palatino Linotype"/>
          <w:sz w:val="22"/>
          <w:szCs w:val="22"/>
        </w:rPr>
        <w:t xml:space="preserve">7, 49,483 crore in </w:t>
      </w:r>
      <w:r w:rsidRPr="004D2766">
        <w:rPr>
          <w:rFonts w:ascii="Palatino Linotype" w:eastAsia="Times New Roman" w:hAnsi="Palatino Linotype"/>
          <w:sz w:val="22"/>
          <w:szCs w:val="22"/>
        </w:rPr>
        <w:t xml:space="preserve">January 2019.During the same time, the monthly turnover of currency derivatives at BSE and MSEI also decreased by 2.3 per cent and 10.1 per cent respectively as compared to the previous month. </w:t>
      </w:r>
    </w:p>
    <w:p w:rsidR="00994860" w:rsidRPr="00C256D7" w:rsidRDefault="00994860" w:rsidP="00994860">
      <w:pPr>
        <w:jc w:val="both"/>
        <w:rPr>
          <w:rFonts w:ascii="Palatino Linotype" w:eastAsia="Times New Roman" w:hAnsi="Palatino Linotype"/>
          <w:sz w:val="22"/>
          <w:szCs w:val="22"/>
          <w:highlight w:val="yellow"/>
          <w:lang w:val="en-US"/>
        </w:rPr>
      </w:pPr>
    </w:p>
    <w:p w:rsidR="00994860" w:rsidRPr="00D2167C" w:rsidRDefault="00994860" w:rsidP="00994860">
      <w:pPr>
        <w:keepNext/>
        <w:jc w:val="center"/>
        <w:outlineLvl w:val="0"/>
        <w:rPr>
          <w:rFonts w:ascii="Palatino Linotype" w:hAnsi="Palatino Linotype"/>
          <w:b/>
          <w:bCs/>
          <w:sz w:val="22"/>
          <w:szCs w:val="22"/>
        </w:rPr>
      </w:pPr>
      <w:r w:rsidRPr="00D2167C">
        <w:rPr>
          <w:rFonts w:ascii="Palatino Linotype" w:hAnsi="Palatino Linotype"/>
          <w:b/>
          <w:bCs/>
          <w:sz w:val="22"/>
          <w:szCs w:val="22"/>
        </w:rPr>
        <w:t>Figure 7: Trends of Currency Derivatives at NSE, MSEI and BSE (</w:t>
      </w:r>
      <w:r w:rsidRPr="00D2167C">
        <w:rPr>
          <w:rFonts w:ascii="Times New Roman" w:hAnsi="Times New Roman"/>
          <w:b/>
          <w:bCs/>
          <w:sz w:val="22"/>
          <w:szCs w:val="22"/>
        </w:rPr>
        <w:t>₹</w:t>
      </w:r>
      <w:r w:rsidRPr="00D2167C">
        <w:rPr>
          <w:rFonts w:ascii="Palatino Linotype" w:eastAsia="Times New Roman" w:hAnsi="Palatino Linotype" w:cs="Helvetica"/>
          <w:b/>
          <w:bCs/>
          <w:sz w:val="22"/>
          <w:szCs w:val="22"/>
        </w:rPr>
        <w:t xml:space="preserve"> crore</w:t>
      </w:r>
      <w:r w:rsidRPr="00D2167C">
        <w:rPr>
          <w:rFonts w:ascii="Palatino Linotype" w:hAnsi="Palatino Linotype"/>
          <w:b/>
          <w:bCs/>
          <w:sz w:val="22"/>
          <w:szCs w:val="22"/>
        </w:rPr>
        <w:t>)</w:t>
      </w:r>
    </w:p>
    <w:p w:rsidR="00994860" w:rsidRPr="00C256D7" w:rsidRDefault="00994860" w:rsidP="00994860">
      <w:pPr>
        <w:rPr>
          <w:rFonts w:ascii="Palatino Linotype" w:hAnsi="Palatino Linotype"/>
          <w:b/>
          <w:sz w:val="22"/>
          <w:szCs w:val="22"/>
          <w:highlight w:val="yellow"/>
        </w:rPr>
      </w:pPr>
    </w:p>
    <w:p w:rsidR="00994860" w:rsidRDefault="00994860" w:rsidP="00994860">
      <w:pPr>
        <w:rPr>
          <w:rFonts w:ascii="Palatino Linotype" w:hAnsi="Palatino Linotype"/>
          <w:b/>
          <w:sz w:val="22"/>
          <w:szCs w:val="22"/>
          <w:highlight w:val="yellow"/>
        </w:rPr>
      </w:pPr>
      <w:r>
        <w:rPr>
          <w:noProof/>
          <w:lang w:val="en-IN" w:eastAsia="en-IN"/>
        </w:rPr>
        <w:drawing>
          <wp:inline distT="0" distB="0" distL="0" distR="0" wp14:anchorId="27AC6DF2" wp14:editId="1D0294D0">
            <wp:extent cx="5524500" cy="2457450"/>
            <wp:effectExtent l="0" t="0" r="0" b="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994860" w:rsidRDefault="00994860" w:rsidP="00994860">
      <w:pPr>
        <w:rPr>
          <w:rFonts w:ascii="Palatino Linotype" w:hAnsi="Palatino Linotype"/>
          <w:b/>
          <w:sz w:val="22"/>
          <w:szCs w:val="22"/>
          <w:highlight w:val="yellow"/>
        </w:rPr>
      </w:pPr>
    </w:p>
    <w:p w:rsidR="00994860" w:rsidRPr="00C256D7" w:rsidRDefault="00994860" w:rsidP="00994860">
      <w:pPr>
        <w:rPr>
          <w:rFonts w:ascii="Palatino Linotype" w:hAnsi="Palatino Linotype"/>
          <w:b/>
          <w:sz w:val="22"/>
          <w:szCs w:val="22"/>
          <w:highlight w:val="yellow"/>
        </w:rPr>
      </w:pPr>
    </w:p>
    <w:p w:rsidR="00994860" w:rsidRPr="00DE7027" w:rsidRDefault="00994860" w:rsidP="00994860">
      <w:pPr>
        <w:widowControl w:val="0"/>
        <w:numPr>
          <w:ilvl w:val="0"/>
          <w:numId w:val="3"/>
        </w:numPr>
        <w:contextualSpacing/>
        <w:jc w:val="both"/>
        <w:outlineLvl w:val="0"/>
        <w:rPr>
          <w:rFonts w:ascii="Palatino Linotype" w:hAnsi="Palatino Linotype"/>
          <w:b/>
          <w:sz w:val="22"/>
          <w:szCs w:val="22"/>
        </w:rPr>
      </w:pPr>
      <w:r w:rsidRPr="00DE7027">
        <w:rPr>
          <w:rFonts w:ascii="Palatino Linotype" w:hAnsi="Palatino Linotype"/>
          <w:b/>
          <w:sz w:val="22"/>
          <w:szCs w:val="22"/>
        </w:rPr>
        <w:t xml:space="preserve">Interest Rate Futures at NSE and BSE </w:t>
      </w:r>
    </w:p>
    <w:p w:rsidR="00994860" w:rsidRPr="001F4744" w:rsidRDefault="00994860" w:rsidP="00994860">
      <w:pPr>
        <w:keepNext/>
        <w:jc w:val="both"/>
        <w:rPr>
          <w:rFonts w:ascii="Palatino Linotype" w:eastAsia="Times New Roman" w:hAnsi="Palatino Linotype"/>
          <w:sz w:val="22"/>
          <w:szCs w:val="22"/>
        </w:rPr>
      </w:pPr>
    </w:p>
    <w:p w:rsidR="00994860" w:rsidRPr="001F4744" w:rsidRDefault="00994860" w:rsidP="00994860">
      <w:pPr>
        <w:jc w:val="both"/>
        <w:rPr>
          <w:rFonts w:ascii="Arial" w:eastAsia="Times New Roman" w:hAnsi="Arial" w:cs="Arial"/>
          <w:color w:val="000000"/>
          <w:sz w:val="20"/>
          <w:szCs w:val="20"/>
          <w:lang w:val="en-US" w:bidi="hi-IN"/>
        </w:rPr>
      </w:pPr>
      <w:r w:rsidRPr="001F4744">
        <w:rPr>
          <w:rFonts w:ascii="Palatino Linotype" w:eastAsia="Times New Roman" w:hAnsi="Palatino Linotype"/>
          <w:color w:val="000000" w:themeColor="text1"/>
          <w:sz w:val="22"/>
          <w:szCs w:val="22"/>
        </w:rPr>
        <w:t xml:space="preserve">During February 2019, the monthly turnover of interest rate futures at NSE decreased by 17.1per cent to </w:t>
      </w:r>
      <w:r w:rsidRPr="001F4744">
        <w:rPr>
          <w:rFonts w:ascii="Rupee Foradian" w:hAnsi="Rupee Foradian" w:cs="Arial"/>
          <w:bCs/>
          <w:sz w:val="22"/>
          <w:szCs w:val="22"/>
        </w:rPr>
        <w:t>`</w:t>
      </w:r>
      <w:r w:rsidRPr="001F4744">
        <w:rPr>
          <w:rFonts w:ascii="Arial" w:eastAsia="Times New Roman" w:hAnsi="Arial" w:cs="Arial"/>
          <w:color w:val="000000"/>
          <w:sz w:val="20"/>
          <w:szCs w:val="20"/>
          <w:lang w:val="en-US" w:bidi="hi-IN"/>
        </w:rPr>
        <w:t xml:space="preserve">23,339 </w:t>
      </w:r>
      <w:r w:rsidRPr="001F4744">
        <w:rPr>
          <w:rFonts w:ascii="Palatino Linotype" w:eastAsia="Times New Roman" w:hAnsi="Palatino Linotype"/>
          <w:color w:val="000000" w:themeColor="text1"/>
          <w:sz w:val="22"/>
          <w:szCs w:val="22"/>
        </w:rPr>
        <w:t xml:space="preserve">crore from </w:t>
      </w:r>
      <w:r w:rsidRPr="001F4744">
        <w:rPr>
          <w:rFonts w:ascii="Rupee Foradian" w:hAnsi="Rupee Foradian" w:cs="Arial"/>
          <w:bCs/>
          <w:sz w:val="22"/>
          <w:szCs w:val="22"/>
        </w:rPr>
        <w:t>`</w:t>
      </w:r>
      <w:r w:rsidRPr="001F4744">
        <w:rPr>
          <w:rFonts w:ascii="Palatino Linotype" w:eastAsia="Times New Roman" w:hAnsi="Palatino Linotype"/>
          <w:color w:val="000000" w:themeColor="text1"/>
          <w:sz w:val="22"/>
          <w:szCs w:val="22"/>
        </w:rPr>
        <w:t>28,147</w:t>
      </w:r>
      <w:r w:rsidRPr="001F4744">
        <w:rPr>
          <w:rFonts w:ascii="Rupee Foradian" w:hAnsi="Rupee Foradian" w:cs="Arial"/>
          <w:bCs/>
          <w:sz w:val="22"/>
          <w:szCs w:val="22"/>
        </w:rPr>
        <w:t xml:space="preserve"> </w:t>
      </w:r>
      <w:r w:rsidRPr="001F4744">
        <w:rPr>
          <w:rFonts w:ascii="Palatino Linotype" w:eastAsia="Times New Roman" w:hAnsi="Palatino Linotype"/>
          <w:color w:val="000000" w:themeColor="text1"/>
          <w:sz w:val="22"/>
          <w:szCs w:val="22"/>
        </w:rPr>
        <w:t xml:space="preserve">crore in January 2019. During the same time, the monthly turnover of interest rate futures at BSE increased by 67.9 per cent </w:t>
      </w:r>
      <w:r w:rsidRPr="001F4744">
        <w:rPr>
          <w:rFonts w:ascii="Rupee Foradian" w:hAnsi="Rupee Foradian" w:cs="Arial"/>
          <w:bCs/>
          <w:sz w:val="22"/>
          <w:szCs w:val="22"/>
        </w:rPr>
        <w:t>to `</w:t>
      </w:r>
      <w:r w:rsidRPr="001F4744">
        <w:rPr>
          <w:rFonts w:ascii="Arial" w:eastAsia="Times New Roman" w:hAnsi="Arial" w:cs="Arial"/>
          <w:color w:val="000000"/>
          <w:sz w:val="20"/>
          <w:szCs w:val="20"/>
          <w:lang w:val="en-US" w:bidi="hi-IN"/>
        </w:rPr>
        <w:t xml:space="preserve">15,330 </w:t>
      </w:r>
      <w:r w:rsidRPr="001F4744">
        <w:rPr>
          <w:rFonts w:ascii="Palatino Linotype" w:eastAsia="Times New Roman" w:hAnsi="Palatino Linotype"/>
          <w:color w:val="000000" w:themeColor="text1"/>
          <w:sz w:val="22"/>
          <w:szCs w:val="22"/>
        </w:rPr>
        <w:t>crore</w:t>
      </w:r>
      <w:r w:rsidRPr="001F4744">
        <w:rPr>
          <w:rFonts w:ascii="Rupee Foradian" w:hAnsi="Rupee Foradian" w:cs="Arial"/>
          <w:bCs/>
          <w:sz w:val="22"/>
          <w:szCs w:val="22"/>
        </w:rPr>
        <w:t xml:space="preserve"> </w:t>
      </w:r>
      <w:r w:rsidRPr="001F4744">
        <w:rPr>
          <w:rFonts w:ascii="Palatino Linotype" w:eastAsia="Times New Roman" w:hAnsi="Palatino Linotype"/>
          <w:color w:val="000000" w:themeColor="text1"/>
          <w:sz w:val="22"/>
          <w:szCs w:val="22"/>
        </w:rPr>
        <w:t xml:space="preserve">from </w:t>
      </w:r>
      <w:r w:rsidRPr="001F4744">
        <w:rPr>
          <w:rFonts w:ascii="Rupee Foradian" w:eastAsia="Times New Roman" w:hAnsi="Rupee Foradian"/>
          <w:color w:val="000000" w:themeColor="text1"/>
          <w:sz w:val="22"/>
          <w:szCs w:val="22"/>
        </w:rPr>
        <w:t>`</w:t>
      </w:r>
      <w:r w:rsidRPr="001F4744">
        <w:rPr>
          <w:rFonts w:ascii="Palatino Linotype" w:eastAsia="Times New Roman" w:hAnsi="Palatino Linotype"/>
          <w:color w:val="000000" w:themeColor="text1"/>
          <w:sz w:val="22"/>
          <w:szCs w:val="22"/>
        </w:rPr>
        <w:t>9,129</w:t>
      </w:r>
      <w:r w:rsidRPr="001F4744">
        <w:rPr>
          <w:rFonts w:ascii="Rupee Foradian" w:hAnsi="Rupee Foradian" w:cs="Arial"/>
          <w:bCs/>
          <w:sz w:val="22"/>
          <w:szCs w:val="22"/>
        </w:rPr>
        <w:t xml:space="preserve"> </w:t>
      </w:r>
      <w:r w:rsidRPr="001F4744">
        <w:rPr>
          <w:rFonts w:ascii="Palatino Linotype" w:eastAsia="Times New Roman" w:hAnsi="Palatino Linotype"/>
          <w:color w:val="000000" w:themeColor="text1"/>
          <w:sz w:val="22"/>
          <w:szCs w:val="22"/>
        </w:rPr>
        <w:t>crore in January 2019. There was no trading observed in interest rate futures at MSEI during the month under consideration.</w:t>
      </w:r>
    </w:p>
    <w:p w:rsidR="00994860" w:rsidRPr="00C256D7" w:rsidRDefault="00994860" w:rsidP="00994860">
      <w:pPr>
        <w:jc w:val="center"/>
        <w:outlineLvl w:val="0"/>
        <w:rPr>
          <w:rFonts w:ascii="Palatino Linotype" w:hAnsi="Palatino Linotype"/>
          <w:b/>
          <w:sz w:val="22"/>
          <w:szCs w:val="22"/>
          <w:highlight w:val="yellow"/>
        </w:rPr>
      </w:pPr>
    </w:p>
    <w:p w:rsidR="00994860" w:rsidRPr="00DE7027" w:rsidRDefault="00994860" w:rsidP="00994860">
      <w:pPr>
        <w:jc w:val="center"/>
        <w:outlineLvl w:val="0"/>
        <w:rPr>
          <w:rFonts w:ascii="Palatino Linotype" w:hAnsi="Palatino Linotype"/>
          <w:b/>
          <w:sz w:val="22"/>
          <w:szCs w:val="22"/>
        </w:rPr>
      </w:pPr>
      <w:r w:rsidRPr="00DE7027">
        <w:rPr>
          <w:rFonts w:ascii="Palatino Linotype" w:hAnsi="Palatino Linotype"/>
          <w:b/>
          <w:sz w:val="22"/>
          <w:szCs w:val="22"/>
        </w:rPr>
        <w:t>Figure 8: Trends of Interest Rate Futures at NSE and BSE (</w:t>
      </w:r>
      <w:r w:rsidRPr="00DE7027">
        <w:rPr>
          <w:rFonts w:ascii="Times New Roman" w:hAnsi="Times New Roman"/>
          <w:b/>
          <w:sz w:val="22"/>
          <w:szCs w:val="22"/>
        </w:rPr>
        <w:t>₹</w:t>
      </w:r>
      <w:r w:rsidRPr="00DE7027">
        <w:rPr>
          <w:rFonts w:ascii="Palatino Linotype" w:eastAsia="Times New Roman" w:hAnsi="Palatino Linotype"/>
          <w:bCs/>
          <w:sz w:val="22"/>
          <w:szCs w:val="22"/>
          <w:lang w:eastAsia="en-GB" w:bidi="bn-IN"/>
        </w:rPr>
        <w:t xml:space="preserve"> </w:t>
      </w:r>
      <w:r w:rsidRPr="00DE7027">
        <w:rPr>
          <w:rFonts w:ascii="Palatino Linotype" w:hAnsi="Palatino Linotype"/>
          <w:b/>
          <w:sz w:val="22"/>
          <w:szCs w:val="22"/>
        </w:rPr>
        <w:t>crore)</w:t>
      </w:r>
    </w:p>
    <w:p w:rsidR="00994860" w:rsidRPr="00C256D7" w:rsidRDefault="00994860" w:rsidP="00994860">
      <w:pPr>
        <w:jc w:val="center"/>
        <w:outlineLvl w:val="0"/>
        <w:rPr>
          <w:rFonts w:ascii="Palatino Linotype" w:hAnsi="Palatino Linotype"/>
          <w:b/>
          <w:sz w:val="22"/>
          <w:szCs w:val="22"/>
          <w:highlight w:val="yellow"/>
        </w:rPr>
      </w:pPr>
      <w:r>
        <w:rPr>
          <w:noProof/>
          <w:lang w:val="en-IN" w:eastAsia="en-IN"/>
        </w:rPr>
        <w:drawing>
          <wp:inline distT="0" distB="0" distL="0" distR="0" wp14:anchorId="0713B660" wp14:editId="1A4826F1">
            <wp:extent cx="5400675" cy="2314575"/>
            <wp:effectExtent l="0" t="0" r="9525" b="9525"/>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AD7686" w:rsidRDefault="00AD7686">
      <w:pPr>
        <w:rPr>
          <w:rFonts w:ascii="Palatino Linotype" w:hAnsi="Palatino Linotype"/>
          <w:b/>
          <w:color w:val="000099"/>
          <w:sz w:val="22"/>
          <w:szCs w:val="22"/>
          <w:highlight w:val="yellow"/>
        </w:rPr>
      </w:pPr>
      <w:r>
        <w:rPr>
          <w:rFonts w:ascii="Palatino Linotype" w:hAnsi="Palatino Linotype"/>
          <w:b/>
          <w:color w:val="000099"/>
          <w:sz w:val="22"/>
          <w:szCs w:val="22"/>
          <w:highlight w:val="yellow"/>
        </w:rPr>
        <w:br w:type="page"/>
      </w:r>
    </w:p>
    <w:p w:rsidR="00994860" w:rsidRPr="00141FC6" w:rsidRDefault="00994860" w:rsidP="00994860">
      <w:pPr>
        <w:widowControl w:val="0"/>
        <w:numPr>
          <w:ilvl w:val="0"/>
          <w:numId w:val="2"/>
        </w:numPr>
        <w:contextualSpacing/>
        <w:jc w:val="both"/>
        <w:rPr>
          <w:rFonts w:ascii="Palatino Linotype" w:hAnsi="Palatino Linotype"/>
          <w:b/>
          <w:sz w:val="22"/>
          <w:szCs w:val="22"/>
        </w:rPr>
      </w:pPr>
      <w:r w:rsidRPr="00141FC6">
        <w:rPr>
          <w:rFonts w:ascii="Palatino Linotype" w:hAnsi="Palatino Linotype"/>
          <w:b/>
          <w:sz w:val="22"/>
          <w:szCs w:val="22"/>
        </w:rPr>
        <w:lastRenderedPageBreak/>
        <w:t>Trading in Corporate Debt Market</w:t>
      </w:r>
    </w:p>
    <w:p w:rsidR="00994860" w:rsidRPr="00C256D7" w:rsidRDefault="00994860" w:rsidP="00994860">
      <w:pPr>
        <w:widowControl w:val="0"/>
        <w:ind w:left="720"/>
        <w:contextualSpacing/>
        <w:jc w:val="both"/>
        <w:rPr>
          <w:rFonts w:ascii="Palatino Linotype" w:eastAsia="Times New Roman" w:hAnsi="Palatino Linotype"/>
          <w:sz w:val="22"/>
          <w:szCs w:val="22"/>
          <w:highlight w:val="yellow"/>
        </w:rPr>
      </w:pPr>
    </w:p>
    <w:p w:rsidR="00994860" w:rsidRPr="008D3B96" w:rsidRDefault="00994860" w:rsidP="00994860">
      <w:pPr>
        <w:jc w:val="both"/>
        <w:rPr>
          <w:rFonts w:ascii="Palatino Linotype" w:hAnsi="Palatino Linotype" w:cs="Arial"/>
          <w:bCs/>
          <w:sz w:val="22"/>
          <w:szCs w:val="22"/>
        </w:rPr>
      </w:pPr>
      <w:r w:rsidRPr="00141FC6">
        <w:rPr>
          <w:rFonts w:ascii="Palatino Linotype" w:hAnsi="Palatino Linotype" w:cs="Arial"/>
          <w:bCs/>
          <w:sz w:val="22"/>
          <w:szCs w:val="22"/>
        </w:rPr>
        <w:t xml:space="preserve">During February 2019, BSE noted </w:t>
      </w:r>
      <w:r w:rsidRPr="00A01043">
        <w:rPr>
          <w:rFonts w:ascii="Palatino Linotype" w:hAnsi="Palatino Linotype" w:cs="Arial"/>
          <w:bCs/>
          <w:sz w:val="22"/>
          <w:szCs w:val="22"/>
        </w:rPr>
        <w:t xml:space="preserve">3, 556 </w:t>
      </w:r>
      <w:r w:rsidRPr="00141FC6">
        <w:rPr>
          <w:rFonts w:ascii="Palatino Linotype" w:hAnsi="Palatino Linotype" w:cs="Arial"/>
          <w:bCs/>
          <w:sz w:val="22"/>
          <w:szCs w:val="22"/>
        </w:rPr>
        <w:t xml:space="preserve">trades of corporate debt with a traded value of </w:t>
      </w:r>
      <w:r w:rsidRPr="00141FC6">
        <w:rPr>
          <w:rFonts w:ascii="Tahoma" w:hAnsi="Tahoma" w:cs="Tahoma"/>
          <w:bCs/>
          <w:sz w:val="22"/>
          <w:szCs w:val="22"/>
        </w:rPr>
        <w:t>₹</w:t>
      </w:r>
      <w:r w:rsidRPr="00141FC6">
        <w:rPr>
          <w:rFonts w:ascii="Palatino Linotype" w:hAnsi="Palatino Linotype" w:cs="Arial"/>
          <w:bCs/>
          <w:sz w:val="22"/>
          <w:szCs w:val="22"/>
        </w:rPr>
        <w:t xml:space="preserve"> 40,133 crore as </w:t>
      </w:r>
      <w:r w:rsidRPr="00C5270F">
        <w:rPr>
          <w:rFonts w:ascii="Palatino Linotype" w:hAnsi="Palatino Linotype" w:cs="Arial"/>
          <w:bCs/>
          <w:sz w:val="22"/>
          <w:szCs w:val="22"/>
        </w:rPr>
        <w:t xml:space="preserve">compared to 4,416 trades of corporate debt with a traded value of </w:t>
      </w:r>
      <w:r w:rsidRPr="00C5270F">
        <w:rPr>
          <w:rFonts w:ascii="Tahoma" w:hAnsi="Tahoma" w:cs="Tahoma"/>
          <w:bCs/>
          <w:sz w:val="22"/>
          <w:szCs w:val="22"/>
        </w:rPr>
        <w:t>₹</w:t>
      </w:r>
      <w:r w:rsidRPr="00C5270F">
        <w:rPr>
          <w:rFonts w:ascii="Palatino Linotype" w:hAnsi="Palatino Linotype" w:cs="Arial"/>
          <w:bCs/>
          <w:sz w:val="22"/>
          <w:szCs w:val="22"/>
        </w:rPr>
        <w:t xml:space="preserve"> 55,223 crore in </w:t>
      </w:r>
      <w:r w:rsidRPr="00B94394">
        <w:rPr>
          <w:rFonts w:ascii="Palatino Linotype" w:hAnsi="Palatino Linotype" w:cs="Arial"/>
          <w:bCs/>
          <w:sz w:val="22"/>
          <w:szCs w:val="22"/>
        </w:rPr>
        <w:t xml:space="preserve">January 2019.  At NSE, 4,826 trades were noted with a traded value of </w:t>
      </w:r>
      <w:r w:rsidRPr="00B94394">
        <w:rPr>
          <w:rFonts w:ascii="Tahoma" w:hAnsi="Tahoma" w:cs="Tahoma"/>
          <w:bCs/>
          <w:sz w:val="22"/>
          <w:szCs w:val="22"/>
        </w:rPr>
        <w:t>₹</w:t>
      </w:r>
      <w:r w:rsidRPr="00B94394">
        <w:rPr>
          <w:rFonts w:ascii="Palatino Linotype" w:hAnsi="Palatino Linotype" w:cs="Arial"/>
          <w:bCs/>
          <w:sz w:val="22"/>
          <w:szCs w:val="22"/>
        </w:rPr>
        <w:t xml:space="preserve">82, 491 crore in February 2019 as compared to 6,164 trades noted with a traded value of </w:t>
      </w:r>
      <w:r w:rsidRPr="00B94394">
        <w:rPr>
          <w:rFonts w:ascii="Tahoma" w:hAnsi="Tahoma" w:cs="Tahoma"/>
          <w:bCs/>
          <w:sz w:val="22"/>
          <w:szCs w:val="22"/>
        </w:rPr>
        <w:t>₹</w:t>
      </w:r>
      <w:r w:rsidRPr="00B94394">
        <w:rPr>
          <w:rFonts w:ascii="Palatino Linotype" w:hAnsi="Palatino Linotype" w:cs="Arial"/>
          <w:bCs/>
          <w:sz w:val="22"/>
          <w:szCs w:val="22"/>
        </w:rPr>
        <w:t xml:space="preserve">1, 09,125 crore in January 2019. Together, the trading in corporate debt at BSE and NSE amounted to </w:t>
      </w:r>
      <w:r w:rsidRPr="00B94394">
        <w:rPr>
          <w:rFonts w:ascii="Rupee Foradian" w:hAnsi="Rupee Foradian" w:cs="Arial"/>
          <w:bCs/>
          <w:sz w:val="22"/>
          <w:szCs w:val="22"/>
        </w:rPr>
        <w:t xml:space="preserve">` </w:t>
      </w:r>
      <w:r w:rsidRPr="00B94394">
        <w:rPr>
          <w:rFonts w:ascii="Palatino Linotype" w:hAnsi="Palatino Linotype" w:cs="Arial"/>
          <w:bCs/>
          <w:sz w:val="22"/>
          <w:szCs w:val="22"/>
        </w:rPr>
        <w:t>1, 22,624 crore during February 2019.</w:t>
      </w:r>
    </w:p>
    <w:p w:rsidR="00994860" w:rsidRPr="00A01043" w:rsidRDefault="00994860" w:rsidP="00994860">
      <w:pPr>
        <w:jc w:val="center"/>
        <w:outlineLvl w:val="0"/>
        <w:rPr>
          <w:rFonts w:ascii="Palatino Linotype" w:hAnsi="Palatino Linotype"/>
          <w:b/>
          <w:sz w:val="22"/>
          <w:szCs w:val="22"/>
        </w:rPr>
      </w:pPr>
      <w:r w:rsidRPr="00A01043">
        <w:rPr>
          <w:rFonts w:ascii="Palatino Linotype" w:hAnsi="Palatino Linotype"/>
          <w:b/>
          <w:sz w:val="22"/>
          <w:szCs w:val="22"/>
        </w:rPr>
        <w:t>Figure 9: Trends in Reported Turnover of Corporate Bonds (</w:t>
      </w:r>
      <w:r w:rsidRPr="00A01043">
        <w:rPr>
          <w:rFonts w:ascii="Times New Roman" w:hAnsi="Times New Roman"/>
          <w:b/>
          <w:sz w:val="22"/>
          <w:szCs w:val="22"/>
        </w:rPr>
        <w:t>₹</w:t>
      </w:r>
      <w:r w:rsidRPr="00A01043">
        <w:rPr>
          <w:rFonts w:ascii="Palatino Linotype" w:eastAsia="Times New Roman" w:hAnsi="Palatino Linotype" w:cs="Garamond"/>
          <w:sz w:val="22"/>
          <w:szCs w:val="22"/>
        </w:rPr>
        <w:t xml:space="preserve"> </w:t>
      </w:r>
      <w:r w:rsidRPr="00A01043">
        <w:rPr>
          <w:rFonts w:ascii="Palatino Linotype" w:hAnsi="Palatino Linotype"/>
          <w:b/>
          <w:sz w:val="22"/>
          <w:szCs w:val="22"/>
        </w:rPr>
        <w:t>crore)</w:t>
      </w:r>
    </w:p>
    <w:p w:rsidR="00994860" w:rsidRPr="00C256D7" w:rsidRDefault="00994860" w:rsidP="00994860">
      <w:pPr>
        <w:jc w:val="center"/>
        <w:rPr>
          <w:rFonts w:ascii="Palatino Linotype" w:hAnsi="Palatino Linotype"/>
          <w:b/>
          <w:noProof/>
          <w:color w:val="000099"/>
          <w:sz w:val="22"/>
          <w:szCs w:val="22"/>
          <w:highlight w:val="yellow"/>
        </w:rPr>
      </w:pPr>
      <w:r>
        <w:rPr>
          <w:noProof/>
          <w:lang w:val="en-IN" w:eastAsia="en-IN"/>
        </w:rPr>
        <w:drawing>
          <wp:inline distT="0" distB="0" distL="0" distR="0" wp14:anchorId="5D0AA984" wp14:editId="7D160F1B">
            <wp:extent cx="5419726" cy="3000375"/>
            <wp:effectExtent l="0" t="0" r="9525" b="9525"/>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994860" w:rsidRPr="00C256D7" w:rsidRDefault="00994860" w:rsidP="00994860">
      <w:pPr>
        <w:rPr>
          <w:rFonts w:ascii="Palatino Linotype" w:hAnsi="Palatino Linotype"/>
          <w:b/>
          <w:noProof/>
          <w:color w:val="000099"/>
          <w:sz w:val="22"/>
          <w:szCs w:val="22"/>
          <w:highlight w:val="yellow"/>
        </w:rPr>
      </w:pPr>
    </w:p>
    <w:p w:rsidR="00994860" w:rsidRPr="000F5AAF" w:rsidRDefault="00994860" w:rsidP="00994860">
      <w:pPr>
        <w:rPr>
          <w:rFonts w:ascii="Palatino Linotype" w:hAnsi="Palatino Linotype"/>
          <w:b/>
          <w:noProof/>
          <w:color w:val="000099"/>
          <w:sz w:val="22"/>
          <w:szCs w:val="22"/>
        </w:rPr>
      </w:pPr>
    </w:p>
    <w:p w:rsidR="00994860" w:rsidRPr="000F5AAF" w:rsidRDefault="00994860" w:rsidP="00994860">
      <w:pPr>
        <w:widowControl w:val="0"/>
        <w:numPr>
          <w:ilvl w:val="0"/>
          <w:numId w:val="2"/>
        </w:numPr>
        <w:contextualSpacing/>
        <w:jc w:val="both"/>
        <w:rPr>
          <w:rFonts w:ascii="Palatino Linotype" w:hAnsi="Palatino Linotype"/>
          <w:b/>
          <w:sz w:val="22"/>
          <w:szCs w:val="22"/>
        </w:rPr>
      </w:pPr>
      <w:r w:rsidRPr="000F5AAF">
        <w:rPr>
          <w:rFonts w:ascii="Palatino Linotype" w:hAnsi="Palatino Linotype"/>
          <w:b/>
          <w:sz w:val="22"/>
          <w:szCs w:val="22"/>
        </w:rPr>
        <w:t>Trends in Institutional Investment</w:t>
      </w:r>
    </w:p>
    <w:p w:rsidR="00994860" w:rsidRPr="00C256D7" w:rsidRDefault="00994860" w:rsidP="00994860">
      <w:pPr>
        <w:widowControl w:val="0"/>
        <w:ind w:left="720"/>
        <w:contextualSpacing/>
        <w:jc w:val="both"/>
        <w:rPr>
          <w:rFonts w:ascii="Palatino Linotype" w:hAnsi="Palatino Linotype"/>
          <w:b/>
          <w:sz w:val="22"/>
          <w:szCs w:val="22"/>
          <w:highlight w:val="yellow"/>
        </w:rPr>
      </w:pPr>
    </w:p>
    <w:p w:rsidR="00994860" w:rsidRPr="00AE0F11" w:rsidRDefault="00994860" w:rsidP="00994860">
      <w:pPr>
        <w:widowControl w:val="0"/>
        <w:numPr>
          <w:ilvl w:val="0"/>
          <w:numId w:val="1"/>
        </w:numPr>
        <w:tabs>
          <w:tab w:val="left" w:pos="0"/>
        </w:tabs>
        <w:contextualSpacing/>
        <w:jc w:val="both"/>
        <w:rPr>
          <w:rFonts w:ascii="Palatino Linotype" w:hAnsi="Palatino Linotype"/>
          <w:b/>
          <w:sz w:val="22"/>
          <w:szCs w:val="22"/>
        </w:rPr>
      </w:pPr>
      <w:r w:rsidRPr="00AE0F11">
        <w:rPr>
          <w:rFonts w:ascii="Palatino Linotype" w:hAnsi="Palatino Linotype"/>
          <w:b/>
          <w:sz w:val="22"/>
          <w:szCs w:val="22"/>
        </w:rPr>
        <w:t>Trends in Investment by Mutual Funds</w:t>
      </w:r>
    </w:p>
    <w:p w:rsidR="00994860" w:rsidRPr="00AE0F11" w:rsidRDefault="00994860" w:rsidP="00994860">
      <w:pPr>
        <w:jc w:val="both"/>
        <w:rPr>
          <w:rFonts w:ascii="Palatino Linotype" w:eastAsia="Times New Roman" w:hAnsi="Palatino Linotype"/>
          <w:bCs/>
          <w:sz w:val="22"/>
          <w:szCs w:val="22"/>
        </w:rPr>
      </w:pPr>
    </w:p>
    <w:p w:rsidR="00994860" w:rsidRPr="00C256D7" w:rsidRDefault="00994860" w:rsidP="00994860">
      <w:pPr>
        <w:jc w:val="both"/>
        <w:rPr>
          <w:rFonts w:ascii="Palatino Linotype" w:hAnsi="Palatino Linotype" w:cs="Arial"/>
          <w:sz w:val="22"/>
          <w:szCs w:val="22"/>
          <w:highlight w:val="yellow"/>
        </w:rPr>
      </w:pPr>
      <w:r w:rsidRPr="00AE0F11">
        <w:rPr>
          <w:rFonts w:ascii="Palatino Linotype" w:hAnsi="Palatino Linotype" w:cs="Arial"/>
          <w:sz w:val="22"/>
          <w:szCs w:val="22"/>
        </w:rPr>
        <w:t xml:space="preserve">The total net investment in the secondary market by mutual funds was </w:t>
      </w:r>
      <w:r w:rsidRPr="00AE0F11">
        <w:rPr>
          <w:rFonts w:ascii="Tahoma" w:hAnsi="Tahoma" w:cs="Tahoma"/>
          <w:sz w:val="22"/>
          <w:szCs w:val="22"/>
        </w:rPr>
        <w:t>₹</w:t>
      </w:r>
      <w:r w:rsidRPr="00AE0F11">
        <w:rPr>
          <w:rFonts w:ascii="Palatino Linotype" w:hAnsi="Palatino Linotype" w:cs="Arial"/>
          <w:sz w:val="22"/>
          <w:szCs w:val="22"/>
        </w:rPr>
        <w:t xml:space="preserve"> 28,624 crore in February 2019, compared </w:t>
      </w:r>
      <w:r w:rsidRPr="00A16E83">
        <w:rPr>
          <w:rFonts w:ascii="Palatino Linotype" w:hAnsi="Palatino Linotype" w:cs="Arial"/>
          <w:sz w:val="22"/>
          <w:szCs w:val="22"/>
        </w:rPr>
        <w:t xml:space="preserve">to the total net investment of </w:t>
      </w:r>
      <w:r w:rsidRPr="00A16E83">
        <w:rPr>
          <w:rFonts w:ascii="Tahoma" w:hAnsi="Tahoma" w:cs="Tahoma"/>
          <w:sz w:val="22"/>
          <w:szCs w:val="22"/>
        </w:rPr>
        <w:t xml:space="preserve">₹ </w:t>
      </w:r>
      <w:r w:rsidRPr="00A16E83">
        <w:rPr>
          <w:rFonts w:ascii="Palatino Linotype" w:hAnsi="Palatino Linotype" w:cs="Tahoma"/>
          <w:sz w:val="22"/>
          <w:szCs w:val="22"/>
        </w:rPr>
        <w:t>54,313 crore in January 2019</w:t>
      </w:r>
      <w:r w:rsidRPr="00A16E83">
        <w:rPr>
          <w:rFonts w:ascii="Palatino Linotype" w:hAnsi="Palatino Linotype" w:cs="Arial"/>
          <w:sz w:val="22"/>
          <w:szCs w:val="22"/>
        </w:rPr>
        <w:t xml:space="preserve">. During February 2019, mutual funds net invested </w:t>
      </w:r>
      <w:r w:rsidRPr="00A16E83">
        <w:rPr>
          <w:rFonts w:ascii="Tahoma" w:hAnsi="Tahoma" w:cs="Tahoma"/>
          <w:sz w:val="22"/>
          <w:szCs w:val="22"/>
        </w:rPr>
        <w:t>₹</w:t>
      </w:r>
      <w:r w:rsidRPr="00A16E83">
        <w:rPr>
          <w:rFonts w:ascii="Palatino Linotype" w:hAnsi="Palatino Linotype" w:cs="Arial"/>
          <w:sz w:val="22"/>
          <w:szCs w:val="22"/>
        </w:rPr>
        <w:t xml:space="preserve"> 2,174 crore in equity as compared </w:t>
      </w:r>
      <w:r w:rsidRPr="00A16E83">
        <w:rPr>
          <w:rFonts w:ascii="Tahoma" w:hAnsi="Tahoma" w:cs="Tahoma"/>
          <w:sz w:val="22"/>
          <w:szCs w:val="22"/>
        </w:rPr>
        <w:t xml:space="preserve">₹ </w:t>
      </w:r>
      <w:r w:rsidRPr="00A16E83">
        <w:rPr>
          <w:rFonts w:ascii="Palatino Linotype" w:hAnsi="Palatino Linotype" w:cs="Tahoma"/>
          <w:sz w:val="22"/>
          <w:szCs w:val="22"/>
        </w:rPr>
        <w:t xml:space="preserve">7,161 </w:t>
      </w:r>
      <w:r w:rsidRPr="00A16E83">
        <w:rPr>
          <w:rFonts w:ascii="Palatino Linotype" w:hAnsi="Palatino Linotype" w:cs="Arial"/>
          <w:sz w:val="22"/>
          <w:szCs w:val="22"/>
        </w:rPr>
        <w:t xml:space="preserve">crore net investment in January 2019. In addition, mutual funds net invested </w:t>
      </w:r>
      <w:r w:rsidRPr="00A16E83">
        <w:rPr>
          <w:rFonts w:ascii="Tahoma" w:hAnsi="Tahoma" w:cs="Tahoma"/>
          <w:sz w:val="22"/>
          <w:szCs w:val="22"/>
        </w:rPr>
        <w:t>₹</w:t>
      </w:r>
      <w:r w:rsidRPr="00A16E83">
        <w:rPr>
          <w:rFonts w:ascii="Palatino Linotype" w:hAnsi="Palatino Linotype" w:cs="Arial"/>
          <w:sz w:val="22"/>
          <w:szCs w:val="22"/>
        </w:rPr>
        <w:t xml:space="preserve"> 26,450 crore in debt securities as compared to </w:t>
      </w:r>
      <w:r w:rsidRPr="00A16E83">
        <w:rPr>
          <w:rFonts w:ascii="Tahoma" w:hAnsi="Tahoma" w:cs="Tahoma"/>
          <w:sz w:val="22"/>
          <w:szCs w:val="22"/>
        </w:rPr>
        <w:t>₹</w:t>
      </w:r>
      <w:r w:rsidRPr="00A16E83">
        <w:rPr>
          <w:rFonts w:ascii="Palatino Linotype" w:hAnsi="Palatino Linotype" w:cs="Arial"/>
          <w:sz w:val="22"/>
          <w:szCs w:val="22"/>
        </w:rPr>
        <w:t xml:space="preserve"> 47,152 crore net investment in January 2019.</w:t>
      </w:r>
    </w:p>
    <w:p w:rsidR="00994860" w:rsidRPr="00C256D7" w:rsidRDefault="00994860" w:rsidP="00994860">
      <w:pPr>
        <w:jc w:val="both"/>
        <w:rPr>
          <w:rFonts w:ascii="Palatino Linotype" w:hAnsi="Palatino Linotype" w:cs="Arial"/>
          <w:sz w:val="22"/>
          <w:szCs w:val="22"/>
          <w:highlight w:val="yellow"/>
        </w:rPr>
      </w:pPr>
    </w:p>
    <w:p w:rsidR="00994860" w:rsidRPr="00C256D7" w:rsidRDefault="00994860" w:rsidP="00994860">
      <w:pPr>
        <w:jc w:val="both"/>
        <w:rPr>
          <w:rFonts w:ascii="Palatino Linotype" w:hAnsi="Palatino Linotype" w:cs="Arial"/>
          <w:sz w:val="22"/>
          <w:szCs w:val="22"/>
          <w:highlight w:val="yellow"/>
        </w:rPr>
      </w:pPr>
      <w:r w:rsidRPr="007A54BA">
        <w:rPr>
          <w:rFonts w:ascii="Palatino Linotype" w:hAnsi="Palatino Linotype" w:cs="Arial"/>
          <w:sz w:val="22"/>
          <w:szCs w:val="22"/>
        </w:rPr>
        <w:t xml:space="preserve">During February 2019, there was a net </w:t>
      </w:r>
      <w:r w:rsidRPr="00EB761E">
        <w:rPr>
          <w:rFonts w:ascii="Palatino Linotype" w:hAnsi="Palatino Linotype" w:cs="Arial"/>
          <w:sz w:val="22"/>
          <w:szCs w:val="22"/>
        </w:rPr>
        <w:t xml:space="preserve">outflow of </w:t>
      </w:r>
      <w:r w:rsidRPr="00EB761E">
        <w:rPr>
          <w:rFonts w:ascii="Tahoma" w:hAnsi="Tahoma" w:cs="Tahoma"/>
          <w:sz w:val="22"/>
          <w:szCs w:val="22"/>
        </w:rPr>
        <w:t>₹</w:t>
      </w:r>
      <w:r w:rsidRPr="00EB761E">
        <w:rPr>
          <w:rFonts w:ascii="Palatino Linotype" w:hAnsi="Palatino Linotype" w:cs="Arial"/>
          <w:sz w:val="22"/>
          <w:szCs w:val="22"/>
        </w:rPr>
        <w:t xml:space="preserve"> 20,083 crore from the mutual funds industry as against a net inflow </w:t>
      </w:r>
      <w:r w:rsidRPr="00EB761E">
        <w:rPr>
          <w:rFonts w:ascii="Tahoma" w:hAnsi="Tahoma" w:cs="Tahoma"/>
          <w:sz w:val="22"/>
          <w:szCs w:val="22"/>
        </w:rPr>
        <w:t>₹</w:t>
      </w:r>
      <w:r w:rsidRPr="00EB761E">
        <w:rPr>
          <w:rFonts w:ascii="Palatino Linotype" w:hAnsi="Palatino Linotype" w:cs="Arial"/>
          <w:sz w:val="22"/>
          <w:szCs w:val="22"/>
        </w:rPr>
        <w:t xml:space="preserve"> 65,439 crore during January 2019. During the month, income / debt oriented schemes liquidated </w:t>
      </w:r>
      <w:r w:rsidRPr="00EB761E">
        <w:rPr>
          <w:rFonts w:ascii="Tahoma" w:hAnsi="Tahoma" w:cs="Tahoma"/>
          <w:sz w:val="22"/>
          <w:szCs w:val="22"/>
        </w:rPr>
        <w:t>₹</w:t>
      </w:r>
      <w:r w:rsidRPr="00EB761E">
        <w:rPr>
          <w:rFonts w:ascii="Palatino Linotype" w:hAnsi="Palatino Linotype" w:cs="Arial"/>
          <w:sz w:val="22"/>
          <w:szCs w:val="22"/>
        </w:rPr>
        <w:t xml:space="preserve"> 28,871 crore followed by Balanced Schemes (</w:t>
      </w:r>
      <w:r w:rsidRPr="00EB761E">
        <w:rPr>
          <w:rFonts w:ascii="Tahoma" w:hAnsi="Tahoma" w:cs="Tahoma"/>
          <w:sz w:val="22"/>
          <w:szCs w:val="22"/>
        </w:rPr>
        <w:t>₹</w:t>
      </w:r>
      <w:r w:rsidRPr="00EB761E">
        <w:rPr>
          <w:rFonts w:ascii="Palatino Linotype" w:hAnsi="Palatino Linotype" w:cs="Arial"/>
          <w:sz w:val="22"/>
          <w:szCs w:val="22"/>
        </w:rPr>
        <w:t xml:space="preserve">1,077 crore). On the other hand, Growth/equity oriented schemes mobilised </w:t>
      </w:r>
      <w:r w:rsidRPr="00EB761E">
        <w:rPr>
          <w:rFonts w:ascii="Tahoma" w:hAnsi="Tahoma" w:cs="Tahoma"/>
          <w:sz w:val="22"/>
          <w:szCs w:val="22"/>
        </w:rPr>
        <w:t>₹</w:t>
      </w:r>
      <w:r w:rsidRPr="00EB761E">
        <w:rPr>
          <w:rFonts w:ascii="Palatino Linotype" w:hAnsi="Palatino Linotype" w:cs="Arial"/>
          <w:sz w:val="22"/>
          <w:szCs w:val="22"/>
        </w:rPr>
        <w:t>4,639 crore, followed by Exchange traded funds (</w:t>
      </w:r>
      <w:r w:rsidRPr="00EB761E">
        <w:rPr>
          <w:rFonts w:ascii="Tahoma" w:hAnsi="Tahoma" w:cs="Tahoma"/>
          <w:sz w:val="22"/>
          <w:szCs w:val="22"/>
        </w:rPr>
        <w:t>₹</w:t>
      </w:r>
      <w:r w:rsidRPr="00EB761E">
        <w:rPr>
          <w:rFonts w:ascii="Palatino Linotype" w:hAnsi="Palatino Linotype" w:cs="Arial"/>
          <w:sz w:val="22"/>
          <w:szCs w:val="22"/>
        </w:rPr>
        <w:t>5,221 crore), and Fund of funds schemes investing overseas (</w:t>
      </w:r>
      <w:r w:rsidRPr="00EB761E">
        <w:rPr>
          <w:rFonts w:ascii="Tahoma" w:hAnsi="Tahoma" w:cs="Tahoma"/>
          <w:sz w:val="22"/>
          <w:szCs w:val="22"/>
        </w:rPr>
        <w:t>₹</w:t>
      </w:r>
      <w:r w:rsidRPr="00EB761E">
        <w:rPr>
          <w:rFonts w:ascii="Palatino Linotype" w:hAnsi="Palatino Linotype" w:cs="Arial"/>
          <w:sz w:val="22"/>
          <w:szCs w:val="22"/>
        </w:rPr>
        <w:t>5 crore)</w:t>
      </w:r>
      <w:r>
        <w:rPr>
          <w:rFonts w:ascii="Palatino Linotype" w:hAnsi="Palatino Linotype" w:cs="Arial"/>
          <w:sz w:val="22"/>
          <w:szCs w:val="22"/>
        </w:rPr>
        <w:t xml:space="preserve"> during the month under review.</w:t>
      </w:r>
      <w:r w:rsidRPr="00EB761E">
        <w:rPr>
          <w:rFonts w:ascii="Palatino Linotype" w:hAnsi="Palatino Linotype" w:cs="Arial"/>
          <w:sz w:val="22"/>
          <w:szCs w:val="22"/>
        </w:rPr>
        <w:t xml:space="preserve"> </w:t>
      </w:r>
    </w:p>
    <w:p w:rsidR="00994860" w:rsidRPr="00C256D7" w:rsidRDefault="00994860" w:rsidP="00994860">
      <w:pPr>
        <w:jc w:val="both"/>
        <w:rPr>
          <w:rFonts w:ascii="Palatino Linotype" w:hAnsi="Palatino Linotype" w:cs="Arial"/>
          <w:sz w:val="22"/>
          <w:szCs w:val="22"/>
          <w:highlight w:val="yellow"/>
        </w:rPr>
      </w:pPr>
    </w:p>
    <w:p w:rsidR="00994860" w:rsidRPr="003B1DAD" w:rsidRDefault="00994860" w:rsidP="00994860">
      <w:pPr>
        <w:jc w:val="both"/>
        <w:rPr>
          <w:rFonts w:ascii="Palatino Linotype" w:hAnsi="Palatino Linotype" w:cs="Arial"/>
          <w:sz w:val="22"/>
          <w:szCs w:val="22"/>
        </w:rPr>
      </w:pPr>
      <w:r w:rsidRPr="003B1DAD">
        <w:rPr>
          <w:rFonts w:ascii="Palatino Linotype" w:hAnsi="Palatino Linotype" w:cs="Arial"/>
          <w:sz w:val="22"/>
          <w:szCs w:val="22"/>
        </w:rPr>
        <w:t>The cumulative net assets under m</w:t>
      </w:r>
      <w:r>
        <w:rPr>
          <w:rFonts w:ascii="Palatino Linotype" w:hAnsi="Palatino Linotype" w:cs="Arial"/>
          <w:sz w:val="22"/>
          <w:szCs w:val="22"/>
        </w:rPr>
        <w:t>anagement of all mutual funds de</w:t>
      </w:r>
      <w:r w:rsidRPr="003B1DAD">
        <w:rPr>
          <w:rFonts w:ascii="Palatino Linotype" w:hAnsi="Palatino Linotype" w:cs="Arial"/>
          <w:sz w:val="22"/>
          <w:szCs w:val="22"/>
        </w:rPr>
        <w:t xml:space="preserve">creased to </w:t>
      </w:r>
      <w:r w:rsidRPr="003B1DAD">
        <w:rPr>
          <w:rFonts w:ascii="Tahoma" w:hAnsi="Tahoma" w:cs="Tahoma"/>
          <w:sz w:val="22"/>
          <w:szCs w:val="22"/>
        </w:rPr>
        <w:t>₹</w:t>
      </w:r>
      <w:r w:rsidRPr="003B1DAD">
        <w:rPr>
          <w:rFonts w:ascii="Palatino Linotype" w:hAnsi="Palatino Linotype" w:cs="Arial"/>
          <w:sz w:val="22"/>
          <w:szCs w:val="22"/>
        </w:rPr>
        <w:t xml:space="preserve"> 23, 16,403 crore at the end of February 2019 from </w:t>
      </w:r>
      <w:r w:rsidRPr="003B1DAD">
        <w:rPr>
          <w:rFonts w:ascii="Tahoma" w:hAnsi="Tahoma" w:cs="Tahoma"/>
          <w:sz w:val="22"/>
          <w:szCs w:val="22"/>
        </w:rPr>
        <w:t>₹</w:t>
      </w:r>
      <w:r w:rsidRPr="003B1DAD">
        <w:rPr>
          <w:rFonts w:ascii="Palatino Linotype" w:hAnsi="Palatino Linotype" w:cs="Arial"/>
          <w:sz w:val="22"/>
          <w:szCs w:val="22"/>
        </w:rPr>
        <w:t xml:space="preserve"> 23, 37,118 crore at the end of January 2019.</w:t>
      </w:r>
    </w:p>
    <w:p w:rsidR="00994860" w:rsidRPr="007D5625" w:rsidRDefault="00994860" w:rsidP="00994860">
      <w:pPr>
        <w:jc w:val="both"/>
        <w:rPr>
          <w:rFonts w:ascii="Palatino Linotype" w:hAnsi="Palatino Linotype" w:cs="Arial"/>
          <w:sz w:val="22"/>
          <w:szCs w:val="22"/>
        </w:rPr>
      </w:pPr>
    </w:p>
    <w:p w:rsidR="00994860" w:rsidRPr="007D5625" w:rsidRDefault="00994860" w:rsidP="00994860">
      <w:pPr>
        <w:jc w:val="both"/>
        <w:rPr>
          <w:rFonts w:ascii="Palatino Linotype" w:hAnsi="Palatino Linotype" w:cs="Arial"/>
          <w:sz w:val="22"/>
          <w:szCs w:val="22"/>
        </w:rPr>
      </w:pPr>
      <w:r w:rsidRPr="007D5625">
        <w:rPr>
          <w:rFonts w:ascii="Palatino Linotype" w:hAnsi="Palatino Linotype" w:cs="Arial"/>
          <w:sz w:val="22"/>
          <w:szCs w:val="22"/>
        </w:rPr>
        <w:lastRenderedPageBreak/>
        <w:t>As on February 28, 2019, there were a total of 2,000 mutual fund schemes in the market, of which 1,315 were income / debt oriented schemes, 551 were growth / equity oriented schemes, 28  were balanced schemes, 77 were exchange traded funds and 29 were fund of funds investing overseas.</w:t>
      </w:r>
    </w:p>
    <w:p w:rsidR="00994860" w:rsidRPr="00E43737" w:rsidRDefault="00994860" w:rsidP="00994860">
      <w:pPr>
        <w:rPr>
          <w:rFonts w:ascii="Palatino Linotype" w:hAnsi="Palatino Linotype"/>
          <w:b/>
          <w:sz w:val="22"/>
          <w:szCs w:val="22"/>
        </w:rPr>
      </w:pPr>
    </w:p>
    <w:p w:rsidR="00994860" w:rsidRPr="00E43737" w:rsidRDefault="00994860" w:rsidP="00994860">
      <w:pPr>
        <w:jc w:val="center"/>
        <w:rPr>
          <w:rFonts w:ascii="Palatino Linotype" w:hAnsi="Palatino Linotype"/>
          <w:b/>
          <w:sz w:val="22"/>
          <w:szCs w:val="22"/>
        </w:rPr>
      </w:pPr>
      <w:r w:rsidRPr="00E43737">
        <w:rPr>
          <w:rFonts w:ascii="Palatino Linotype" w:hAnsi="Palatino Linotype"/>
          <w:b/>
          <w:sz w:val="22"/>
          <w:szCs w:val="22"/>
        </w:rPr>
        <w:t>Figure 10: Trends in Mutual Funds Investment (</w:t>
      </w:r>
      <w:r w:rsidRPr="00E43737">
        <w:rPr>
          <w:rFonts w:ascii="Times New Roman" w:hAnsi="Times New Roman"/>
          <w:b/>
          <w:sz w:val="22"/>
          <w:szCs w:val="22"/>
        </w:rPr>
        <w:t>₹</w:t>
      </w:r>
      <w:r w:rsidRPr="00E43737">
        <w:rPr>
          <w:rFonts w:ascii="Palatino Linotype" w:eastAsia="Times New Roman" w:hAnsi="Palatino Linotype" w:cs="Garamond"/>
          <w:b/>
          <w:sz w:val="22"/>
          <w:szCs w:val="22"/>
        </w:rPr>
        <w:t xml:space="preserve"> </w:t>
      </w:r>
      <w:r w:rsidRPr="00E43737">
        <w:rPr>
          <w:rFonts w:ascii="Palatino Linotype" w:hAnsi="Palatino Linotype"/>
          <w:b/>
          <w:sz w:val="22"/>
          <w:szCs w:val="22"/>
        </w:rPr>
        <w:t>crore)</w:t>
      </w:r>
    </w:p>
    <w:p w:rsidR="00994860" w:rsidRDefault="00994860" w:rsidP="00994860">
      <w:pPr>
        <w:jc w:val="center"/>
        <w:rPr>
          <w:rFonts w:ascii="Palatino Linotype" w:hAnsi="Palatino Linotype"/>
          <w:b/>
          <w:sz w:val="22"/>
          <w:szCs w:val="22"/>
          <w:highlight w:val="yellow"/>
        </w:rPr>
      </w:pPr>
    </w:p>
    <w:p w:rsidR="00994860" w:rsidRPr="00C256D7" w:rsidRDefault="00994860" w:rsidP="00994860">
      <w:pPr>
        <w:jc w:val="center"/>
        <w:rPr>
          <w:rFonts w:ascii="Palatino Linotype" w:hAnsi="Palatino Linotype"/>
          <w:b/>
          <w:sz w:val="22"/>
          <w:szCs w:val="22"/>
          <w:highlight w:val="yellow"/>
        </w:rPr>
      </w:pPr>
      <w:r>
        <w:rPr>
          <w:noProof/>
          <w:lang w:val="en-IN" w:eastAsia="en-IN"/>
        </w:rPr>
        <w:drawing>
          <wp:inline distT="0" distB="0" distL="0" distR="0" wp14:anchorId="524E7D10" wp14:editId="2820AB33">
            <wp:extent cx="5562602" cy="2945129"/>
            <wp:effectExtent l="0" t="0" r="0" b="8255"/>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994860" w:rsidRPr="006A2022" w:rsidRDefault="00994860" w:rsidP="00994860">
      <w:pPr>
        <w:rPr>
          <w:rFonts w:ascii="Palatino Linotype" w:hAnsi="Palatino Linotype"/>
          <w:b/>
          <w:color w:val="000099"/>
          <w:sz w:val="22"/>
          <w:szCs w:val="22"/>
        </w:rPr>
      </w:pPr>
    </w:p>
    <w:p w:rsidR="00994860" w:rsidRPr="006A2022" w:rsidRDefault="00994860" w:rsidP="00994860">
      <w:pPr>
        <w:widowControl w:val="0"/>
        <w:numPr>
          <w:ilvl w:val="0"/>
          <w:numId w:val="1"/>
        </w:numPr>
        <w:tabs>
          <w:tab w:val="left" w:pos="0"/>
        </w:tabs>
        <w:spacing w:before="240"/>
        <w:contextualSpacing/>
        <w:jc w:val="both"/>
        <w:rPr>
          <w:rFonts w:ascii="Palatino Linotype" w:hAnsi="Palatino Linotype"/>
          <w:b/>
          <w:color w:val="000099"/>
          <w:sz w:val="22"/>
          <w:szCs w:val="22"/>
        </w:rPr>
      </w:pPr>
      <w:r w:rsidRPr="006A2022">
        <w:rPr>
          <w:rFonts w:ascii="Palatino Linotype" w:hAnsi="Palatino Linotype"/>
          <w:b/>
          <w:sz w:val="22"/>
          <w:szCs w:val="22"/>
        </w:rPr>
        <w:t>Trends in Investment by the Foreign Portfolio Investors (FPIs)</w:t>
      </w:r>
    </w:p>
    <w:p w:rsidR="00994860" w:rsidRPr="006250FD" w:rsidRDefault="00994860" w:rsidP="00994860">
      <w:pPr>
        <w:widowControl w:val="0"/>
        <w:tabs>
          <w:tab w:val="left" w:pos="0"/>
        </w:tabs>
        <w:jc w:val="both"/>
        <w:rPr>
          <w:rFonts w:ascii="Palatino Linotype" w:hAnsi="Palatino Linotype"/>
          <w:b/>
          <w:color w:val="000099"/>
          <w:sz w:val="22"/>
          <w:szCs w:val="22"/>
        </w:rPr>
      </w:pPr>
    </w:p>
    <w:p w:rsidR="00994860" w:rsidRPr="00C256D7" w:rsidRDefault="00994860" w:rsidP="00994860">
      <w:pPr>
        <w:widowControl w:val="0"/>
        <w:tabs>
          <w:tab w:val="left" w:pos="0"/>
        </w:tabs>
        <w:jc w:val="both"/>
        <w:rPr>
          <w:rFonts w:ascii="Palatino Linotype" w:eastAsia="Times New Roman" w:hAnsi="Palatino Linotype"/>
          <w:sz w:val="22"/>
          <w:szCs w:val="22"/>
          <w:highlight w:val="yellow"/>
        </w:rPr>
      </w:pPr>
      <w:r w:rsidRPr="006250FD">
        <w:rPr>
          <w:rFonts w:ascii="Palatino Linotype" w:eastAsia="Times New Roman" w:hAnsi="Palatino Linotype"/>
          <w:sz w:val="22"/>
          <w:szCs w:val="22"/>
        </w:rPr>
        <w:t xml:space="preserve">Foreign portfolio investors (FPIs) turned net buyers in February 2019. FPIs invested </w:t>
      </w:r>
      <w:r w:rsidRPr="00950C0B">
        <w:rPr>
          <w:rFonts w:ascii="Rupee Foradian" w:eastAsia="Times New Roman" w:hAnsi="Rupee Foradian"/>
          <w:sz w:val="22"/>
          <w:szCs w:val="22"/>
        </w:rPr>
        <w:t>`</w:t>
      </w:r>
      <w:r>
        <w:rPr>
          <w:rFonts w:ascii="Rupee Foradian" w:eastAsia="Times New Roman" w:hAnsi="Rupee Foradian"/>
          <w:sz w:val="22"/>
          <w:szCs w:val="22"/>
        </w:rPr>
        <w:t xml:space="preserve"> </w:t>
      </w:r>
      <w:r w:rsidRPr="009349B5">
        <w:rPr>
          <w:rFonts w:ascii="Palatino Linotype" w:eastAsia="Times New Roman" w:hAnsi="Palatino Linotype"/>
          <w:sz w:val="22"/>
          <w:szCs w:val="22"/>
        </w:rPr>
        <w:t>12,053</w:t>
      </w:r>
      <w:r>
        <w:rPr>
          <w:rFonts w:ascii="Palatino Linotype" w:eastAsia="Times New Roman" w:hAnsi="Palatino Linotype"/>
          <w:sz w:val="22"/>
          <w:szCs w:val="22"/>
        </w:rPr>
        <w:t xml:space="preserve"> </w:t>
      </w:r>
      <w:r w:rsidRPr="006250FD">
        <w:rPr>
          <w:rFonts w:ascii="Palatino Linotype" w:eastAsia="Times New Roman" w:hAnsi="Palatino Linotype"/>
          <w:sz w:val="22"/>
          <w:szCs w:val="22"/>
        </w:rPr>
        <w:t xml:space="preserve">crore </w:t>
      </w:r>
      <w:r w:rsidRPr="00860BB0">
        <w:rPr>
          <w:rFonts w:ascii="Palatino Linotype" w:eastAsia="Times New Roman" w:hAnsi="Palatino Linotype"/>
          <w:sz w:val="22"/>
          <w:szCs w:val="22"/>
        </w:rPr>
        <w:t xml:space="preserve">from Indian   securities   market   during   February 2019 compared to an outflow of </w:t>
      </w:r>
      <w:r w:rsidRPr="00860BB0">
        <w:rPr>
          <w:rFonts w:ascii="Rupee Foradian" w:eastAsia="Times New Roman" w:hAnsi="Rupee Foradian"/>
          <w:sz w:val="22"/>
          <w:szCs w:val="22"/>
        </w:rPr>
        <w:t>`</w:t>
      </w:r>
      <w:r w:rsidRPr="00860BB0">
        <w:rPr>
          <w:rFonts w:ascii="Palatino Linotype" w:eastAsia="Times New Roman" w:hAnsi="Palatino Linotype"/>
          <w:sz w:val="22"/>
          <w:szCs w:val="22"/>
        </w:rPr>
        <w:t xml:space="preserve">5,556 crore in January 2019.  FPIs invested </w:t>
      </w:r>
      <w:r w:rsidRPr="00860BB0">
        <w:rPr>
          <w:rFonts w:ascii="Tahoma" w:eastAsia="Times New Roman" w:hAnsi="Tahoma" w:cs="Tahoma"/>
          <w:sz w:val="22"/>
          <w:szCs w:val="22"/>
        </w:rPr>
        <w:t>₹</w:t>
      </w:r>
      <w:r w:rsidRPr="00860BB0">
        <w:rPr>
          <w:rFonts w:ascii="Palatino Linotype" w:eastAsia="Times New Roman" w:hAnsi="Palatino Linotype"/>
          <w:sz w:val="22"/>
          <w:szCs w:val="22"/>
        </w:rPr>
        <w:t xml:space="preserve"> </w:t>
      </w:r>
      <w:r>
        <w:rPr>
          <w:rFonts w:ascii="Palatino Linotype" w:eastAsia="Times New Roman" w:hAnsi="Palatino Linotype"/>
          <w:sz w:val="22"/>
          <w:szCs w:val="22"/>
        </w:rPr>
        <w:t>17, 220</w:t>
      </w:r>
      <w:r w:rsidRPr="00860BB0">
        <w:rPr>
          <w:rFonts w:ascii="Palatino Linotype" w:eastAsia="Times New Roman" w:hAnsi="Palatino Linotype"/>
          <w:sz w:val="22"/>
          <w:szCs w:val="22"/>
        </w:rPr>
        <w:t xml:space="preserve"> crore worth of equity securities in </w:t>
      </w:r>
      <w:r w:rsidRPr="001F707A">
        <w:rPr>
          <w:rFonts w:ascii="Palatino Linotype" w:eastAsia="Times New Roman" w:hAnsi="Palatino Linotype"/>
          <w:sz w:val="22"/>
          <w:szCs w:val="22"/>
        </w:rPr>
        <w:t xml:space="preserve">February 2019. In addition, FPI liquidated </w:t>
      </w:r>
      <w:r w:rsidRPr="001F707A">
        <w:rPr>
          <w:rFonts w:ascii="Rupee Foradian" w:eastAsia="Times New Roman" w:hAnsi="Rupee Foradian"/>
          <w:sz w:val="22"/>
          <w:szCs w:val="22"/>
        </w:rPr>
        <w:t xml:space="preserve">` </w:t>
      </w:r>
      <w:r w:rsidRPr="001F707A">
        <w:rPr>
          <w:rFonts w:ascii="Palatino Linotype" w:eastAsia="Times New Roman" w:hAnsi="Palatino Linotype"/>
          <w:sz w:val="22"/>
          <w:szCs w:val="22"/>
        </w:rPr>
        <w:t xml:space="preserve">6,037 crore worth of debt securities during the same period. On the other hand, FPIs also invested </w:t>
      </w:r>
      <w:r w:rsidRPr="001F707A">
        <w:rPr>
          <w:rFonts w:ascii="Rupee Foradian" w:eastAsia="Times New Roman" w:hAnsi="Rupee Foradian"/>
          <w:sz w:val="22"/>
          <w:szCs w:val="22"/>
        </w:rPr>
        <w:t>`</w:t>
      </w:r>
      <w:r>
        <w:rPr>
          <w:rFonts w:ascii="Palatino Linotype" w:eastAsia="Times New Roman" w:hAnsi="Palatino Linotype"/>
          <w:sz w:val="22"/>
          <w:szCs w:val="22"/>
        </w:rPr>
        <w:t xml:space="preserve">871 </w:t>
      </w:r>
      <w:r w:rsidRPr="001F707A">
        <w:rPr>
          <w:rFonts w:ascii="Palatino Linotype" w:eastAsia="Times New Roman" w:hAnsi="Palatino Linotype"/>
          <w:sz w:val="22"/>
          <w:szCs w:val="22"/>
        </w:rPr>
        <w:t>crore worth of hybrid securities in February 2019.</w:t>
      </w:r>
    </w:p>
    <w:p w:rsidR="00994860" w:rsidRPr="00C256D7" w:rsidRDefault="00994860" w:rsidP="00994860">
      <w:pPr>
        <w:widowControl w:val="0"/>
        <w:tabs>
          <w:tab w:val="left" w:pos="0"/>
        </w:tabs>
        <w:jc w:val="both"/>
        <w:rPr>
          <w:rFonts w:ascii="Palatino Linotype" w:eastAsia="Times New Roman" w:hAnsi="Palatino Linotype"/>
          <w:sz w:val="22"/>
          <w:szCs w:val="22"/>
          <w:highlight w:val="yellow"/>
        </w:rPr>
      </w:pPr>
    </w:p>
    <w:p w:rsidR="00994860" w:rsidRPr="002E41FF" w:rsidRDefault="00994860" w:rsidP="00994860">
      <w:pPr>
        <w:jc w:val="both"/>
        <w:rPr>
          <w:rFonts w:ascii="Palatino Linotype" w:eastAsia="Times New Roman" w:hAnsi="Palatino Linotype" w:cs="Calibri"/>
          <w:color w:val="000000" w:themeColor="text1"/>
          <w:sz w:val="22"/>
          <w:szCs w:val="22"/>
          <w:lang w:val="en-US"/>
        </w:rPr>
      </w:pPr>
      <w:r w:rsidRPr="002E41FF">
        <w:rPr>
          <w:rFonts w:ascii="Palatino Linotype" w:eastAsia="Times New Roman" w:hAnsi="Palatino Linotype"/>
          <w:sz w:val="22"/>
          <w:szCs w:val="22"/>
        </w:rPr>
        <w:t>The assets of the FPIs in India, as reported by the custodians, at the end of February 2019 was</w:t>
      </w:r>
      <w:r w:rsidRPr="002E41FF">
        <w:rPr>
          <w:rFonts w:ascii="Palatino Linotype" w:hAnsi="Palatino Linotype"/>
          <w:sz w:val="22"/>
          <w:szCs w:val="22"/>
        </w:rPr>
        <w:t xml:space="preserve">   </w:t>
      </w:r>
      <w:r w:rsidRPr="002E41FF">
        <w:rPr>
          <w:rFonts w:ascii="Times New Roman" w:hAnsi="Times New Roman"/>
          <w:sz w:val="22"/>
          <w:szCs w:val="22"/>
        </w:rPr>
        <w:t>₹</w:t>
      </w:r>
      <w:r w:rsidRPr="002E41FF">
        <w:rPr>
          <w:rFonts w:ascii="Palatino Linotype" w:eastAsia="Times New Roman" w:hAnsi="Palatino Linotype" w:cs="Calibri"/>
          <w:sz w:val="22"/>
          <w:szCs w:val="22"/>
          <w:lang w:val="en-US"/>
        </w:rPr>
        <w:t>30, 89,602 crore</w:t>
      </w:r>
      <w:r w:rsidRPr="002E41FF">
        <w:rPr>
          <w:rFonts w:ascii="Palatino Linotype" w:eastAsia="Times New Roman" w:hAnsi="Palatino Linotype" w:cs="Calibri"/>
          <w:sz w:val="22"/>
          <w:szCs w:val="22"/>
        </w:rPr>
        <w:t xml:space="preserve">, </w:t>
      </w:r>
      <w:r w:rsidRPr="002E41FF">
        <w:rPr>
          <w:rFonts w:ascii="Palatino Linotype" w:eastAsia="Times New Roman" w:hAnsi="Palatino Linotype" w:cs="Calibri"/>
          <w:color w:val="000000" w:themeColor="text1"/>
          <w:sz w:val="22"/>
          <w:szCs w:val="22"/>
        </w:rPr>
        <w:t xml:space="preserve">out of which the notional value of offshore derivative instruments (including ODIs on derivatives) was </w:t>
      </w:r>
      <w:r w:rsidRPr="002E41FF">
        <w:rPr>
          <w:rFonts w:ascii="Times New Roman" w:eastAsia="Times New Roman" w:hAnsi="Times New Roman"/>
          <w:color w:val="000000" w:themeColor="text1"/>
          <w:sz w:val="22"/>
          <w:szCs w:val="22"/>
        </w:rPr>
        <w:t>₹</w:t>
      </w:r>
      <w:r w:rsidRPr="002E41FF">
        <w:rPr>
          <w:rFonts w:ascii="Palatino Linotype" w:eastAsia="Times New Roman" w:hAnsi="Palatino Linotype" w:cs="Calibri"/>
          <w:color w:val="000000" w:themeColor="text1"/>
          <w:sz w:val="22"/>
          <w:szCs w:val="22"/>
          <w:lang w:val="en-US"/>
        </w:rPr>
        <w:t xml:space="preserve">73,428 </w:t>
      </w:r>
      <w:r w:rsidRPr="002E41FF">
        <w:rPr>
          <w:rFonts w:ascii="Palatino Linotype" w:eastAsia="Times New Roman" w:hAnsi="Palatino Linotype" w:cs="Calibri"/>
          <w:color w:val="000000" w:themeColor="text1"/>
          <w:sz w:val="22"/>
          <w:szCs w:val="22"/>
        </w:rPr>
        <w:t xml:space="preserve">crore. </w:t>
      </w:r>
    </w:p>
    <w:p w:rsidR="00994860" w:rsidRPr="00C256D7" w:rsidRDefault="00994860" w:rsidP="00994860">
      <w:pPr>
        <w:rPr>
          <w:rFonts w:ascii="Palatino Linotype" w:hAnsi="Palatino Linotype"/>
          <w:b/>
          <w:sz w:val="22"/>
          <w:szCs w:val="22"/>
          <w:highlight w:val="yellow"/>
        </w:rPr>
      </w:pPr>
    </w:p>
    <w:p w:rsidR="00AD7686" w:rsidRDefault="00AD7686">
      <w:pPr>
        <w:rPr>
          <w:rFonts w:ascii="Palatino Linotype" w:hAnsi="Palatino Linotype"/>
          <w:b/>
          <w:sz w:val="22"/>
          <w:szCs w:val="22"/>
        </w:rPr>
      </w:pPr>
      <w:r>
        <w:rPr>
          <w:rFonts w:ascii="Palatino Linotype" w:hAnsi="Palatino Linotype"/>
          <w:b/>
          <w:sz w:val="22"/>
          <w:szCs w:val="22"/>
        </w:rPr>
        <w:br w:type="page"/>
      </w:r>
    </w:p>
    <w:p w:rsidR="00994860" w:rsidRPr="0085178D" w:rsidRDefault="00994860" w:rsidP="00994860">
      <w:pPr>
        <w:jc w:val="center"/>
        <w:rPr>
          <w:rFonts w:ascii="Palatino Linotype" w:hAnsi="Palatino Linotype"/>
          <w:b/>
          <w:sz w:val="22"/>
          <w:szCs w:val="22"/>
        </w:rPr>
      </w:pPr>
      <w:r w:rsidRPr="0085178D">
        <w:rPr>
          <w:rFonts w:ascii="Palatino Linotype" w:hAnsi="Palatino Linotype"/>
          <w:b/>
          <w:sz w:val="22"/>
          <w:szCs w:val="22"/>
        </w:rPr>
        <w:lastRenderedPageBreak/>
        <w:t>Figure 11: Trends in FPIs Investment (</w:t>
      </w:r>
      <w:r w:rsidRPr="0085178D">
        <w:rPr>
          <w:rFonts w:ascii="Times New Roman" w:eastAsia="Times New Roman" w:hAnsi="Times New Roman"/>
          <w:b/>
          <w:sz w:val="22"/>
          <w:szCs w:val="22"/>
        </w:rPr>
        <w:t>₹</w:t>
      </w:r>
      <w:r w:rsidRPr="0085178D">
        <w:rPr>
          <w:rFonts w:ascii="Palatino Linotype" w:hAnsi="Palatino Linotype"/>
          <w:b/>
          <w:sz w:val="22"/>
          <w:szCs w:val="22"/>
        </w:rPr>
        <w:t xml:space="preserve"> crore)</w:t>
      </w:r>
    </w:p>
    <w:p w:rsidR="00994860" w:rsidRPr="00C256D7" w:rsidRDefault="00994860" w:rsidP="00994860">
      <w:pPr>
        <w:outlineLvl w:val="0"/>
        <w:rPr>
          <w:rFonts w:ascii="Palatino Linotype" w:hAnsi="Palatino Linotype"/>
          <w:b/>
          <w:sz w:val="22"/>
          <w:szCs w:val="22"/>
          <w:highlight w:val="yellow"/>
        </w:rPr>
      </w:pPr>
      <w:r>
        <w:rPr>
          <w:noProof/>
          <w:lang w:val="en-IN" w:eastAsia="en-IN"/>
        </w:rPr>
        <w:drawing>
          <wp:inline distT="0" distB="0" distL="0" distR="0" wp14:anchorId="08549BF2" wp14:editId="30EF5347">
            <wp:extent cx="5923280" cy="2516505"/>
            <wp:effectExtent l="0" t="0" r="1270" b="17145"/>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994860" w:rsidRPr="0085178D" w:rsidRDefault="00994860" w:rsidP="00994860">
      <w:pPr>
        <w:jc w:val="center"/>
        <w:rPr>
          <w:rFonts w:ascii="Palatino Linotype" w:hAnsi="Palatino Linotype"/>
          <w:b/>
          <w:sz w:val="22"/>
          <w:szCs w:val="22"/>
        </w:rPr>
      </w:pPr>
    </w:p>
    <w:p w:rsidR="00994860" w:rsidRPr="0085178D" w:rsidRDefault="00994860" w:rsidP="00994860">
      <w:pPr>
        <w:widowControl w:val="0"/>
        <w:spacing w:before="240"/>
        <w:contextualSpacing/>
        <w:jc w:val="both"/>
        <w:rPr>
          <w:rFonts w:ascii="Palatino Linotype" w:eastAsia="Times New Roman" w:hAnsi="Palatino Linotype"/>
          <w:i/>
          <w:sz w:val="18"/>
          <w:szCs w:val="22"/>
        </w:rPr>
      </w:pPr>
      <w:r w:rsidRPr="0085178D">
        <w:rPr>
          <w:rFonts w:ascii="Palatino Linotype" w:eastAsia="Times New Roman" w:hAnsi="Palatino Linotype"/>
          <w:b/>
          <w:i/>
          <w:sz w:val="18"/>
          <w:szCs w:val="22"/>
        </w:rPr>
        <w:t xml:space="preserve">Note: </w:t>
      </w:r>
      <w:r w:rsidRPr="0085178D">
        <w:rPr>
          <w:rFonts w:ascii="Palatino Linotype" w:eastAsia="Times New Roman" w:hAnsi="Palatino Linotype"/>
          <w:i/>
          <w:sz w:val="18"/>
          <w:szCs w:val="22"/>
        </w:rPr>
        <w:t>Data on</w:t>
      </w:r>
      <w:r w:rsidRPr="0085178D">
        <w:rPr>
          <w:rFonts w:ascii="Palatino Linotype" w:eastAsia="Times New Roman" w:hAnsi="Palatino Linotype"/>
          <w:b/>
          <w:i/>
          <w:sz w:val="18"/>
          <w:szCs w:val="22"/>
        </w:rPr>
        <w:t xml:space="preserve"> </w:t>
      </w:r>
      <w:r w:rsidRPr="0085178D">
        <w:rPr>
          <w:rFonts w:ascii="Palatino Linotype" w:eastAsia="Times New Roman" w:hAnsi="Palatino Linotype"/>
          <w:i/>
          <w:sz w:val="18"/>
          <w:szCs w:val="22"/>
        </w:rPr>
        <w:t>investment by FPIs in Hybrid securities has been compiled since December 26, 2017.</w:t>
      </w:r>
    </w:p>
    <w:p w:rsidR="00994860" w:rsidRPr="00C256D7" w:rsidRDefault="00994860" w:rsidP="00994860">
      <w:pPr>
        <w:widowControl w:val="0"/>
        <w:spacing w:before="240"/>
        <w:contextualSpacing/>
        <w:jc w:val="both"/>
        <w:rPr>
          <w:rFonts w:ascii="Palatino Linotype" w:eastAsia="Times New Roman" w:hAnsi="Palatino Linotype"/>
          <w:i/>
          <w:sz w:val="18"/>
          <w:szCs w:val="22"/>
          <w:highlight w:val="yellow"/>
        </w:rPr>
      </w:pPr>
    </w:p>
    <w:p w:rsidR="00994860" w:rsidRPr="00CE4B31" w:rsidRDefault="00994860" w:rsidP="00994860">
      <w:pPr>
        <w:widowControl w:val="0"/>
        <w:numPr>
          <w:ilvl w:val="0"/>
          <w:numId w:val="2"/>
        </w:numPr>
        <w:contextualSpacing/>
        <w:jc w:val="both"/>
        <w:rPr>
          <w:rFonts w:ascii="Palatino Linotype" w:eastAsia="Times New Roman" w:hAnsi="Palatino Linotype"/>
          <w:b/>
          <w:color w:val="FF0000"/>
          <w:sz w:val="22"/>
          <w:szCs w:val="22"/>
        </w:rPr>
      </w:pPr>
      <w:r w:rsidRPr="00CE4B31">
        <w:rPr>
          <w:rFonts w:ascii="Palatino Linotype" w:hAnsi="Palatino Linotype"/>
          <w:b/>
          <w:sz w:val="22"/>
          <w:szCs w:val="22"/>
        </w:rPr>
        <w:t xml:space="preserve">Trends in Portfolio Management Services </w:t>
      </w:r>
    </w:p>
    <w:p w:rsidR="00994860" w:rsidRPr="00CE4B31" w:rsidRDefault="00994860" w:rsidP="00994860">
      <w:pPr>
        <w:widowControl w:val="0"/>
        <w:tabs>
          <w:tab w:val="left" w:pos="2190"/>
        </w:tabs>
        <w:jc w:val="both"/>
        <w:rPr>
          <w:rFonts w:ascii="Palatino Linotype" w:eastAsia="Times New Roman" w:hAnsi="Palatino Linotype"/>
          <w:sz w:val="22"/>
          <w:szCs w:val="22"/>
        </w:rPr>
      </w:pPr>
      <w:r w:rsidRPr="00CE4B31">
        <w:rPr>
          <w:rFonts w:ascii="Palatino Linotype" w:eastAsia="Times New Roman" w:hAnsi="Palatino Linotype"/>
          <w:sz w:val="22"/>
          <w:szCs w:val="22"/>
        </w:rPr>
        <w:tab/>
      </w:r>
    </w:p>
    <w:p w:rsidR="00994860" w:rsidRPr="00F64F3C" w:rsidRDefault="00994860" w:rsidP="00994860">
      <w:pPr>
        <w:jc w:val="both"/>
        <w:rPr>
          <w:color w:val="000000" w:themeColor="text1"/>
        </w:rPr>
      </w:pPr>
      <w:r w:rsidRPr="00F64F3C">
        <w:rPr>
          <w:rFonts w:ascii="Palatino Linotype" w:eastAsia="Times New Roman" w:hAnsi="Palatino Linotype"/>
          <w:color w:val="000000" w:themeColor="text1"/>
          <w:sz w:val="22"/>
          <w:szCs w:val="22"/>
        </w:rPr>
        <w:t xml:space="preserve">During February 2019, the total AUM of the portfolio management industry increased by 0.95 per cent as compared to the previous month and stood at </w:t>
      </w:r>
      <w:r w:rsidRPr="00F64F3C">
        <w:rPr>
          <w:rFonts w:ascii="Times New Roman" w:hAnsi="Times New Roman"/>
          <w:color w:val="000000" w:themeColor="text1"/>
          <w:sz w:val="22"/>
          <w:szCs w:val="22"/>
        </w:rPr>
        <w:t>₹</w:t>
      </w:r>
      <w:r w:rsidRPr="00F64F3C">
        <w:rPr>
          <w:rFonts w:ascii="Arial" w:hAnsi="Arial" w:cs="Arial"/>
          <w:color w:val="000000" w:themeColor="text1"/>
          <w:sz w:val="20"/>
          <w:szCs w:val="20"/>
        </w:rPr>
        <w:t xml:space="preserve"> </w:t>
      </w:r>
      <w:r w:rsidRPr="00F64F3C">
        <w:rPr>
          <w:rFonts w:ascii="Palatino Linotype" w:eastAsia="Times New Roman" w:hAnsi="Palatino Linotype"/>
          <w:color w:val="000000" w:themeColor="text1"/>
          <w:sz w:val="22"/>
          <w:szCs w:val="22"/>
        </w:rPr>
        <w:t>15,54,721 crore</w:t>
      </w:r>
      <w:r w:rsidRPr="00F64F3C">
        <w:rPr>
          <w:rFonts w:ascii="Palatino Linotype" w:eastAsia="Times New Roman" w:hAnsi="Palatino Linotype" w:cs="Calibri"/>
          <w:color w:val="000000" w:themeColor="text1"/>
          <w:sz w:val="22"/>
          <w:szCs w:val="22"/>
        </w:rPr>
        <w:t xml:space="preserve"> as at end February 2019</w:t>
      </w:r>
      <w:r w:rsidRPr="00F64F3C">
        <w:rPr>
          <w:rFonts w:ascii="Palatino Linotype" w:eastAsia="Times New Roman" w:hAnsi="Palatino Linotype"/>
          <w:color w:val="000000" w:themeColor="text1"/>
          <w:sz w:val="22"/>
          <w:szCs w:val="22"/>
        </w:rPr>
        <w:t>. T</w:t>
      </w:r>
      <w:r w:rsidRPr="00F64F3C">
        <w:rPr>
          <w:rFonts w:ascii="Palatino Linotype" w:eastAsia="Times New Roman" w:hAnsi="Palatino Linotype" w:cs="Calibri"/>
          <w:color w:val="000000" w:themeColor="text1"/>
          <w:sz w:val="22"/>
          <w:szCs w:val="22"/>
        </w:rPr>
        <w:t xml:space="preserve">he AUM of discretionary, non-discretionary and advisory services increased by 0.91 per cent, 1.67 per cent and 0.76 respectively and were </w:t>
      </w:r>
      <w:r w:rsidRPr="00F64F3C">
        <w:rPr>
          <w:rFonts w:ascii="Times New Roman" w:hAnsi="Times New Roman"/>
          <w:color w:val="000000" w:themeColor="text1"/>
          <w:sz w:val="22"/>
          <w:szCs w:val="22"/>
        </w:rPr>
        <w:t>₹</w:t>
      </w:r>
      <w:r w:rsidRPr="00F64F3C">
        <w:rPr>
          <w:color w:val="000000" w:themeColor="text1"/>
        </w:rPr>
        <w:t xml:space="preserve"> </w:t>
      </w:r>
      <w:r w:rsidRPr="00F64F3C">
        <w:rPr>
          <w:rFonts w:ascii="Palatino Linotype" w:eastAsia="Times New Roman" w:hAnsi="Palatino Linotype"/>
          <w:color w:val="000000" w:themeColor="text1"/>
          <w:sz w:val="22"/>
          <w:szCs w:val="22"/>
        </w:rPr>
        <w:t>12, 76,230 crore</w:t>
      </w:r>
      <w:r w:rsidRPr="00F64F3C">
        <w:rPr>
          <w:rFonts w:ascii="Palatino Linotype" w:eastAsia="Times New Roman" w:hAnsi="Palatino Linotype" w:cs="Calibri"/>
          <w:color w:val="000000" w:themeColor="text1"/>
          <w:sz w:val="22"/>
          <w:szCs w:val="22"/>
        </w:rPr>
        <w:t xml:space="preserve">, </w:t>
      </w:r>
      <w:r w:rsidRPr="00F64F3C">
        <w:rPr>
          <w:rFonts w:ascii="Times New Roman" w:hAnsi="Times New Roman"/>
          <w:color w:val="000000" w:themeColor="text1"/>
          <w:sz w:val="22"/>
          <w:szCs w:val="22"/>
        </w:rPr>
        <w:t>₹</w:t>
      </w:r>
      <w:r w:rsidRPr="00F64F3C">
        <w:rPr>
          <w:color w:val="000000" w:themeColor="text1"/>
        </w:rPr>
        <w:t xml:space="preserve"> </w:t>
      </w:r>
      <w:r w:rsidRPr="00F64F3C">
        <w:rPr>
          <w:rFonts w:ascii="Palatino Linotype" w:eastAsia="Times New Roman" w:hAnsi="Palatino Linotype"/>
          <w:color w:val="000000" w:themeColor="text1"/>
          <w:sz w:val="22"/>
          <w:szCs w:val="22"/>
        </w:rPr>
        <w:t>1, 07,224 crore</w:t>
      </w:r>
      <w:r w:rsidRPr="00F64F3C">
        <w:rPr>
          <w:rFonts w:ascii="Palatino Linotype" w:eastAsia="Times New Roman" w:hAnsi="Palatino Linotype" w:cs="Calibri"/>
          <w:color w:val="000000" w:themeColor="text1"/>
          <w:sz w:val="22"/>
          <w:szCs w:val="22"/>
        </w:rPr>
        <w:t xml:space="preserve"> and</w:t>
      </w:r>
      <w:r>
        <w:rPr>
          <w:rFonts w:ascii="Palatino Linotype" w:eastAsia="Times New Roman" w:hAnsi="Palatino Linotype" w:cs="Calibri"/>
          <w:color w:val="000000" w:themeColor="text1"/>
          <w:sz w:val="22"/>
          <w:szCs w:val="22"/>
        </w:rPr>
        <w:t xml:space="preserve"> </w:t>
      </w:r>
      <w:r w:rsidRPr="00F64F3C">
        <w:rPr>
          <w:rFonts w:ascii="Tahoma" w:hAnsi="Tahoma" w:cs="Tahoma"/>
          <w:color w:val="000000" w:themeColor="text1"/>
          <w:sz w:val="22"/>
          <w:szCs w:val="22"/>
        </w:rPr>
        <w:t>₹</w:t>
      </w:r>
      <w:r w:rsidRPr="00F64F3C">
        <w:rPr>
          <w:rFonts w:ascii="Palatino Linotype" w:eastAsia="Times New Roman" w:hAnsi="Palatino Linotype" w:cs="Calibri"/>
          <w:color w:val="000000" w:themeColor="text1"/>
          <w:sz w:val="22"/>
          <w:szCs w:val="22"/>
        </w:rPr>
        <w:t xml:space="preserve"> 1</w:t>
      </w:r>
      <w:r>
        <w:rPr>
          <w:rFonts w:ascii="Palatino Linotype" w:eastAsia="Times New Roman" w:hAnsi="Palatino Linotype" w:cs="Calibri"/>
          <w:color w:val="000000" w:themeColor="text1"/>
          <w:sz w:val="22"/>
          <w:szCs w:val="22"/>
        </w:rPr>
        <w:t>,</w:t>
      </w:r>
      <w:r w:rsidRPr="00F64F3C">
        <w:rPr>
          <w:rFonts w:ascii="Palatino Linotype" w:eastAsia="Times New Roman" w:hAnsi="Palatino Linotype" w:cs="Calibri"/>
          <w:color w:val="000000" w:themeColor="text1"/>
          <w:sz w:val="22"/>
          <w:szCs w:val="22"/>
        </w:rPr>
        <w:t xml:space="preserve"> 71,267 crore as at end February 2019.</w:t>
      </w:r>
      <w:r w:rsidRPr="00F64F3C">
        <w:rPr>
          <w:color w:val="000000" w:themeColor="text1"/>
        </w:rPr>
        <w:t xml:space="preserve"> </w:t>
      </w:r>
    </w:p>
    <w:p w:rsidR="00994860" w:rsidRPr="00537FE9" w:rsidRDefault="00994860" w:rsidP="00994860">
      <w:pPr>
        <w:jc w:val="both"/>
        <w:rPr>
          <w:rFonts w:ascii="Palatino Linotype" w:eastAsia="Times New Roman" w:hAnsi="Palatino Linotype" w:cs="Calibri"/>
          <w:color w:val="FF0000"/>
          <w:sz w:val="22"/>
          <w:szCs w:val="22"/>
        </w:rPr>
      </w:pPr>
    </w:p>
    <w:p w:rsidR="00994860" w:rsidRPr="00B23BDF" w:rsidRDefault="00994860" w:rsidP="00994860">
      <w:pPr>
        <w:jc w:val="both"/>
        <w:rPr>
          <w:rFonts w:ascii="Palatino Linotype" w:eastAsia="Times New Roman" w:hAnsi="Palatino Linotype"/>
          <w:color w:val="000000" w:themeColor="text1"/>
          <w:sz w:val="22"/>
          <w:szCs w:val="22"/>
        </w:rPr>
      </w:pPr>
      <w:r w:rsidRPr="00B23BDF">
        <w:rPr>
          <w:rFonts w:ascii="Palatino Linotype" w:eastAsia="Times New Roman" w:hAnsi="Palatino Linotype" w:cs="Calibri"/>
          <w:color w:val="000000" w:themeColor="text1"/>
          <w:sz w:val="22"/>
          <w:szCs w:val="22"/>
        </w:rPr>
        <w:t xml:space="preserve">In terms of </w:t>
      </w:r>
      <w:r w:rsidRPr="00B23BDF">
        <w:rPr>
          <w:rFonts w:ascii="Palatino Linotype" w:eastAsia="Times New Roman" w:hAnsi="Palatino Linotype"/>
          <w:color w:val="000000" w:themeColor="text1"/>
          <w:sz w:val="22"/>
          <w:szCs w:val="22"/>
        </w:rPr>
        <w:t>number of clients in PMS industry at the end of February 2019, discretionary services category topped with 1, 36,586 clients, followed by non-discretionary category with 6,729 clients and advisory category with 3,998 clients.</w:t>
      </w:r>
    </w:p>
    <w:p w:rsidR="00994860" w:rsidRPr="00C256D7" w:rsidRDefault="00994860" w:rsidP="00994860">
      <w:pPr>
        <w:widowControl w:val="0"/>
        <w:jc w:val="both"/>
        <w:rPr>
          <w:rFonts w:ascii="Palatino Linotype" w:eastAsia="Times New Roman" w:hAnsi="Palatino Linotype"/>
          <w:color w:val="000099"/>
          <w:sz w:val="22"/>
          <w:szCs w:val="22"/>
          <w:highlight w:val="yellow"/>
        </w:rPr>
      </w:pPr>
    </w:p>
    <w:p w:rsidR="00994860" w:rsidRPr="009509BD" w:rsidRDefault="00994860" w:rsidP="00994860">
      <w:pPr>
        <w:widowControl w:val="0"/>
        <w:numPr>
          <w:ilvl w:val="0"/>
          <w:numId w:val="2"/>
        </w:numPr>
        <w:contextualSpacing/>
        <w:jc w:val="both"/>
        <w:rPr>
          <w:rFonts w:ascii="Palatino Linotype" w:hAnsi="Palatino Linotype"/>
          <w:b/>
          <w:sz w:val="22"/>
          <w:szCs w:val="22"/>
        </w:rPr>
      </w:pPr>
      <w:r w:rsidRPr="009509BD">
        <w:rPr>
          <w:rFonts w:ascii="Palatino Linotype" w:hAnsi="Palatino Linotype"/>
          <w:b/>
          <w:sz w:val="22"/>
          <w:szCs w:val="22"/>
        </w:rPr>
        <w:t>Trends in Substantial Acquisition of Shares and Takeovers</w:t>
      </w:r>
    </w:p>
    <w:p w:rsidR="00994860" w:rsidRPr="009509BD" w:rsidRDefault="00994860" w:rsidP="00994860">
      <w:pPr>
        <w:jc w:val="both"/>
        <w:rPr>
          <w:rFonts w:ascii="Palatino Linotype" w:eastAsia="Times New Roman" w:hAnsi="Palatino Linotype"/>
          <w:sz w:val="22"/>
          <w:szCs w:val="22"/>
        </w:rPr>
      </w:pPr>
    </w:p>
    <w:p w:rsidR="00994860" w:rsidRPr="009509BD" w:rsidRDefault="00994860" w:rsidP="00994860">
      <w:pPr>
        <w:jc w:val="both"/>
        <w:rPr>
          <w:rFonts w:ascii="Garamond" w:eastAsia="Times New Roman" w:hAnsi="Garamond"/>
          <w:lang w:val="en-US"/>
        </w:rPr>
      </w:pPr>
      <w:r w:rsidRPr="009509BD">
        <w:rPr>
          <w:rFonts w:ascii="Palatino Linotype" w:eastAsia="Times New Roman" w:hAnsi="Palatino Linotype"/>
          <w:sz w:val="22"/>
          <w:szCs w:val="22"/>
        </w:rPr>
        <w:t xml:space="preserve">During February 2019, five open offers with offer value of </w:t>
      </w:r>
      <w:r w:rsidRPr="009509BD">
        <w:rPr>
          <w:rFonts w:ascii="Times New Roman" w:eastAsia="Times New Roman" w:hAnsi="Times New Roman"/>
          <w:sz w:val="22"/>
          <w:szCs w:val="22"/>
        </w:rPr>
        <w:t>₹</w:t>
      </w:r>
      <w:r w:rsidRPr="009509BD">
        <w:rPr>
          <w:rFonts w:ascii="Palatino Linotype" w:eastAsia="Times New Roman" w:hAnsi="Palatino Linotype"/>
          <w:sz w:val="22"/>
          <w:szCs w:val="22"/>
          <w:lang w:val="en-US"/>
        </w:rPr>
        <w:t xml:space="preserve"> 3,028 crore</w:t>
      </w:r>
      <w:r w:rsidRPr="009509BD">
        <w:rPr>
          <w:rFonts w:ascii="Palatino Linotype" w:eastAsia="Times New Roman" w:hAnsi="Palatino Linotype" w:cs="Garamond"/>
          <w:sz w:val="22"/>
          <w:szCs w:val="22"/>
        </w:rPr>
        <w:t xml:space="preserve"> were made to the shareholders as against </w:t>
      </w:r>
      <w:r w:rsidRPr="009509BD">
        <w:rPr>
          <w:rFonts w:ascii="Palatino Linotype" w:eastAsia="Times New Roman" w:hAnsi="Palatino Linotype"/>
          <w:sz w:val="22"/>
          <w:szCs w:val="22"/>
        </w:rPr>
        <w:t xml:space="preserve">six open offers with offer value of </w:t>
      </w:r>
      <w:r w:rsidRPr="009509BD">
        <w:rPr>
          <w:rFonts w:ascii="Times New Roman" w:eastAsia="Times New Roman" w:hAnsi="Times New Roman"/>
          <w:sz w:val="22"/>
          <w:szCs w:val="22"/>
        </w:rPr>
        <w:t>₹</w:t>
      </w:r>
      <w:r w:rsidRPr="009509BD">
        <w:rPr>
          <w:rFonts w:ascii="Palatino Linotype" w:eastAsia="Times New Roman" w:hAnsi="Palatino Linotype"/>
          <w:sz w:val="22"/>
          <w:szCs w:val="22"/>
          <w:lang w:val="en-US"/>
        </w:rPr>
        <w:t xml:space="preserve"> 16,479 crore</w:t>
      </w:r>
      <w:r w:rsidRPr="009509BD">
        <w:rPr>
          <w:rFonts w:ascii="Palatino Linotype" w:eastAsia="Times New Roman" w:hAnsi="Palatino Linotype" w:cs="Garamond"/>
          <w:sz w:val="22"/>
          <w:szCs w:val="22"/>
        </w:rPr>
        <w:t xml:space="preserve"> made in </w:t>
      </w:r>
      <w:r w:rsidRPr="009509BD">
        <w:rPr>
          <w:rFonts w:ascii="Palatino Linotype" w:eastAsia="Times New Roman" w:hAnsi="Palatino Linotype"/>
          <w:sz w:val="22"/>
          <w:szCs w:val="22"/>
        </w:rPr>
        <w:t>January 2019</w:t>
      </w:r>
      <w:r w:rsidRPr="009509BD">
        <w:rPr>
          <w:rFonts w:ascii="Palatino Linotype" w:eastAsia="Times New Roman" w:hAnsi="Palatino Linotype" w:cs="Garamond"/>
          <w:sz w:val="22"/>
          <w:szCs w:val="22"/>
        </w:rPr>
        <w:t xml:space="preserve">. </w:t>
      </w:r>
    </w:p>
    <w:p w:rsidR="00994860" w:rsidRDefault="00994860" w:rsidP="00994860">
      <w:pPr>
        <w:jc w:val="both"/>
        <w:rPr>
          <w:rFonts w:ascii="Palatino Linotype" w:eastAsia="Times New Roman" w:hAnsi="Palatino Linotype" w:cs="Garamond"/>
          <w:sz w:val="22"/>
          <w:szCs w:val="22"/>
          <w:highlight w:val="yellow"/>
        </w:rPr>
      </w:pPr>
    </w:p>
    <w:p w:rsidR="00994860" w:rsidRPr="00C133E7" w:rsidRDefault="00994860" w:rsidP="00994860">
      <w:pPr>
        <w:jc w:val="both"/>
        <w:rPr>
          <w:rFonts w:ascii="Palatino Linotype" w:eastAsia="Times New Roman" w:hAnsi="Palatino Linotype" w:cs="Garamond"/>
          <w:sz w:val="22"/>
          <w:szCs w:val="22"/>
        </w:rPr>
      </w:pPr>
    </w:p>
    <w:p w:rsidR="00994860" w:rsidRDefault="00994860" w:rsidP="00994860">
      <w:pPr>
        <w:jc w:val="both"/>
        <w:rPr>
          <w:rFonts w:ascii="Palatino Linotype" w:eastAsia="Times New Roman" w:hAnsi="Palatino Linotype" w:cs="Garamond"/>
          <w:sz w:val="22"/>
          <w:szCs w:val="22"/>
          <w:highlight w:val="yellow"/>
        </w:rPr>
      </w:pPr>
    </w:p>
    <w:p w:rsidR="00994860" w:rsidRDefault="00994860" w:rsidP="00994860">
      <w:pPr>
        <w:jc w:val="both"/>
        <w:rPr>
          <w:rFonts w:ascii="Palatino Linotype" w:eastAsia="Times New Roman" w:hAnsi="Palatino Linotype" w:cs="Garamond"/>
          <w:sz w:val="22"/>
          <w:szCs w:val="22"/>
          <w:highlight w:val="yellow"/>
        </w:rPr>
      </w:pPr>
    </w:p>
    <w:p w:rsidR="00994860" w:rsidRDefault="00994860" w:rsidP="00994860">
      <w:pPr>
        <w:jc w:val="both"/>
        <w:rPr>
          <w:rFonts w:ascii="Palatino Linotype" w:eastAsia="Times New Roman" w:hAnsi="Palatino Linotype" w:cs="Garamond"/>
          <w:sz w:val="22"/>
          <w:szCs w:val="22"/>
          <w:highlight w:val="yellow"/>
        </w:rPr>
      </w:pPr>
    </w:p>
    <w:p w:rsidR="00994860" w:rsidRDefault="00994860" w:rsidP="00994860">
      <w:pPr>
        <w:jc w:val="both"/>
        <w:rPr>
          <w:rFonts w:ascii="Palatino Linotype" w:eastAsia="Times New Roman" w:hAnsi="Palatino Linotype" w:cs="Garamond"/>
          <w:sz w:val="22"/>
          <w:szCs w:val="22"/>
          <w:highlight w:val="yellow"/>
        </w:rPr>
      </w:pPr>
    </w:p>
    <w:p w:rsidR="00994860" w:rsidRPr="00C256D7" w:rsidRDefault="00994860" w:rsidP="00994860">
      <w:pPr>
        <w:jc w:val="both"/>
        <w:rPr>
          <w:rFonts w:ascii="Palatino Linotype" w:eastAsia="Times New Roman" w:hAnsi="Palatino Linotype" w:cs="Garamond"/>
          <w:sz w:val="22"/>
          <w:szCs w:val="22"/>
          <w:highlight w:val="yellow"/>
        </w:rPr>
      </w:pPr>
    </w:p>
    <w:p w:rsidR="00994860" w:rsidRPr="00C256D7" w:rsidRDefault="00994860" w:rsidP="00994860">
      <w:pPr>
        <w:jc w:val="both"/>
        <w:rPr>
          <w:rFonts w:ascii="Palatino Linotype" w:hAnsi="Palatino Linotype"/>
          <w:b/>
          <w:sz w:val="22"/>
          <w:szCs w:val="22"/>
          <w:highlight w:val="yellow"/>
        </w:rPr>
      </w:pPr>
    </w:p>
    <w:p w:rsidR="00AD7686" w:rsidRDefault="00AD7686">
      <w:pPr>
        <w:rPr>
          <w:rFonts w:ascii="Palatino Linotype" w:hAnsi="Palatino Linotype"/>
          <w:b/>
          <w:sz w:val="22"/>
          <w:szCs w:val="22"/>
        </w:rPr>
      </w:pPr>
      <w:r>
        <w:rPr>
          <w:rFonts w:ascii="Palatino Linotype" w:hAnsi="Palatino Linotype"/>
          <w:b/>
          <w:sz w:val="22"/>
          <w:szCs w:val="22"/>
        </w:rPr>
        <w:br w:type="page"/>
      </w:r>
    </w:p>
    <w:p w:rsidR="00994860" w:rsidRPr="00D733A1" w:rsidRDefault="00994860" w:rsidP="00994860">
      <w:pPr>
        <w:rPr>
          <w:rFonts w:ascii="Palatino Linotype" w:hAnsi="Palatino Linotype"/>
          <w:b/>
          <w:sz w:val="22"/>
          <w:szCs w:val="22"/>
          <w:highlight w:val="yellow"/>
        </w:rPr>
      </w:pPr>
      <w:r w:rsidRPr="009271A2">
        <w:rPr>
          <w:rFonts w:ascii="Palatino Linotype" w:hAnsi="Palatino Linotype"/>
          <w:b/>
          <w:sz w:val="22"/>
          <w:szCs w:val="22"/>
        </w:rPr>
        <w:lastRenderedPageBreak/>
        <w:t>Figure</w:t>
      </w:r>
      <w:r w:rsidRPr="009271A2">
        <w:rPr>
          <w:rFonts w:ascii="Palatino Linotype" w:eastAsia="Times New Roman" w:hAnsi="Palatino Linotype" w:cs="Garamond"/>
          <w:b/>
          <w:bCs/>
          <w:sz w:val="22"/>
          <w:szCs w:val="22"/>
        </w:rPr>
        <w:t xml:space="preserve"> 12: Details of Open Offers Made under the SEBI (SAST) Regulations</w:t>
      </w:r>
    </w:p>
    <w:p w:rsidR="00994860" w:rsidRDefault="00994860" w:rsidP="00994860">
      <w:pPr>
        <w:jc w:val="center"/>
        <w:rPr>
          <w:rFonts w:ascii="Palatino Linotype" w:eastAsia="Times New Roman" w:hAnsi="Palatino Linotype" w:cs="Garamond"/>
          <w:b/>
          <w:bCs/>
          <w:sz w:val="22"/>
          <w:szCs w:val="22"/>
        </w:rPr>
      </w:pPr>
    </w:p>
    <w:p w:rsidR="00994860" w:rsidRDefault="00994860" w:rsidP="00994860">
      <w:pPr>
        <w:jc w:val="center"/>
        <w:rPr>
          <w:rFonts w:ascii="Palatino Linotype" w:eastAsia="Times New Roman" w:hAnsi="Palatino Linotype" w:cs="Garamond"/>
          <w:b/>
          <w:bCs/>
          <w:sz w:val="22"/>
          <w:szCs w:val="22"/>
        </w:rPr>
      </w:pPr>
    </w:p>
    <w:p w:rsidR="00994860" w:rsidRDefault="00994860" w:rsidP="00994860">
      <w:pPr>
        <w:jc w:val="center"/>
        <w:rPr>
          <w:rFonts w:ascii="Palatino Linotype" w:eastAsia="Times New Roman" w:hAnsi="Palatino Linotype" w:cs="Garamond"/>
          <w:b/>
          <w:bCs/>
          <w:sz w:val="22"/>
          <w:szCs w:val="22"/>
        </w:rPr>
      </w:pPr>
      <w:r>
        <w:rPr>
          <w:noProof/>
          <w:lang w:val="en-IN" w:eastAsia="en-IN"/>
        </w:rPr>
        <w:drawing>
          <wp:inline distT="0" distB="0" distL="0" distR="0" wp14:anchorId="685AA5C1" wp14:editId="7895CA95">
            <wp:extent cx="5629275" cy="3133725"/>
            <wp:effectExtent l="0" t="0" r="9525" b="9525"/>
            <wp:docPr id="25" name="Chart 25" title="Amount (Rs. Crore)"/>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994860" w:rsidRDefault="00994860" w:rsidP="00994860">
      <w:pPr>
        <w:jc w:val="center"/>
        <w:rPr>
          <w:rFonts w:ascii="Palatino Linotype" w:eastAsia="Times New Roman" w:hAnsi="Palatino Linotype" w:cs="Garamond"/>
          <w:b/>
          <w:bCs/>
          <w:sz w:val="22"/>
          <w:szCs w:val="22"/>
        </w:rPr>
      </w:pPr>
    </w:p>
    <w:p w:rsidR="00994860" w:rsidRPr="009271A2" w:rsidRDefault="00994860" w:rsidP="00994860">
      <w:pPr>
        <w:jc w:val="center"/>
        <w:rPr>
          <w:rFonts w:ascii="Palatino Linotype" w:eastAsia="Times New Roman" w:hAnsi="Palatino Linotype" w:cs="Garamond"/>
          <w:b/>
          <w:bCs/>
          <w:sz w:val="22"/>
          <w:szCs w:val="22"/>
        </w:rPr>
      </w:pPr>
    </w:p>
    <w:p w:rsidR="00927D43" w:rsidRPr="002726A8" w:rsidRDefault="00927D43" w:rsidP="00927D43">
      <w:pPr>
        <w:rPr>
          <w:rFonts w:ascii="Garamond" w:hAnsi="Garamond"/>
          <w:b/>
        </w:rPr>
      </w:pPr>
    </w:p>
    <w:p w:rsidR="00986F56" w:rsidRPr="00AE226D" w:rsidRDefault="00986F56" w:rsidP="00986F56">
      <w:pPr>
        <w:widowControl w:val="0"/>
        <w:numPr>
          <w:ilvl w:val="0"/>
          <w:numId w:val="2"/>
        </w:numPr>
        <w:contextualSpacing/>
        <w:jc w:val="both"/>
        <w:rPr>
          <w:rFonts w:ascii="Garamond" w:eastAsia="Times New Roman" w:hAnsi="Garamond"/>
          <w:b/>
          <w:color w:val="0F0684"/>
        </w:rPr>
      </w:pPr>
      <w:r w:rsidRPr="00986F56">
        <w:rPr>
          <w:rFonts w:ascii="Garamond" w:hAnsi="Garamond"/>
          <w:b/>
          <w:sz w:val="22"/>
          <w:szCs w:val="22"/>
        </w:rPr>
        <w:t>Commodities Derivatives Markets</w:t>
      </w:r>
    </w:p>
    <w:p w:rsidR="00986F56" w:rsidRDefault="00986F56" w:rsidP="00986F56">
      <w:pPr>
        <w:pStyle w:val="ListParagraph"/>
        <w:spacing w:after="0" w:line="240" w:lineRule="auto"/>
        <w:jc w:val="both"/>
        <w:rPr>
          <w:rFonts w:ascii="Garamond" w:eastAsia="Times New Roman" w:hAnsi="Garamond"/>
          <w:b/>
          <w:color w:val="000000"/>
          <w:sz w:val="24"/>
          <w:szCs w:val="24"/>
        </w:rPr>
      </w:pPr>
    </w:p>
    <w:p w:rsidR="00645D01" w:rsidRPr="002F7F08" w:rsidRDefault="00645D01" w:rsidP="00645D01">
      <w:pPr>
        <w:pStyle w:val="ListParagraph"/>
        <w:spacing w:after="0" w:line="240" w:lineRule="auto"/>
        <w:jc w:val="both"/>
        <w:rPr>
          <w:rFonts w:ascii="Garamond" w:eastAsia="Times New Roman" w:hAnsi="Garamond"/>
          <w:b/>
          <w:color w:val="000000"/>
          <w:sz w:val="24"/>
          <w:szCs w:val="24"/>
        </w:rPr>
      </w:pPr>
      <w:r w:rsidRPr="002F7F08">
        <w:rPr>
          <w:rFonts w:ascii="Garamond" w:eastAsia="Times New Roman" w:hAnsi="Garamond"/>
          <w:b/>
          <w:color w:val="000000"/>
          <w:sz w:val="24"/>
          <w:szCs w:val="24"/>
        </w:rPr>
        <w:t>A. Market Trends</w:t>
      </w:r>
    </w:p>
    <w:p w:rsidR="00645D01" w:rsidRDefault="00645D01" w:rsidP="00645D01">
      <w:pPr>
        <w:pStyle w:val="ListParagraph"/>
        <w:spacing w:after="0" w:line="240" w:lineRule="auto"/>
        <w:jc w:val="both"/>
        <w:rPr>
          <w:rFonts w:ascii="Garamond" w:eastAsia="Times New Roman" w:hAnsi="Garamond"/>
          <w:color w:val="000000"/>
          <w:sz w:val="24"/>
          <w:szCs w:val="24"/>
        </w:rPr>
      </w:pPr>
    </w:p>
    <w:p w:rsidR="00645D01" w:rsidRDefault="00645D01" w:rsidP="00645D01">
      <w:pPr>
        <w:pStyle w:val="ListParagraph"/>
        <w:spacing w:after="0" w:line="240" w:lineRule="auto"/>
        <w:jc w:val="both"/>
        <w:rPr>
          <w:rFonts w:ascii="Garamond" w:eastAsia="Times New Roman" w:hAnsi="Garamond"/>
          <w:color w:val="000000"/>
          <w:sz w:val="24"/>
          <w:szCs w:val="24"/>
        </w:rPr>
      </w:pPr>
      <w:r w:rsidRPr="00ED6E5C">
        <w:rPr>
          <w:rFonts w:ascii="Garamond" w:hAnsi="Garamond"/>
          <w:sz w:val="24"/>
          <w:szCs w:val="24"/>
        </w:rPr>
        <w:t xml:space="preserve">At the end of </w:t>
      </w:r>
      <w:r>
        <w:rPr>
          <w:rFonts w:ascii="Garamond" w:hAnsi="Garamond"/>
          <w:sz w:val="24"/>
          <w:szCs w:val="24"/>
        </w:rPr>
        <w:t>February</w:t>
      </w:r>
      <w:r w:rsidRPr="00615025">
        <w:rPr>
          <w:rFonts w:ascii="Garamond" w:hAnsi="Garamond"/>
          <w:sz w:val="24"/>
          <w:szCs w:val="24"/>
        </w:rPr>
        <w:t xml:space="preserve"> 201</w:t>
      </w:r>
      <w:r>
        <w:rPr>
          <w:rFonts w:ascii="Garamond" w:hAnsi="Garamond"/>
          <w:sz w:val="24"/>
          <w:szCs w:val="24"/>
        </w:rPr>
        <w:t>9</w:t>
      </w:r>
      <w:r w:rsidRPr="00ED6E5C">
        <w:rPr>
          <w:rFonts w:ascii="Garamond" w:hAnsi="Garamond"/>
          <w:sz w:val="24"/>
          <w:szCs w:val="24"/>
        </w:rPr>
        <w:t>, MCX Comdex closed at 3</w:t>
      </w:r>
      <w:r>
        <w:rPr>
          <w:rFonts w:ascii="Garamond" w:hAnsi="Garamond"/>
          <w:sz w:val="24"/>
          <w:szCs w:val="24"/>
        </w:rPr>
        <w:t>752.0</w:t>
      </w:r>
      <w:r w:rsidRPr="00ED6E5C">
        <w:rPr>
          <w:rFonts w:ascii="Garamond" w:hAnsi="Garamond"/>
          <w:sz w:val="24"/>
          <w:szCs w:val="24"/>
        </w:rPr>
        <w:t xml:space="preserve">, witnessing a </w:t>
      </w:r>
      <w:r>
        <w:rPr>
          <w:rFonts w:ascii="Garamond" w:hAnsi="Garamond"/>
          <w:sz w:val="24"/>
          <w:szCs w:val="24"/>
        </w:rPr>
        <w:t>rise</w:t>
      </w:r>
      <w:r w:rsidRPr="00ED6E5C">
        <w:rPr>
          <w:rFonts w:ascii="Garamond" w:hAnsi="Garamond"/>
          <w:sz w:val="24"/>
          <w:szCs w:val="24"/>
        </w:rPr>
        <w:t xml:space="preserve"> of </w:t>
      </w:r>
      <w:r>
        <w:rPr>
          <w:rFonts w:ascii="Garamond" w:hAnsi="Garamond"/>
          <w:sz w:val="24"/>
          <w:szCs w:val="24"/>
        </w:rPr>
        <w:t>2.2</w:t>
      </w:r>
      <w:r w:rsidRPr="00ED6E5C">
        <w:rPr>
          <w:rFonts w:ascii="Garamond" w:hAnsi="Garamond"/>
          <w:sz w:val="24"/>
          <w:szCs w:val="24"/>
        </w:rPr>
        <w:t xml:space="preserve"> per cent </w:t>
      </w:r>
      <w:r>
        <w:rPr>
          <w:rFonts w:ascii="Garamond" w:hAnsi="Garamond"/>
          <w:sz w:val="24"/>
          <w:szCs w:val="24"/>
        </w:rPr>
        <w:t>over the closing value of 3671.7</w:t>
      </w:r>
      <w:r w:rsidRPr="00ED6E5C">
        <w:rPr>
          <w:rFonts w:ascii="Garamond" w:hAnsi="Garamond"/>
          <w:sz w:val="24"/>
          <w:szCs w:val="24"/>
        </w:rPr>
        <w:t xml:space="preserve"> on </w:t>
      </w:r>
      <w:r>
        <w:rPr>
          <w:rFonts w:ascii="Garamond" w:hAnsi="Garamond"/>
          <w:sz w:val="24"/>
          <w:szCs w:val="24"/>
        </w:rPr>
        <w:t>January 31</w:t>
      </w:r>
      <w:r w:rsidRPr="00ED6E5C">
        <w:rPr>
          <w:rFonts w:ascii="Garamond" w:hAnsi="Garamond"/>
          <w:sz w:val="24"/>
          <w:szCs w:val="24"/>
        </w:rPr>
        <w:t>, 201</w:t>
      </w:r>
      <w:r>
        <w:rPr>
          <w:rFonts w:ascii="Garamond" w:hAnsi="Garamond"/>
          <w:sz w:val="24"/>
          <w:szCs w:val="24"/>
        </w:rPr>
        <w:t>9</w:t>
      </w:r>
      <w:r>
        <w:rPr>
          <w:rFonts w:ascii="Garamond" w:eastAsia="Times New Roman" w:hAnsi="Garamond"/>
          <w:color w:val="000000"/>
          <w:sz w:val="24"/>
          <w:szCs w:val="24"/>
        </w:rPr>
        <w:t>.</w:t>
      </w:r>
      <w:r w:rsidRPr="00D2057B">
        <w:rPr>
          <w:rFonts w:ascii="Garamond" w:eastAsia="Times New Roman" w:hAnsi="Garamond"/>
          <w:color w:val="000000"/>
          <w:sz w:val="24"/>
          <w:szCs w:val="24"/>
        </w:rPr>
        <w:t xml:space="preserve">  </w:t>
      </w:r>
      <w:r>
        <w:rPr>
          <w:rFonts w:ascii="Garamond" w:eastAsia="Times New Roman" w:hAnsi="Garamond"/>
          <w:color w:val="000000"/>
          <w:sz w:val="24"/>
          <w:szCs w:val="24"/>
        </w:rPr>
        <w:t>On Y-o-Y basis, the MCX Comdex in</w:t>
      </w:r>
      <w:r w:rsidRPr="00632B48">
        <w:rPr>
          <w:rFonts w:ascii="Garamond" w:eastAsia="Times New Roman" w:hAnsi="Garamond"/>
          <w:color w:val="000000"/>
          <w:sz w:val="24"/>
          <w:szCs w:val="24"/>
        </w:rPr>
        <w:t xml:space="preserve">creased by </w:t>
      </w:r>
      <w:r>
        <w:rPr>
          <w:rFonts w:ascii="Garamond" w:eastAsia="Times New Roman" w:hAnsi="Garamond"/>
          <w:color w:val="000000"/>
          <w:sz w:val="24"/>
          <w:szCs w:val="24"/>
        </w:rPr>
        <w:t>2.5</w:t>
      </w:r>
      <w:r w:rsidRPr="00632B48">
        <w:rPr>
          <w:rFonts w:ascii="Garamond" w:eastAsia="Times New Roman" w:hAnsi="Garamond"/>
          <w:color w:val="000000"/>
          <w:sz w:val="24"/>
          <w:szCs w:val="24"/>
        </w:rPr>
        <w:t xml:space="preserve"> per cent, mainly on account of </w:t>
      </w:r>
      <w:r>
        <w:rPr>
          <w:rFonts w:ascii="Garamond" w:eastAsia="Times New Roman" w:hAnsi="Garamond"/>
          <w:color w:val="000000"/>
          <w:sz w:val="24"/>
          <w:szCs w:val="24"/>
        </w:rPr>
        <w:t>in</w:t>
      </w:r>
      <w:r w:rsidRPr="00632B48">
        <w:rPr>
          <w:rFonts w:ascii="Garamond" w:eastAsia="Times New Roman" w:hAnsi="Garamond"/>
          <w:color w:val="000000"/>
          <w:sz w:val="24"/>
          <w:szCs w:val="24"/>
        </w:rPr>
        <w:t xml:space="preserve">crease in prices of </w:t>
      </w:r>
      <w:r>
        <w:rPr>
          <w:rFonts w:ascii="Garamond" w:eastAsia="Times New Roman" w:hAnsi="Garamond"/>
          <w:color w:val="000000"/>
          <w:sz w:val="24"/>
          <w:szCs w:val="24"/>
        </w:rPr>
        <w:t xml:space="preserve">cardamom, mentha oil, natural gas, gold, copper, nickel, silver and cotton </w:t>
      </w:r>
      <w:r w:rsidRPr="00632B48">
        <w:rPr>
          <w:rFonts w:ascii="Garamond" w:eastAsia="Times New Roman" w:hAnsi="Garamond"/>
          <w:color w:val="000000"/>
          <w:sz w:val="24"/>
          <w:szCs w:val="24"/>
        </w:rPr>
        <w:t>over the past year</w:t>
      </w:r>
      <w:r>
        <w:rPr>
          <w:rFonts w:ascii="Garamond" w:eastAsia="Times New Roman" w:hAnsi="Garamond"/>
          <w:color w:val="000000"/>
          <w:sz w:val="24"/>
          <w:szCs w:val="24"/>
        </w:rPr>
        <w:t xml:space="preserve">. </w:t>
      </w:r>
      <w:r w:rsidRPr="00615025">
        <w:rPr>
          <w:rFonts w:ascii="Garamond" w:hAnsi="Garamond"/>
          <w:sz w:val="24"/>
          <w:szCs w:val="24"/>
        </w:rPr>
        <w:t xml:space="preserve">At the end of </w:t>
      </w:r>
      <w:r>
        <w:rPr>
          <w:rFonts w:ascii="Garamond" w:hAnsi="Garamond"/>
          <w:sz w:val="24"/>
          <w:szCs w:val="24"/>
        </w:rPr>
        <w:t>February</w:t>
      </w:r>
      <w:r w:rsidRPr="00615025">
        <w:rPr>
          <w:rFonts w:ascii="Garamond" w:hAnsi="Garamond"/>
          <w:sz w:val="24"/>
          <w:szCs w:val="24"/>
        </w:rPr>
        <w:t xml:space="preserve"> 201</w:t>
      </w:r>
      <w:r>
        <w:rPr>
          <w:rFonts w:ascii="Garamond" w:hAnsi="Garamond"/>
          <w:sz w:val="24"/>
          <w:szCs w:val="24"/>
        </w:rPr>
        <w:t>9</w:t>
      </w:r>
      <w:r w:rsidRPr="00615025">
        <w:rPr>
          <w:rFonts w:ascii="Garamond" w:hAnsi="Garamond"/>
          <w:sz w:val="24"/>
          <w:szCs w:val="24"/>
        </w:rPr>
        <w:t xml:space="preserve">, NCDEX Dhaanya closed at </w:t>
      </w:r>
      <w:r>
        <w:rPr>
          <w:rFonts w:ascii="Garamond" w:hAnsi="Garamond"/>
          <w:sz w:val="24"/>
          <w:szCs w:val="24"/>
        </w:rPr>
        <w:t>3268.2</w:t>
      </w:r>
      <w:r w:rsidRPr="00615025">
        <w:rPr>
          <w:rFonts w:ascii="Garamond" w:hAnsi="Garamond"/>
          <w:sz w:val="24"/>
          <w:szCs w:val="24"/>
        </w:rPr>
        <w:t>, a</w:t>
      </w:r>
      <w:r>
        <w:rPr>
          <w:rFonts w:ascii="Garamond" w:hAnsi="Garamond"/>
          <w:sz w:val="24"/>
          <w:szCs w:val="24"/>
        </w:rPr>
        <w:t xml:space="preserve"> de</w:t>
      </w:r>
      <w:r w:rsidRPr="00615025">
        <w:rPr>
          <w:rFonts w:ascii="Garamond" w:hAnsi="Garamond"/>
          <w:sz w:val="24"/>
          <w:szCs w:val="24"/>
        </w:rPr>
        <w:t xml:space="preserve">crease </w:t>
      </w:r>
      <w:r>
        <w:rPr>
          <w:rFonts w:ascii="Garamond" w:hAnsi="Garamond"/>
          <w:sz w:val="24"/>
          <w:szCs w:val="24"/>
        </w:rPr>
        <w:t xml:space="preserve">of 3.6 </w:t>
      </w:r>
      <w:r w:rsidRPr="00615025">
        <w:rPr>
          <w:rFonts w:ascii="Garamond" w:hAnsi="Garamond"/>
          <w:sz w:val="24"/>
          <w:szCs w:val="24"/>
        </w:rPr>
        <w:t xml:space="preserve">per cent over the closing values of </w:t>
      </w:r>
      <w:r>
        <w:rPr>
          <w:rFonts w:ascii="Garamond" w:hAnsi="Garamond"/>
          <w:sz w:val="24"/>
          <w:szCs w:val="24"/>
        </w:rPr>
        <w:t>3391.3 recorded on January 31, 2019.</w:t>
      </w:r>
      <w:r w:rsidRPr="00AC5C7C">
        <w:rPr>
          <w:rFonts w:ascii="Garamond" w:eastAsia="Times New Roman" w:hAnsi="Garamond"/>
          <w:color w:val="000000"/>
          <w:sz w:val="24"/>
          <w:szCs w:val="24"/>
        </w:rPr>
        <w:t xml:space="preserve"> </w:t>
      </w:r>
      <w:r>
        <w:rPr>
          <w:rFonts w:ascii="Garamond" w:eastAsia="Times New Roman" w:hAnsi="Garamond"/>
          <w:color w:val="000000"/>
          <w:sz w:val="24"/>
          <w:szCs w:val="24"/>
        </w:rPr>
        <w:t>On Y-o-Y basis, the NCDEX Dhaanya index increased by 4.9 per cent, mainly driven by</w:t>
      </w:r>
      <w:r w:rsidRPr="009B79E4">
        <w:rPr>
          <w:rFonts w:ascii="Garamond" w:eastAsia="Times New Roman" w:hAnsi="Garamond"/>
          <w:color w:val="000000"/>
          <w:sz w:val="24"/>
          <w:szCs w:val="24"/>
        </w:rPr>
        <w:t xml:space="preserve"> increase in prices of all the traded commodities</w:t>
      </w:r>
      <w:r>
        <w:rPr>
          <w:rFonts w:ascii="Garamond" w:eastAsia="Times New Roman" w:hAnsi="Garamond"/>
          <w:color w:val="000000"/>
          <w:sz w:val="24"/>
          <w:szCs w:val="24"/>
        </w:rPr>
        <w:t xml:space="preserve">, </w:t>
      </w:r>
      <w:r w:rsidRPr="009B79E4">
        <w:rPr>
          <w:rFonts w:ascii="Garamond" w:eastAsia="Times New Roman" w:hAnsi="Garamond"/>
          <w:color w:val="000000"/>
          <w:sz w:val="24"/>
          <w:szCs w:val="24"/>
        </w:rPr>
        <w:t xml:space="preserve">except </w:t>
      </w:r>
      <w:r>
        <w:rPr>
          <w:rFonts w:ascii="Garamond" w:eastAsia="Times New Roman" w:hAnsi="Garamond"/>
          <w:color w:val="000000"/>
          <w:sz w:val="24"/>
          <w:szCs w:val="24"/>
        </w:rPr>
        <w:t xml:space="preserve">guar gum, RM seed, soybean, turmeric </w:t>
      </w:r>
      <w:r w:rsidRPr="009B79E4">
        <w:rPr>
          <w:rFonts w:ascii="Garamond" w:eastAsia="Times New Roman" w:hAnsi="Garamond"/>
          <w:color w:val="000000"/>
          <w:sz w:val="24"/>
          <w:szCs w:val="24"/>
        </w:rPr>
        <w:t xml:space="preserve">and </w:t>
      </w:r>
      <w:r>
        <w:rPr>
          <w:rFonts w:ascii="Garamond" w:eastAsia="Times New Roman" w:hAnsi="Garamond"/>
          <w:color w:val="000000"/>
          <w:sz w:val="24"/>
          <w:szCs w:val="24"/>
        </w:rPr>
        <w:t>guarseed</w:t>
      </w:r>
      <w:r w:rsidRPr="009B79E4">
        <w:rPr>
          <w:rFonts w:ascii="Garamond" w:eastAsia="Times New Roman" w:hAnsi="Garamond"/>
          <w:color w:val="000000"/>
          <w:sz w:val="24"/>
          <w:szCs w:val="24"/>
        </w:rPr>
        <w:t xml:space="preserve"> over the past year</w:t>
      </w:r>
      <w:r>
        <w:rPr>
          <w:rFonts w:ascii="Garamond" w:eastAsia="Times New Roman" w:hAnsi="Garamond"/>
          <w:color w:val="000000"/>
          <w:sz w:val="24"/>
          <w:szCs w:val="24"/>
        </w:rPr>
        <w:t xml:space="preserve">. </w:t>
      </w:r>
      <w:r w:rsidRPr="00774574">
        <w:rPr>
          <w:rFonts w:ascii="Garamond" w:eastAsia="Times New Roman" w:hAnsi="Garamond"/>
          <w:b/>
          <w:color w:val="000000"/>
          <w:sz w:val="24"/>
          <w:szCs w:val="24"/>
        </w:rPr>
        <w:t xml:space="preserve">(Figure </w:t>
      </w:r>
      <w:r>
        <w:rPr>
          <w:rFonts w:ascii="Garamond" w:eastAsia="Times New Roman" w:hAnsi="Garamond"/>
          <w:b/>
          <w:color w:val="000000"/>
          <w:sz w:val="24"/>
          <w:szCs w:val="24"/>
        </w:rPr>
        <w:t>13</w:t>
      </w:r>
      <w:r w:rsidRPr="00774574">
        <w:rPr>
          <w:rFonts w:ascii="Garamond" w:eastAsia="Times New Roman" w:hAnsi="Garamond"/>
          <w:b/>
          <w:color w:val="000000"/>
          <w:sz w:val="24"/>
          <w:szCs w:val="24"/>
        </w:rPr>
        <w:t>)</w:t>
      </w:r>
      <w:r w:rsidRPr="00AC5C7C">
        <w:rPr>
          <w:rFonts w:ascii="Garamond" w:eastAsia="Times New Roman" w:hAnsi="Garamond"/>
          <w:color w:val="000000"/>
          <w:sz w:val="24"/>
          <w:szCs w:val="24"/>
        </w:rPr>
        <w:t>.</w:t>
      </w:r>
    </w:p>
    <w:p w:rsidR="00645D01" w:rsidRDefault="00645D01" w:rsidP="00645D01">
      <w:pPr>
        <w:pStyle w:val="ListParagraph"/>
        <w:spacing w:after="0" w:line="240" w:lineRule="auto"/>
        <w:jc w:val="both"/>
        <w:rPr>
          <w:rFonts w:ascii="Garamond" w:eastAsia="Times New Roman" w:hAnsi="Garamond"/>
          <w:color w:val="000000"/>
          <w:sz w:val="24"/>
          <w:szCs w:val="24"/>
        </w:rPr>
      </w:pPr>
    </w:p>
    <w:p w:rsidR="002B2DA3" w:rsidRDefault="002B2DA3">
      <w:pPr>
        <w:rPr>
          <w:rFonts w:ascii="Garamond" w:eastAsia="Times New Roman" w:hAnsi="Garamond"/>
          <w:b/>
          <w:color w:val="2E74B5" w:themeColor="accent1" w:themeShade="BF"/>
          <w:lang w:val="en-US"/>
        </w:rPr>
      </w:pPr>
      <w:r>
        <w:rPr>
          <w:rFonts w:ascii="Garamond" w:eastAsia="Times New Roman" w:hAnsi="Garamond"/>
          <w:b/>
          <w:color w:val="2E74B5" w:themeColor="accent1" w:themeShade="BF"/>
        </w:rPr>
        <w:br w:type="page"/>
      </w:r>
    </w:p>
    <w:p w:rsidR="00645D01" w:rsidRDefault="00645D01" w:rsidP="00645D01">
      <w:pPr>
        <w:pStyle w:val="ListParagraph"/>
        <w:spacing w:after="0" w:line="480" w:lineRule="auto"/>
        <w:jc w:val="center"/>
        <w:rPr>
          <w:noProof/>
          <w:lang w:val="en-IN" w:eastAsia="en-IN"/>
        </w:rPr>
      </w:pPr>
      <w:r w:rsidRPr="00F43134">
        <w:rPr>
          <w:rFonts w:ascii="Garamond" w:eastAsia="Times New Roman" w:hAnsi="Garamond"/>
          <w:b/>
          <w:color w:val="2E74B5" w:themeColor="accent1" w:themeShade="BF"/>
          <w:sz w:val="24"/>
          <w:szCs w:val="24"/>
        </w:rPr>
        <w:lastRenderedPageBreak/>
        <w:t xml:space="preserve">Figure </w:t>
      </w:r>
      <w:r>
        <w:rPr>
          <w:rFonts w:ascii="Garamond" w:eastAsia="Times New Roman" w:hAnsi="Garamond"/>
          <w:b/>
          <w:color w:val="2E74B5" w:themeColor="accent1" w:themeShade="BF"/>
          <w:sz w:val="24"/>
          <w:szCs w:val="24"/>
        </w:rPr>
        <w:t>13</w:t>
      </w:r>
      <w:r w:rsidRPr="00F43134">
        <w:rPr>
          <w:rFonts w:ascii="Garamond" w:eastAsia="Times New Roman" w:hAnsi="Garamond"/>
          <w:b/>
          <w:color w:val="2E74B5" w:themeColor="accent1" w:themeShade="BF"/>
          <w:sz w:val="24"/>
          <w:szCs w:val="24"/>
        </w:rPr>
        <w:t>: Movement of Commodity Derivatives Market Indices</w:t>
      </w:r>
    </w:p>
    <w:p w:rsidR="00645D01" w:rsidRDefault="00645D01" w:rsidP="00645D01">
      <w:pPr>
        <w:pStyle w:val="ListParagraph"/>
        <w:spacing w:after="0" w:line="480" w:lineRule="auto"/>
        <w:jc w:val="center"/>
        <w:rPr>
          <w:rFonts w:ascii="Garamond" w:eastAsia="Times New Roman" w:hAnsi="Garamond"/>
          <w:b/>
          <w:color w:val="2E74B5" w:themeColor="accent1" w:themeShade="BF"/>
          <w:sz w:val="24"/>
          <w:szCs w:val="24"/>
        </w:rPr>
      </w:pPr>
      <w:r>
        <w:rPr>
          <w:noProof/>
          <w:lang w:val="en-IN" w:eastAsia="en-IN"/>
        </w:rPr>
        <w:drawing>
          <wp:inline distT="0" distB="0" distL="0" distR="0" wp14:anchorId="7DD2B8FE" wp14:editId="180FE302">
            <wp:extent cx="5191125" cy="2743200"/>
            <wp:effectExtent l="0" t="0" r="9525" b="0"/>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645D01" w:rsidRPr="004B5EE7" w:rsidRDefault="00645D01" w:rsidP="00645D01">
      <w:pPr>
        <w:spacing w:line="480" w:lineRule="auto"/>
        <w:jc w:val="both"/>
        <w:rPr>
          <w:rFonts w:ascii="Garamond" w:hAnsi="Garamond" w:cs="Arial"/>
          <w:b/>
          <w:bCs/>
        </w:rPr>
      </w:pPr>
      <w:r>
        <w:rPr>
          <w:rFonts w:ascii="Garamond" w:hAnsi="Garamond" w:cs="Arial"/>
          <w:b/>
          <w:bCs/>
        </w:rPr>
        <w:t xml:space="preserve">                </w:t>
      </w:r>
      <w:r w:rsidRPr="004B5EE7">
        <w:rPr>
          <w:rFonts w:ascii="Garamond" w:hAnsi="Garamond" w:cs="Arial"/>
          <w:b/>
          <w:bCs/>
        </w:rPr>
        <w:t>Source: MCX and NCDEX</w:t>
      </w:r>
    </w:p>
    <w:p w:rsidR="00645D01" w:rsidRDefault="00645D01" w:rsidP="00645D01">
      <w:pPr>
        <w:pStyle w:val="ListParagraph"/>
        <w:spacing w:after="0" w:line="240" w:lineRule="auto"/>
        <w:jc w:val="both"/>
        <w:rPr>
          <w:rFonts w:ascii="Garamond" w:eastAsia="Times New Roman" w:hAnsi="Garamond"/>
          <w:color w:val="000000"/>
          <w:sz w:val="24"/>
          <w:szCs w:val="24"/>
        </w:rPr>
      </w:pPr>
      <w:r w:rsidRPr="00D40554">
        <w:rPr>
          <w:rFonts w:ascii="Garamond" w:eastAsia="Times New Roman" w:hAnsi="Garamond"/>
          <w:color w:val="000000"/>
          <w:sz w:val="24"/>
          <w:szCs w:val="24"/>
        </w:rPr>
        <w:t xml:space="preserve">During </w:t>
      </w:r>
      <w:r>
        <w:rPr>
          <w:rFonts w:ascii="Garamond" w:eastAsia="Times New Roman" w:hAnsi="Garamond"/>
          <w:color w:val="000000"/>
          <w:sz w:val="24"/>
          <w:szCs w:val="24"/>
        </w:rPr>
        <w:t>February</w:t>
      </w:r>
      <w:r w:rsidRPr="00D40554">
        <w:rPr>
          <w:rFonts w:ascii="Garamond" w:eastAsia="Times New Roman" w:hAnsi="Garamond"/>
          <w:color w:val="000000"/>
          <w:sz w:val="24"/>
          <w:szCs w:val="24"/>
        </w:rPr>
        <w:t xml:space="preserve"> 201</w:t>
      </w:r>
      <w:r>
        <w:rPr>
          <w:rFonts w:ascii="Garamond" w:eastAsia="Times New Roman" w:hAnsi="Garamond"/>
          <w:color w:val="000000"/>
          <w:sz w:val="24"/>
          <w:szCs w:val="24"/>
        </w:rPr>
        <w:t>9</w:t>
      </w:r>
      <w:r w:rsidRPr="00D40554">
        <w:rPr>
          <w:rFonts w:ascii="Garamond" w:eastAsia="Times New Roman" w:hAnsi="Garamond"/>
          <w:color w:val="000000"/>
          <w:sz w:val="24"/>
          <w:szCs w:val="24"/>
        </w:rPr>
        <w:t xml:space="preserve">, </w:t>
      </w:r>
      <w:r>
        <w:rPr>
          <w:rFonts w:ascii="Garamond" w:eastAsia="Times New Roman" w:hAnsi="Garamond"/>
          <w:color w:val="000000"/>
          <w:sz w:val="24"/>
          <w:szCs w:val="24"/>
        </w:rPr>
        <w:t xml:space="preserve">among </w:t>
      </w:r>
      <w:r w:rsidRPr="00D40554">
        <w:rPr>
          <w:rFonts w:ascii="Garamond" w:eastAsia="Times New Roman" w:hAnsi="Garamond"/>
          <w:color w:val="000000"/>
          <w:sz w:val="24"/>
          <w:szCs w:val="24"/>
        </w:rPr>
        <w:t>the three component indices of MCX Comdex, MCX Energy</w:t>
      </w:r>
      <w:r>
        <w:rPr>
          <w:rFonts w:ascii="Garamond" w:eastAsia="Times New Roman" w:hAnsi="Garamond"/>
          <w:color w:val="000000"/>
          <w:sz w:val="24"/>
          <w:szCs w:val="24"/>
        </w:rPr>
        <w:t xml:space="preserve"> and MCX </w:t>
      </w:r>
      <w:r w:rsidRPr="00D40554">
        <w:rPr>
          <w:rFonts w:ascii="Garamond" w:eastAsia="Times New Roman" w:hAnsi="Garamond"/>
          <w:color w:val="000000"/>
          <w:sz w:val="24"/>
          <w:szCs w:val="24"/>
        </w:rPr>
        <w:t xml:space="preserve">Metal indices </w:t>
      </w:r>
      <w:r>
        <w:rPr>
          <w:rFonts w:ascii="Garamond" w:eastAsia="Times New Roman" w:hAnsi="Garamond"/>
          <w:color w:val="000000"/>
          <w:sz w:val="24"/>
          <w:szCs w:val="24"/>
        </w:rPr>
        <w:t>in</w:t>
      </w:r>
      <w:r w:rsidRPr="00D40554">
        <w:rPr>
          <w:rFonts w:ascii="Garamond" w:eastAsia="Times New Roman" w:hAnsi="Garamond"/>
          <w:color w:val="000000"/>
          <w:sz w:val="24"/>
          <w:szCs w:val="24"/>
        </w:rPr>
        <w:t xml:space="preserve">creased by </w:t>
      </w:r>
      <w:r>
        <w:rPr>
          <w:rFonts w:ascii="Garamond" w:eastAsia="Times New Roman" w:hAnsi="Garamond"/>
          <w:color w:val="000000"/>
          <w:sz w:val="24"/>
          <w:szCs w:val="24"/>
        </w:rPr>
        <w:t>4.2</w:t>
      </w:r>
      <w:r w:rsidRPr="00D40554">
        <w:rPr>
          <w:rFonts w:ascii="Garamond" w:eastAsia="Times New Roman" w:hAnsi="Garamond"/>
          <w:color w:val="000000"/>
          <w:sz w:val="24"/>
          <w:szCs w:val="24"/>
        </w:rPr>
        <w:t xml:space="preserve"> per cent</w:t>
      </w:r>
      <w:r>
        <w:rPr>
          <w:rFonts w:ascii="Garamond" w:eastAsia="Times New Roman" w:hAnsi="Garamond"/>
          <w:color w:val="000000"/>
          <w:sz w:val="24"/>
          <w:szCs w:val="24"/>
        </w:rPr>
        <w:t xml:space="preserve"> and 2.4</w:t>
      </w:r>
      <w:r w:rsidRPr="00D40554">
        <w:rPr>
          <w:rFonts w:ascii="Garamond" w:eastAsia="Times New Roman" w:hAnsi="Garamond"/>
          <w:color w:val="000000"/>
          <w:sz w:val="24"/>
          <w:szCs w:val="24"/>
        </w:rPr>
        <w:t xml:space="preserve"> per cent respectively</w:t>
      </w:r>
      <w:r>
        <w:rPr>
          <w:rFonts w:ascii="Garamond" w:eastAsia="Times New Roman" w:hAnsi="Garamond"/>
          <w:color w:val="000000"/>
          <w:sz w:val="24"/>
          <w:szCs w:val="24"/>
        </w:rPr>
        <w:t xml:space="preserve">, whereas MCX Agri. index decreased by 2.7 per cent. </w:t>
      </w:r>
      <w:r w:rsidRPr="00D40554">
        <w:rPr>
          <w:rFonts w:ascii="Garamond" w:eastAsia="Times New Roman" w:hAnsi="Garamond"/>
          <w:color w:val="000000"/>
          <w:sz w:val="24"/>
          <w:szCs w:val="24"/>
        </w:rPr>
        <w:t xml:space="preserve">MCX Energy index which is composed of only crude oil and natural gas, </w:t>
      </w:r>
      <w:r>
        <w:rPr>
          <w:rFonts w:ascii="Garamond" w:eastAsia="Times New Roman" w:hAnsi="Garamond"/>
          <w:color w:val="000000"/>
          <w:sz w:val="24"/>
          <w:szCs w:val="24"/>
        </w:rPr>
        <w:t>increased on account of in</w:t>
      </w:r>
      <w:r w:rsidRPr="00D40554">
        <w:rPr>
          <w:rFonts w:ascii="Garamond" w:eastAsia="Times New Roman" w:hAnsi="Garamond"/>
          <w:color w:val="000000"/>
          <w:sz w:val="24"/>
          <w:szCs w:val="24"/>
        </w:rPr>
        <w:t xml:space="preserve">crease in the crude oil prices by </w:t>
      </w:r>
      <w:r>
        <w:rPr>
          <w:rFonts w:ascii="Garamond" w:eastAsia="Times New Roman" w:hAnsi="Garamond"/>
          <w:color w:val="000000"/>
          <w:sz w:val="24"/>
          <w:szCs w:val="24"/>
        </w:rPr>
        <w:t>4.9</w:t>
      </w:r>
      <w:r w:rsidRPr="00D40554">
        <w:rPr>
          <w:rFonts w:ascii="Garamond" w:eastAsia="Times New Roman" w:hAnsi="Garamond"/>
          <w:color w:val="000000"/>
          <w:sz w:val="24"/>
          <w:szCs w:val="24"/>
        </w:rPr>
        <w:t xml:space="preserve"> per cent</w:t>
      </w:r>
      <w:r>
        <w:rPr>
          <w:rFonts w:ascii="Garamond" w:eastAsia="Times New Roman" w:hAnsi="Garamond"/>
          <w:color w:val="000000"/>
          <w:sz w:val="24"/>
          <w:szCs w:val="24"/>
        </w:rPr>
        <w:t xml:space="preserve">, while </w:t>
      </w:r>
      <w:r w:rsidRPr="00D40554">
        <w:rPr>
          <w:rFonts w:ascii="Garamond" w:eastAsia="Times New Roman" w:hAnsi="Garamond"/>
          <w:color w:val="000000"/>
          <w:sz w:val="24"/>
          <w:szCs w:val="24"/>
        </w:rPr>
        <w:t>natural gas prices</w:t>
      </w:r>
      <w:r>
        <w:rPr>
          <w:rFonts w:ascii="Garamond" w:eastAsia="Times New Roman" w:hAnsi="Garamond"/>
          <w:color w:val="000000"/>
          <w:sz w:val="24"/>
          <w:szCs w:val="24"/>
        </w:rPr>
        <w:t xml:space="preserve"> declined </w:t>
      </w:r>
      <w:r w:rsidRPr="00D40554">
        <w:rPr>
          <w:rFonts w:ascii="Garamond" w:eastAsia="Times New Roman" w:hAnsi="Garamond"/>
          <w:color w:val="000000"/>
          <w:sz w:val="24"/>
          <w:szCs w:val="24"/>
        </w:rPr>
        <w:t xml:space="preserve">by </w:t>
      </w:r>
      <w:r>
        <w:rPr>
          <w:rFonts w:ascii="Garamond" w:eastAsia="Times New Roman" w:hAnsi="Garamond"/>
          <w:color w:val="000000"/>
          <w:sz w:val="24"/>
          <w:szCs w:val="24"/>
        </w:rPr>
        <w:t>0.9</w:t>
      </w:r>
      <w:r w:rsidRPr="00D40554">
        <w:rPr>
          <w:rFonts w:ascii="Garamond" w:eastAsia="Times New Roman" w:hAnsi="Garamond"/>
          <w:color w:val="000000"/>
          <w:sz w:val="24"/>
          <w:szCs w:val="24"/>
        </w:rPr>
        <w:t xml:space="preserve"> per cent. The </w:t>
      </w:r>
      <w:r>
        <w:rPr>
          <w:rFonts w:ascii="Garamond" w:eastAsia="Times New Roman" w:hAnsi="Garamond"/>
          <w:color w:val="000000"/>
          <w:sz w:val="24"/>
          <w:szCs w:val="24"/>
        </w:rPr>
        <w:t>up</w:t>
      </w:r>
      <w:r w:rsidRPr="00D40554">
        <w:rPr>
          <w:rFonts w:ascii="Garamond" w:eastAsia="Times New Roman" w:hAnsi="Garamond"/>
          <w:color w:val="000000"/>
          <w:sz w:val="24"/>
          <w:szCs w:val="24"/>
        </w:rPr>
        <w:t xml:space="preserve">trend in MCX Metal index was driven by the </w:t>
      </w:r>
      <w:r>
        <w:rPr>
          <w:rFonts w:ascii="Garamond" w:eastAsia="Times New Roman" w:hAnsi="Garamond"/>
          <w:color w:val="000000"/>
          <w:sz w:val="24"/>
          <w:szCs w:val="24"/>
        </w:rPr>
        <w:t>rise</w:t>
      </w:r>
      <w:r w:rsidRPr="00D40554">
        <w:rPr>
          <w:rFonts w:ascii="Garamond" w:eastAsia="Times New Roman" w:hAnsi="Garamond"/>
          <w:color w:val="000000"/>
          <w:sz w:val="24"/>
          <w:szCs w:val="24"/>
        </w:rPr>
        <w:t xml:space="preserve"> in futures prices of </w:t>
      </w:r>
      <w:r>
        <w:rPr>
          <w:rFonts w:ascii="Garamond" w:eastAsia="Times New Roman" w:hAnsi="Garamond"/>
          <w:color w:val="000000"/>
          <w:sz w:val="24"/>
          <w:szCs w:val="24"/>
        </w:rPr>
        <w:t>copper</w:t>
      </w:r>
      <w:r w:rsidRPr="00D40554">
        <w:rPr>
          <w:rFonts w:ascii="Garamond" w:eastAsia="Times New Roman" w:hAnsi="Garamond"/>
          <w:color w:val="000000"/>
          <w:sz w:val="24"/>
          <w:szCs w:val="24"/>
        </w:rPr>
        <w:t xml:space="preserve"> (</w:t>
      </w:r>
      <w:r>
        <w:rPr>
          <w:rFonts w:ascii="Garamond" w:eastAsia="Times New Roman" w:hAnsi="Garamond"/>
          <w:color w:val="000000"/>
          <w:sz w:val="24"/>
          <w:szCs w:val="24"/>
        </w:rPr>
        <w:t>5.8</w:t>
      </w:r>
      <w:r w:rsidRPr="00D40554">
        <w:rPr>
          <w:rFonts w:ascii="Garamond" w:eastAsia="Times New Roman" w:hAnsi="Garamond"/>
          <w:color w:val="000000"/>
          <w:sz w:val="24"/>
          <w:szCs w:val="24"/>
        </w:rPr>
        <w:t xml:space="preserve"> per cent)</w:t>
      </w:r>
      <w:r>
        <w:rPr>
          <w:rFonts w:ascii="Garamond" w:eastAsia="Times New Roman" w:hAnsi="Garamond"/>
          <w:color w:val="000000"/>
          <w:sz w:val="24"/>
          <w:szCs w:val="24"/>
        </w:rPr>
        <w:t>, followed by nickel (5.6 per cent), lead (3.3 per cent), zinc (3.0 per cent)</w:t>
      </w:r>
      <w:r w:rsidRPr="00D40554">
        <w:rPr>
          <w:rFonts w:ascii="Garamond" w:eastAsia="Times New Roman" w:hAnsi="Garamond"/>
          <w:color w:val="000000"/>
          <w:sz w:val="24"/>
          <w:szCs w:val="24"/>
        </w:rPr>
        <w:t xml:space="preserve"> and </w:t>
      </w:r>
      <w:r>
        <w:rPr>
          <w:rFonts w:ascii="Garamond" w:eastAsia="Times New Roman" w:hAnsi="Garamond"/>
          <w:color w:val="000000"/>
          <w:sz w:val="24"/>
          <w:szCs w:val="24"/>
        </w:rPr>
        <w:t>aluminium</w:t>
      </w:r>
      <w:r w:rsidRPr="00D40554">
        <w:rPr>
          <w:rFonts w:ascii="Garamond" w:eastAsia="Times New Roman" w:hAnsi="Garamond"/>
          <w:color w:val="000000"/>
          <w:sz w:val="24"/>
          <w:szCs w:val="24"/>
        </w:rPr>
        <w:t xml:space="preserve"> (</w:t>
      </w:r>
      <w:r>
        <w:rPr>
          <w:rFonts w:ascii="Garamond" w:eastAsia="Times New Roman" w:hAnsi="Garamond"/>
          <w:color w:val="000000"/>
          <w:sz w:val="24"/>
          <w:szCs w:val="24"/>
        </w:rPr>
        <w:t>0.9</w:t>
      </w:r>
      <w:r w:rsidRPr="00D40554">
        <w:rPr>
          <w:rFonts w:ascii="Garamond" w:eastAsia="Times New Roman" w:hAnsi="Garamond"/>
          <w:color w:val="000000"/>
          <w:sz w:val="24"/>
          <w:szCs w:val="24"/>
        </w:rPr>
        <w:t xml:space="preserve"> per cent). The </w:t>
      </w:r>
      <w:r>
        <w:rPr>
          <w:rFonts w:ascii="Garamond" w:eastAsia="Times New Roman" w:hAnsi="Garamond"/>
          <w:color w:val="000000"/>
          <w:sz w:val="24"/>
          <w:szCs w:val="24"/>
        </w:rPr>
        <w:t>down</w:t>
      </w:r>
      <w:r w:rsidRPr="00D40554">
        <w:rPr>
          <w:rFonts w:ascii="Garamond" w:eastAsia="Times New Roman" w:hAnsi="Garamond"/>
          <w:color w:val="000000"/>
          <w:sz w:val="24"/>
          <w:szCs w:val="24"/>
        </w:rPr>
        <w:t xml:space="preserve">trend in MCX Agri. index in </w:t>
      </w:r>
      <w:r>
        <w:rPr>
          <w:rFonts w:ascii="Garamond" w:eastAsia="Times New Roman" w:hAnsi="Garamond"/>
          <w:color w:val="000000"/>
          <w:sz w:val="24"/>
          <w:szCs w:val="24"/>
        </w:rPr>
        <w:t>February</w:t>
      </w:r>
      <w:r w:rsidRPr="00D40554">
        <w:rPr>
          <w:rFonts w:ascii="Garamond" w:eastAsia="Times New Roman" w:hAnsi="Garamond"/>
          <w:color w:val="000000"/>
          <w:sz w:val="24"/>
          <w:szCs w:val="24"/>
        </w:rPr>
        <w:t xml:space="preserve"> 201</w:t>
      </w:r>
      <w:r>
        <w:rPr>
          <w:rFonts w:ascii="Garamond" w:eastAsia="Times New Roman" w:hAnsi="Garamond"/>
          <w:color w:val="000000"/>
          <w:sz w:val="24"/>
          <w:szCs w:val="24"/>
        </w:rPr>
        <w:t>9</w:t>
      </w:r>
      <w:r w:rsidRPr="00D40554">
        <w:rPr>
          <w:rFonts w:ascii="Garamond" w:eastAsia="Times New Roman" w:hAnsi="Garamond"/>
          <w:color w:val="000000"/>
          <w:sz w:val="24"/>
          <w:szCs w:val="24"/>
        </w:rPr>
        <w:t xml:space="preserve"> was due to </w:t>
      </w:r>
      <w:r>
        <w:rPr>
          <w:rFonts w:ascii="Garamond" w:eastAsia="Times New Roman" w:hAnsi="Garamond"/>
          <w:color w:val="000000"/>
          <w:sz w:val="24"/>
          <w:szCs w:val="24"/>
        </w:rPr>
        <w:t>de</w:t>
      </w:r>
      <w:r w:rsidRPr="00D40554">
        <w:rPr>
          <w:rFonts w:ascii="Garamond" w:eastAsia="Times New Roman" w:hAnsi="Garamond"/>
          <w:color w:val="000000"/>
          <w:sz w:val="24"/>
          <w:szCs w:val="24"/>
        </w:rPr>
        <w:t xml:space="preserve">crease in futures prices of </w:t>
      </w:r>
      <w:r>
        <w:rPr>
          <w:rFonts w:ascii="Garamond" w:eastAsia="Times New Roman" w:hAnsi="Garamond"/>
          <w:color w:val="000000"/>
          <w:sz w:val="24"/>
          <w:szCs w:val="24"/>
        </w:rPr>
        <w:t>cardamom (6.3</w:t>
      </w:r>
      <w:r w:rsidRPr="00D40554">
        <w:rPr>
          <w:rFonts w:ascii="Garamond" w:eastAsia="Times New Roman" w:hAnsi="Garamond"/>
          <w:color w:val="000000"/>
          <w:sz w:val="24"/>
          <w:szCs w:val="24"/>
        </w:rPr>
        <w:t xml:space="preserve"> per cent),</w:t>
      </w:r>
      <w:r>
        <w:rPr>
          <w:rFonts w:ascii="Garamond" w:eastAsia="Times New Roman" w:hAnsi="Garamond"/>
          <w:color w:val="000000"/>
          <w:sz w:val="24"/>
          <w:szCs w:val="24"/>
        </w:rPr>
        <w:t xml:space="preserve"> cotton (2.9 per cent) and CPO (2.4 per cent), while</w:t>
      </w:r>
      <w:r w:rsidRPr="00D40554">
        <w:rPr>
          <w:rFonts w:ascii="Garamond" w:eastAsia="Times New Roman" w:hAnsi="Garamond"/>
          <w:color w:val="000000"/>
          <w:sz w:val="24"/>
          <w:szCs w:val="24"/>
        </w:rPr>
        <w:t xml:space="preserve"> </w:t>
      </w:r>
      <w:r>
        <w:rPr>
          <w:rFonts w:ascii="Garamond" w:eastAsia="Times New Roman" w:hAnsi="Garamond"/>
          <w:color w:val="000000"/>
          <w:sz w:val="24"/>
          <w:szCs w:val="24"/>
        </w:rPr>
        <w:t>futures prices of mentha oil</w:t>
      </w:r>
      <w:r w:rsidRPr="00D40554">
        <w:rPr>
          <w:rFonts w:ascii="Garamond" w:eastAsia="Times New Roman" w:hAnsi="Garamond"/>
          <w:color w:val="000000"/>
          <w:sz w:val="24"/>
          <w:szCs w:val="24"/>
        </w:rPr>
        <w:t xml:space="preserve"> </w:t>
      </w:r>
      <w:r>
        <w:rPr>
          <w:rFonts w:ascii="Garamond" w:eastAsia="Times New Roman" w:hAnsi="Garamond"/>
          <w:color w:val="000000"/>
          <w:sz w:val="24"/>
          <w:szCs w:val="24"/>
        </w:rPr>
        <w:t xml:space="preserve">increased by 1.1 percent. </w:t>
      </w:r>
      <w:r w:rsidRPr="00D40554">
        <w:rPr>
          <w:rFonts w:ascii="Garamond" w:eastAsia="Times New Roman" w:hAnsi="Garamond"/>
          <w:color w:val="000000"/>
          <w:sz w:val="24"/>
          <w:szCs w:val="24"/>
        </w:rPr>
        <w:t>A</w:t>
      </w:r>
      <w:r>
        <w:rPr>
          <w:rFonts w:ascii="Garamond" w:eastAsia="Times New Roman" w:hAnsi="Garamond"/>
          <w:color w:val="000000"/>
          <w:sz w:val="24"/>
          <w:szCs w:val="24"/>
        </w:rPr>
        <w:t xml:space="preserve"> de</w:t>
      </w:r>
      <w:r w:rsidRPr="00D40554">
        <w:rPr>
          <w:rFonts w:ascii="Garamond" w:eastAsia="Times New Roman" w:hAnsi="Garamond"/>
          <w:color w:val="000000"/>
          <w:sz w:val="24"/>
          <w:szCs w:val="24"/>
        </w:rPr>
        <w:t xml:space="preserve">crease of </w:t>
      </w:r>
      <w:r>
        <w:rPr>
          <w:rFonts w:ascii="Garamond" w:eastAsia="Times New Roman" w:hAnsi="Garamond"/>
          <w:color w:val="000000"/>
          <w:sz w:val="24"/>
          <w:szCs w:val="24"/>
        </w:rPr>
        <w:t>3.6</w:t>
      </w:r>
      <w:r w:rsidRPr="00D40554">
        <w:rPr>
          <w:rFonts w:ascii="Garamond" w:eastAsia="Times New Roman" w:hAnsi="Garamond"/>
          <w:color w:val="000000"/>
          <w:sz w:val="24"/>
          <w:szCs w:val="24"/>
        </w:rPr>
        <w:t xml:space="preserve"> per cent for NCDEX Dhaanya index may be attributed</w:t>
      </w:r>
      <w:r w:rsidRPr="000A2A9C">
        <w:rPr>
          <w:rFonts w:ascii="Garamond" w:eastAsia="Times New Roman" w:hAnsi="Garamond"/>
          <w:color w:val="000000"/>
          <w:sz w:val="24"/>
          <w:szCs w:val="24"/>
        </w:rPr>
        <w:t xml:space="preserve"> to the </w:t>
      </w:r>
      <w:r>
        <w:rPr>
          <w:rFonts w:ascii="Garamond" w:eastAsia="Times New Roman" w:hAnsi="Garamond"/>
          <w:color w:val="000000"/>
          <w:sz w:val="24"/>
          <w:szCs w:val="24"/>
        </w:rPr>
        <w:t>de</w:t>
      </w:r>
      <w:r w:rsidRPr="00E75F84">
        <w:rPr>
          <w:rFonts w:ascii="Garamond" w:eastAsia="Times New Roman" w:hAnsi="Garamond"/>
          <w:color w:val="000000"/>
          <w:sz w:val="24"/>
          <w:szCs w:val="24"/>
        </w:rPr>
        <w:t xml:space="preserve">crease in futures prices of </w:t>
      </w:r>
      <w:r>
        <w:rPr>
          <w:rFonts w:ascii="Garamond" w:eastAsia="Times New Roman" w:hAnsi="Garamond"/>
          <w:color w:val="000000"/>
          <w:sz w:val="24"/>
          <w:szCs w:val="24"/>
        </w:rPr>
        <w:t xml:space="preserve">all the constituent commodities except maize rabi and castorseed which increased by 6.0 per cent and 1.9 per cent respectively. </w:t>
      </w:r>
    </w:p>
    <w:p w:rsidR="00645D01" w:rsidRDefault="00645D01" w:rsidP="00645D01">
      <w:pPr>
        <w:pStyle w:val="ListParagraph"/>
        <w:spacing w:after="0" w:line="240" w:lineRule="auto"/>
        <w:jc w:val="both"/>
        <w:rPr>
          <w:rFonts w:ascii="Garamond" w:eastAsia="Times New Roman" w:hAnsi="Garamond"/>
          <w:color w:val="000000"/>
          <w:sz w:val="24"/>
          <w:szCs w:val="24"/>
        </w:rPr>
      </w:pPr>
    </w:p>
    <w:p w:rsidR="00645D01" w:rsidRDefault="00645D01" w:rsidP="00645D01">
      <w:pPr>
        <w:pStyle w:val="ListParagraph"/>
        <w:spacing w:after="0" w:line="240" w:lineRule="auto"/>
        <w:jc w:val="both"/>
        <w:rPr>
          <w:rFonts w:ascii="Garamond" w:hAnsi="Garamond" w:cs="Arial"/>
          <w:bCs/>
          <w:sz w:val="24"/>
          <w:szCs w:val="24"/>
        </w:rPr>
      </w:pPr>
      <w:r>
        <w:rPr>
          <w:rFonts w:ascii="Garamond" w:hAnsi="Garamond" w:cs="Arial"/>
          <w:bCs/>
          <w:sz w:val="24"/>
          <w:szCs w:val="24"/>
        </w:rPr>
        <w:t>Daily volatility during February 2019 of MCX Comdex and NCDEX Dhaanya indices was recorded at 0.8 per cent and 0.6 per cent respectively</w:t>
      </w:r>
      <w:r w:rsidRPr="00287F5B">
        <w:rPr>
          <w:rFonts w:ascii="Garamond" w:hAnsi="Garamond" w:cs="Arial"/>
          <w:bCs/>
          <w:sz w:val="24"/>
          <w:szCs w:val="24"/>
        </w:rPr>
        <w:t xml:space="preserve">. Among the component indices of MCX Comdex, MCX </w:t>
      </w:r>
      <w:r>
        <w:rPr>
          <w:rFonts w:ascii="Garamond" w:hAnsi="Garamond" w:cs="Arial"/>
          <w:bCs/>
          <w:sz w:val="24"/>
          <w:szCs w:val="24"/>
        </w:rPr>
        <w:t>Energy</w:t>
      </w:r>
      <w:r w:rsidRPr="00287F5B">
        <w:rPr>
          <w:rFonts w:ascii="Garamond" w:hAnsi="Garamond" w:cs="Arial"/>
          <w:bCs/>
          <w:sz w:val="24"/>
          <w:szCs w:val="24"/>
        </w:rPr>
        <w:t xml:space="preserve"> recorded highest volatility of </w:t>
      </w:r>
      <w:r>
        <w:rPr>
          <w:rFonts w:ascii="Garamond" w:hAnsi="Garamond" w:cs="Arial"/>
          <w:bCs/>
          <w:sz w:val="24"/>
          <w:szCs w:val="24"/>
        </w:rPr>
        <w:t>1.6</w:t>
      </w:r>
      <w:r w:rsidRPr="00287F5B">
        <w:rPr>
          <w:rFonts w:ascii="Garamond" w:hAnsi="Garamond" w:cs="Arial"/>
          <w:bCs/>
          <w:sz w:val="24"/>
          <w:szCs w:val="24"/>
        </w:rPr>
        <w:t xml:space="preserve"> per</w:t>
      </w:r>
      <w:r>
        <w:rPr>
          <w:rFonts w:ascii="Garamond" w:hAnsi="Garamond" w:cs="Arial"/>
          <w:bCs/>
          <w:sz w:val="24"/>
          <w:szCs w:val="24"/>
        </w:rPr>
        <w:t xml:space="preserve"> </w:t>
      </w:r>
      <w:r w:rsidRPr="00287F5B">
        <w:rPr>
          <w:rFonts w:ascii="Garamond" w:hAnsi="Garamond" w:cs="Arial"/>
          <w:bCs/>
          <w:sz w:val="24"/>
          <w:szCs w:val="24"/>
        </w:rPr>
        <w:t xml:space="preserve">cent, followed by </w:t>
      </w:r>
      <w:r>
        <w:rPr>
          <w:rFonts w:ascii="Garamond" w:hAnsi="Garamond" w:cs="Arial"/>
          <w:bCs/>
          <w:sz w:val="24"/>
          <w:szCs w:val="24"/>
        </w:rPr>
        <w:t xml:space="preserve">MCX Metal (0.8 per cent) and </w:t>
      </w:r>
      <w:r w:rsidRPr="00287F5B">
        <w:rPr>
          <w:rFonts w:ascii="Garamond" w:hAnsi="Garamond" w:cs="Arial"/>
          <w:bCs/>
          <w:sz w:val="24"/>
          <w:szCs w:val="24"/>
        </w:rPr>
        <w:t xml:space="preserve">MCX </w:t>
      </w:r>
      <w:r>
        <w:rPr>
          <w:rFonts w:ascii="Garamond" w:hAnsi="Garamond" w:cs="Arial"/>
          <w:bCs/>
          <w:sz w:val="24"/>
          <w:szCs w:val="24"/>
        </w:rPr>
        <w:t>Agri.</w:t>
      </w:r>
      <w:r w:rsidRPr="00287F5B">
        <w:rPr>
          <w:rFonts w:ascii="Garamond" w:hAnsi="Garamond" w:cs="Arial"/>
          <w:bCs/>
          <w:sz w:val="24"/>
          <w:szCs w:val="24"/>
        </w:rPr>
        <w:t xml:space="preserve"> </w:t>
      </w:r>
      <w:r>
        <w:rPr>
          <w:rFonts w:ascii="Garamond" w:hAnsi="Garamond" w:cs="Arial"/>
          <w:bCs/>
          <w:sz w:val="24"/>
          <w:szCs w:val="24"/>
        </w:rPr>
        <w:t>(</w:t>
      </w:r>
      <w:r w:rsidRPr="00287F5B">
        <w:rPr>
          <w:rFonts w:ascii="Garamond" w:hAnsi="Garamond" w:cs="Arial"/>
          <w:bCs/>
          <w:sz w:val="24"/>
          <w:szCs w:val="24"/>
        </w:rPr>
        <w:t>0.</w:t>
      </w:r>
      <w:r>
        <w:rPr>
          <w:rFonts w:ascii="Garamond" w:hAnsi="Garamond" w:cs="Arial"/>
          <w:bCs/>
          <w:sz w:val="24"/>
          <w:szCs w:val="24"/>
        </w:rPr>
        <w:t>3</w:t>
      </w:r>
      <w:r w:rsidRPr="00287F5B">
        <w:rPr>
          <w:rFonts w:ascii="Garamond" w:hAnsi="Garamond" w:cs="Arial"/>
          <w:bCs/>
          <w:sz w:val="24"/>
          <w:szCs w:val="24"/>
        </w:rPr>
        <w:t xml:space="preserve"> per</w:t>
      </w:r>
      <w:r>
        <w:rPr>
          <w:rFonts w:ascii="Garamond" w:hAnsi="Garamond" w:cs="Arial"/>
          <w:bCs/>
          <w:sz w:val="24"/>
          <w:szCs w:val="24"/>
        </w:rPr>
        <w:t xml:space="preserve"> </w:t>
      </w:r>
      <w:r w:rsidRPr="00287F5B">
        <w:rPr>
          <w:rFonts w:ascii="Garamond" w:hAnsi="Garamond" w:cs="Arial"/>
          <w:bCs/>
          <w:sz w:val="24"/>
          <w:szCs w:val="24"/>
        </w:rPr>
        <w:t>cent).  The daily</w:t>
      </w:r>
      <w:r>
        <w:rPr>
          <w:rFonts w:ascii="Garamond" w:hAnsi="Garamond" w:cs="Arial"/>
          <w:bCs/>
          <w:sz w:val="24"/>
          <w:szCs w:val="24"/>
        </w:rPr>
        <w:t xml:space="preserve"> </w:t>
      </w:r>
      <w:r w:rsidRPr="00151B1F">
        <w:rPr>
          <w:rFonts w:ascii="Garamond" w:hAnsi="Garamond" w:cs="Arial"/>
          <w:bCs/>
          <w:sz w:val="24"/>
          <w:szCs w:val="24"/>
        </w:rPr>
        <w:t xml:space="preserve">volatility and </w:t>
      </w:r>
      <w:r>
        <w:rPr>
          <w:rFonts w:ascii="Garamond" w:hAnsi="Garamond" w:cs="Arial"/>
          <w:bCs/>
          <w:sz w:val="24"/>
          <w:szCs w:val="24"/>
        </w:rPr>
        <w:t xml:space="preserve">variation over the previous month for indices on </w:t>
      </w:r>
      <w:r w:rsidRPr="00151B1F">
        <w:rPr>
          <w:rFonts w:ascii="Garamond" w:hAnsi="Garamond" w:cs="Arial"/>
          <w:bCs/>
          <w:sz w:val="24"/>
          <w:szCs w:val="24"/>
        </w:rPr>
        <w:t xml:space="preserve">commodity </w:t>
      </w:r>
      <w:r>
        <w:rPr>
          <w:rFonts w:ascii="Garamond" w:hAnsi="Garamond" w:cs="Arial"/>
          <w:bCs/>
          <w:sz w:val="24"/>
          <w:szCs w:val="24"/>
        </w:rPr>
        <w:t>derivatives</w:t>
      </w:r>
      <w:r w:rsidRPr="00151B1F">
        <w:rPr>
          <w:rFonts w:ascii="Garamond" w:hAnsi="Garamond" w:cs="Arial"/>
          <w:bCs/>
          <w:sz w:val="24"/>
          <w:szCs w:val="24"/>
        </w:rPr>
        <w:t xml:space="preserve"> is shown in the </w:t>
      </w:r>
      <w:r>
        <w:rPr>
          <w:rFonts w:ascii="Garamond" w:hAnsi="Garamond" w:cs="Arial"/>
          <w:bCs/>
          <w:sz w:val="24"/>
          <w:szCs w:val="24"/>
        </w:rPr>
        <w:t xml:space="preserve">Figure 14 </w:t>
      </w:r>
      <w:r w:rsidRPr="00151B1F">
        <w:rPr>
          <w:rFonts w:ascii="Garamond" w:hAnsi="Garamond" w:cs="Arial"/>
          <w:bCs/>
          <w:sz w:val="24"/>
          <w:szCs w:val="24"/>
        </w:rPr>
        <w:t>below:</w:t>
      </w:r>
      <w:r>
        <w:rPr>
          <w:rFonts w:ascii="Garamond" w:hAnsi="Garamond" w:cs="Arial"/>
          <w:bCs/>
          <w:sz w:val="24"/>
          <w:szCs w:val="24"/>
        </w:rPr>
        <w:t xml:space="preserve"> </w:t>
      </w:r>
    </w:p>
    <w:p w:rsidR="00645D01" w:rsidRDefault="00645D01" w:rsidP="00645D01">
      <w:pPr>
        <w:pStyle w:val="ListParagraph"/>
        <w:spacing w:after="0" w:line="240" w:lineRule="auto"/>
        <w:jc w:val="both"/>
        <w:rPr>
          <w:rFonts w:ascii="Garamond" w:hAnsi="Garamond" w:cs="Arial"/>
          <w:bCs/>
          <w:sz w:val="24"/>
          <w:szCs w:val="24"/>
        </w:rPr>
      </w:pPr>
    </w:p>
    <w:p w:rsidR="002B2DA3" w:rsidRDefault="002B2DA3">
      <w:pPr>
        <w:rPr>
          <w:rFonts w:ascii="Garamond" w:eastAsia="Calibri" w:hAnsi="Garamond" w:cs="Arial"/>
          <w:b/>
          <w:bCs/>
          <w:color w:val="2E74B5" w:themeColor="accent1" w:themeShade="BF"/>
          <w:lang w:val="en-US"/>
        </w:rPr>
      </w:pPr>
      <w:r>
        <w:rPr>
          <w:rFonts w:ascii="Garamond" w:hAnsi="Garamond" w:cs="Arial"/>
          <w:b/>
          <w:bCs/>
          <w:color w:val="2E74B5" w:themeColor="accent1" w:themeShade="BF"/>
        </w:rPr>
        <w:br w:type="page"/>
      </w:r>
    </w:p>
    <w:p w:rsidR="00645D01" w:rsidRDefault="00645D01" w:rsidP="00645D01">
      <w:pPr>
        <w:pStyle w:val="ListParagraph"/>
        <w:spacing w:after="0" w:line="240" w:lineRule="auto"/>
        <w:ind w:left="1843" w:hanging="1123"/>
        <w:jc w:val="both"/>
        <w:rPr>
          <w:rFonts w:ascii="Garamond" w:hAnsi="Garamond" w:cs="Arial"/>
          <w:b/>
          <w:bCs/>
          <w:color w:val="2E74B5" w:themeColor="accent1" w:themeShade="BF"/>
          <w:sz w:val="24"/>
          <w:szCs w:val="24"/>
        </w:rPr>
      </w:pPr>
      <w:r w:rsidRPr="00A01EC1">
        <w:rPr>
          <w:rFonts w:ascii="Garamond" w:hAnsi="Garamond" w:cs="Arial"/>
          <w:b/>
          <w:bCs/>
          <w:color w:val="2E74B5" w:themeColor="accent1" w:themeShade="BF"/>
          <w:sz w:val="24"/>
          <w:szCs w:val="24"/>
        </w:rPr>
        <w:lastRenderedPageBreak/>
        <w:t xml:space="preserve">Figure </w:t>
      </w:r>
      <w:r>
        <w:rPr>
          <w:rFonts w:ascii="Garamond" w:hAnsi="Garamond" w:cs="Arial"/>
          <w:b/>
          <w:bCs/>
          <w:color w:val="2E74B5" w:themeColor="accent1" w:themeShade="BF"/>
          <w:sz w:val="24"/>
          <w:szCs w:val="24"/>
        </w:rPr>
        <w:t>14</w:t>
      </w:r>
      <w:r w:rsidRPr="00A01EC1">
        <w:rPr>
          <w:rFonts w:ascii="Garamond" w:hAnsi="Garamond" w:cs="Arial"/>
          <w:b/>
          <w:bCs/>
          <w:color w:val="2E74B5" w:themeColor="accent1" w:themeShade="BF"/>
          <w:sz w:val="24"/>
          <w:szCs w:val="24"/>
        </w:rPr>
        <w:t>: Variation (point-to-point) and daily vol</w:t>
      </w:r>
      <w:r>
        <w:rPr>
          <w:rFonts w:ascii="Garamond" w:hAnsi="Garamond" w:cs="Arial"/>
          <w:b/>
          <w:bCs/>
          <w:color w:val="2E74B5" w:themeColor="accent1" w:themeShade="BF"/>
          <w:sz w:val="24"/>
          <w:szCs w:val="24"/>
        </w:rPr>
        <w:t>atility of commodity indices in February</w:t>
      </w:r>
      <w:r w:rsidRPr="00A01EC1">
        <w:rPr>
          <w:rFonts w:ascii="Garamond" w:hAnsi="Garamond" w:cs="Arial"/>
          <w:b/>
          <w:bCs/>
          <w:color w:val="2E74B5" w:themeColor="accent1" w:themeShade="BF"/>
          <w:sz w:val="24"/>
          <w:szCs w:val="24"/>
        </w:rPr>
        <w:t xml:space="preserve"> 201</w:t>
      </w:r>
      <w:r>
        <w:rPr>
          <w:rFonts w:ascii="Garamond" w:hAnsi="Garamond" w:cs="Arial"/>
          <w:b/>
          <w:bCs/>
          <w:color w:val="2E74B5" w:themeColor="accent1" w:themeShade="BF"/>
          <w:sz w:val="24"/>
          <w:szCs w:val="24"/>
        </w:rPr>
        <w:t>9</w:t>
      </w:r>
      <w:r w:rsidRPr="00A01EC1">
        <w:rPr>
          <w:rFonts w:ascii="Garamond" w:hAnsi="Garamond" w:cs="Arial"/>
          <w:b/>
          <w:bCs/>
          <w:color w:val="2E74B5" w:themeColor="accent1" w:themeShade="BF"/>
          <w:sz w:val="24"/>
          <w:szCs w:val="24"/>
        </w:rPr>
        <w:t xml:space="preserve"> (per cent)</w:t>
      </w:r>
    </w:p>
    <w:p w:rsidR="00645D01" w:rsidRDefault="00645D01" w:rsidP="00645D01">
      <w:pPr>
        <w:pStyle w:val="ListParagraph"/>
        <w:spacing w:after="0" w:line="240" w:lineRule="auto"/>
        <w:ind w:left="1843" w:hanging="1123"/>
        <w:jc w:val="both"/>
        <w:rPr>
          <w:rFonts w:ascii="Garamond" w:hAnsi="Garamond" w:cs="Arial"/>
          <w:b/>
          <w:bCs/>
          <w:color w:val="2E74B5" w:themeColor="accent1" w:themeShade="BF"/>
          <w:sz w:val="24"/>
          <w:szCs w:val="24"/>
        </w:rPr>
      </w:pPr>
    </w:p>
    <w:p w:rsidR="00645D01" w:rsidRDefault="00645D01" w:rsidP="00645D01">
      <w:pPr>
        <w:pStyle w:val="ListParagraph"/>
        <w:spacing w:after="0" w:line="240" w:lineRule="auto"/>
        <w:ind w:left="1843" w:hanging="1123"/>
        <w:jc w:val="both"/>
        <w:rPr>
          <w:rFonts w:ascii="Garamond" w:hAnsi="Garamond" w:cs="Arial"/>
          <w:b/>
          <w:bCs/>
          <w:color w:val="2E74B5" w:themeColor="accent1" w:themeShade="BF"/>
          <w:sz w:val="24"/>
          <w:szCs w:val="24"/>
        </w:rPr>
      </w:pPr>
      <w:r>
        <w:rPr>
          <w:noProof/>
          <w:lang w:val="en-IN" w:eastAsia="en-IN"/>
        </w:rPr>
        <w:drawing>
          <wp:inline distT="0" distB="0" distL="0" distR="0" wp14:anchorId="34848B95" wp14:editId="5BEBB462">
            <wp:extent cx="5581015" cy="2631056"/>
            <wp:effectExtent l="0" t="0" r="635" b="17145"/>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645D01" w:rsidRDefault="00645D01" w:rsidP="00645D01">
      <w:pPr>
        <w:pStyle w:val="ListParagraph"/>
        <w:spacing w:after="0" w:line="240" w:lineRule="auto"/>
        <w:ind w:left="1843" w:hanging="1123"/>
        <w:jc w:val="both"/>
        <w:rPr>
          <w:rFonts w:ascii="Garamond" w:hAnsi="Garamond" w:cs="Arial"/>
          <w:b/>
          <w:bCs/>
          <w:color w:val="2E74B5" w:themeColor="accent1" w:themeShade="BF"/>
          <w:sz w:val="24"/>
          <w:szCs w:val="24"/>
        </w:rPr>
      </w:pPr>
    </w:p>
    <w:p w:rsidR="00645D01" w:rsidRPr="004466BC" w:rsidRDefault="00645D01" w:rsidP="00645D01">
      <w:pPr>
        <w:pStyle w:val="ListParagraph"/>
        <w:spacing w:after="0" w:line="480" w:lineRule="auto"/>
        <w:jc w:val="both"/>
        <w:rPr>
          <w:rFonts w:ascii="Garamond" w:hAnsi="Garamond" w:cs="Arial"/>
          <w:bCs/>
          <w:sz w:val="28"/>
          <w:szCs w:val="28"/>
        </w:rPr>
      </w:pPr>
      <w:r w:rsidRPr="004466BC">
        <w:rPr>
          <w:rFonts w:ascii="Garamond" w:hAnsi="Garamond" w:cs="Arial"/>
          <w:b/>
          <w:bCs/>
        </w:rPr>
        <w:t>Source: MCX and NCDEX</w:t>
      </w:r>
    </w:p>
    <w:p w:rsidR="00645D01" w:rsidRPr="00702ADB" w:rsidRDefault="00645D01" w:rsidP="00645D01">
      <w:pPr>
        <w:pStyle w:val="ListParagraph"/>
        <w:shd w:val="clear" w:color="auto" w:fill="FFFFFF" w:themeFill="background1"/>
        <w:spacing w:after="0" w:line="240" w:lineRule="auto"/>
        <w:jc w:val="both"/>
        <w:rPr>
          <w:rFonts w:ascii="Garamond" w:hAnsi="Garamond" w:cs="Arial"/>
          <w:b/>
          <w:bCs/>
          <w:sz w:val="24"/>
          <w:szCs w:val="24"/>
        </w:rPr>
      </w:pPr>
      <w:r w:rsidRPr="00702ADB">
        <w:rPr>
          <w:rFonts w:ascii="Garamond" w:hAnsi="Garamond" w:cs="Arial"/>
          <w:b/>
          <w:bCs/>
          <w:sz w:val="24"/>
          <w:szCs w:val="24"/>
        </w:rPr>
        <w:t xml:space="preserve">Turnover </w:t>
      </w:r>
    </w:p>
    <w:p w:rsidR="00645D01" w:rsidRDefault="00645D01" w:rsidP="00645D01">
      <w:pPr>
        <w:pStyle w:val="ListParagraph"/>
        <w:shd w:val="clear" w:color="auto" w:fill="FFFFFF" w:themeFill="background1"/>
        <w:spacing w:after="0" w:line="240" w:lineRule="auto"/>
        <w:jc w:val="both"/>
        <w:rPr>
          <w:rFonts w:ascii="Garamond" w:hAnsi="Garamond" w:cs="Arial"/>
          <w:bCs/>
          <w:sz w:val="24"/>
          <w:szCs w:val="24"/>
        </w:rPr>
      </w:pPr>
    </w:p>
    <w:p w:rsidR="00645D01" w:rsidRPr="002D0B6A" w:rsidRDefault="00645D01" w:rsidP="00645D01">
      <w:pPr>
        <w:pStyle w:val="ListParagraph"/>
        <w:shd w:val="clear" w:color="auto" w:fill="FFFFFF" w:themeFill="background1"/>
        <w:spacing w:after="0" w:line="240" w:lineRule="auto"/>
        <w:jc w:val="both"/>
        <w:rPr>
          <w:rFonts w:ascii="Garamond" w:hAnsi="Garamond" w:cs="Arial"/>
          <w:bCs/>
          <w:sz w:val="24"/>
          <w:szCs w:val="24"/>
        </w:rPr>
      </w:pPr>
      <w:r w:rsidRPr="002D0B6A">
        <w:rPr>
          <w:rFonts w:ascii="Garamond" w:hAnsi="Garamond" w:cs="Arial"/>
          <w:bCs/>
          <w:sz w:val="24"/>
          <w:szCs w:val="24"/>
        </w:rPr>
        <w:t xml:space="preserve">During </w:t>
      </w:r>
      <w:r>
        <w:rPr>
          <w:rFonts w:ascii="Garamond" w:hAnsi="Garamond" w:cs="Arial"/>
          <w:bCs/>
          <w:sz w:val="24"/>
          <w:szCs w:val="24"/>
        </w:rPr>
        <w:t>February</w:t>
      </w:r>
      <w:r w:rsidRPr="002D0B6A">
        <w:rPr>
          <w:rFonts w:ascii="Garamond" w:hAnsi="Garamond" w:cs="Arial"/>
          <w:bCs/>
          <w:sz w:val="24"/>
          <w:szCs w:val="24"/>
        </w:rPr>
        <w:t xml:space="preserve"> 201</w:t>
      </w:r>
      <w:r>
        <w:rPr>
          <w:rFonts w:ascii="Garamond" w:hAnsi="Garamond" w:cs="Arial"/>
          <w:bCs/>
          <w:sz w:val="24"/>
          <w:szCs w:val="24"/>
        </w:rPr>
        <w:t>9</w:t>
      </w:r>
      <w:r w:rsidRPr="002D0B6A">
        <w:rPr>
          <w:rFonts w:ascii="Garamond" w:hAnsi="Garamond" w:cs="Arial"/>
          <w:bCs/>
          <w:sz w:val="24"/>
          <w:szCs w:val="24"/>
        </w:rPr>
        <w:t xml:space="preserve">, </w:t>
      </w:r>
      <w:r>
        <w:rPr>
          <w:rFonts w:ascii="Garamond" w:hAnsi="Garamond" w:cs="Arial"/>
          <w:bCs/>
          <w:sz w:val="24"/>
          <w:szCs w:val="24"/>
        </w:rPr>
        <w:t>while turnover of commodity derivatives increased at ICEX and NSE, it declined at NCDEX, MCX and BSE</w:t>
      </w:r>
      <w:r w:rsidRPr="002D0B6A">
        <w:rPr>
          <w:rFonts w:ascii="Garamond" w:hAnsi="Garamond" w:cs="Arial"/>
          <w:bCs/>
          <w:sz w:val="24"/>
          <w:szCs w:val="24"/>
        </w:rPr>
        <w:t xml:space="preserve">. </w:t>
      </w:r>
    </w:p>
    <w:p w:rsidR="00645D01" w:rsidRDefault="00645D01" w:rsidP="00645D01">
      <w:pPr>
        <w:pStyle w:val="ListParagraph"/>
        <w:spacing w:after="0" w:line="240" w:lineRule="auto"/>
        <w:jc w:val="both"/>
        <w:rPr>
          <w:rFonts w:ascii="Garamond" w:hAnsi="Garamond" w:cs="Arial"/>
          <w:bCs/>
          <w:sz w:val="24"/>
          <w:szCs w:val="24"/>
        </w:rPr>
      </w:pPr>
    </w:p>
    <w:p w:rsidR="00645D01" w:rsidRPr="002D0B6A" w:rsidRDefault="00645D01" w:rsidP="00645D01">
      <w:pPr>
        <w:pStyle w:val="ListParagraph"/>
        <w:spacing w:after="0" w:line="240" w:lineRule="auto"/>
        <w:jc w:val="both"/>
        <w:rPr>
          <w:rFonts w:ascii="Garamond" w:hAnsi="Garamond" w:cs="Arial"/>
          <w:bCs/>
          <w:sz w:val="24"/>
          <w:szCs w:val="24"/>
        </w:rPr>
      </w:pPr>
      <w:r w:rsidRPr="002D0B6A">
        <w:rPr>
          <w:rFonts w:ascii="Garamond" w:hAnsi="Garamond" w:cs="Arial"/>
          <w:bCs/>
          <w:sz w:val="24"/>
          <w:szCs w:val="24"/>
        </w:rPr>
        <w:t xml:space="preserve">The </w:t>
      </w:r>
      <w:r>
        <w:rPr>
          <w:rFonts w:ascii="Garamond" w:hAnsi="Garamond" w:cs="Arial"/>
          <w:bCs/>
          <w:sz w:val="24"/>
          <w:szCs w:val="24"/>
        </w:rPr>
        <w:t xml:space="preserve">aggregate </w:t>
      </w:r>
      <w:r w:rsidRPr="002D0B6A">
        <w:rPr>
          <w:rFonts w:ascii="Garamond" w:hAnsi="Garamond" w:cs="Arial"/>
          <w:bCs/>
          <w:sz w:val="24"/>
          <w:szCs w:val="24"/>
        </w:rPr>
        <w:t>turnover at all the f</w:t>
      </w:r>
      <w:r>
        <w:rPr>
          <w:rFonts w:ascii="Garamond" w:hAnsi="Garamond" w:cs="Arial"/>
          <w:bCs/>
          <w:sz w:val="24"/>
          <w:szCs w:val="24"/>
        </w:rPr>
        <w:t xml:space="preserve">ive </w:t>
      </w:r>
      <w:r w:rsidRPr="002D0B6A">
        <w:rPr>
          <w:rFonts w:ascii="Garamond" w:hAnsi="Garamond" w:cs="Arial"/>
          <w:bCs/>
          <w:sz w:val="24"/>
          <w:szCs w:val="24"/>
        </w:rPr>
        <w:t xml:space="preserve">exchanges in </w:t>
      </w:r>
      <w:r>
        <w:rPr>
          <w:rFonts w:ascii="Garamond" w:hAnsi="Garamond" w:cs="Arial"/>
          <w:bCs/>
          <w:sz w:val="24"/>
          <w:szCs w:val="24"/>
        </w:rPr>
        <w:t>February</w:t>
      </w:r>
      <w:r w:rsidRPr="002D0B6A">
        <w:rPr>
          <w:rFonts w:ascii="Garamond" w:hAnsi="Garamond" w:cs="Arial"/>
          <w:bCs/>
          <w:sz w:val="24"/>
          <w:szCs w:val="24"/>
        </w:rPr>
        <w:t xml:space="preserve"> </w:t>
      </w:r>
      <w:r>
        <w:rPr>
          <w:rFonts w:ascii="Garamond" w:hAnsi="Garamond" w:cs="Arial"/>
          <w:bCs/>
          <w:sz w:val="24"/>
          <w:szCs w:val="24"/>
        </w:rPr>
        <w:t xml:space="preserve">2019 </w:t>
      </w:r>
      <w:r w:rsidRPr="002D0B6A">
        <w:rPr>
          <w:rFonts w:ascii="Garamond" w:hAnsi="Garamond" w:cs="Arial"/>
          <w:bCs/>
          <w:sz w:val="24"/>
          <w:szCs w:val="24"/>
        </w:rPr>
        <w:t xml:space="preserve">stood at </w:t>
      </w:r>
      <w:r w:rsidRPr="00D40554">
        <w:rPr>
          <w:rFonts w:ascii="Times New Roman" w:hAnsi="Times New Roman"/>
          <w:bCs/>
          <w:sz w:val="24"/>
          <w:szCs w:val="24"/>
        </w:rPr>
        <w:t>₹</w:t>
      </w:r>
      <w:r>
        <w:rPr>
          <w:rFonts w:ascii="Garamond" w:hAnsi="Garamond" w:cs="Arial"/>
          <w:bCs/>
          <w:sz w:val="24"/>
          <w:szCs w:val="24"/>
        </w:rPr>
        <w:t>5,88,477</w:t>
      </w:r>
      <w:r w:rsidRPr="000A2A9C">
        <w:rPr>
          <w:rFonts w:ascii="Garamond" w:hAnsi="Garamond" w:cs="Arial"/>
          <w:bCs/>
          <w:sz w:val="24"/>
          <w:szCs w:val="24"/>
        </w:rPr>
        <w:t xml:space="preserve"> crore</w:t>
      </w:r>
      <w:r w:rsidRPr="002D0B6A">
        <w:rPr>
          <w:rFonts w:ascii="Garamond" w:hAnsi="Garamond" w:cs="Arial"/>
          <w:bCs/>
          <w:sz w:val="24"/>
          <w:szCs w:val="24"/>
        </w:rPr>
        <w:t xml:space="preserve">, a </w:t>
      </w:r>
      <w:r>
        <w:rPr>
          <w:rFonts w:ascii="Garamond" w:hAnsi="Garamond" w:cs="Arial"/>
          <w:bCs/>
          <w:sz w:val="24"/>
          <w:szCs w:val="24"/>
        </w:rPr>
        <w:t>decrease of 12.4</w:t>
      </w:r>
      <w:r w:rsidRPr="002D0B6A">
        <w:rPr>
          <w:rFonts w:ascii="Garamond" w:hAnsi="Garamond" w:cs="Arial"/>
          <w:bCs/>
          <w:sz w:val="24"/>
          <w:szCs w:val="24"/>
        </w:rPr>
        <w:t xml:space="preserve"> per cent over the turnover of </w:t>
      </w:r>
      <w:r w:rsidRPr="002D0B6A">
        <w:rPr>
          <w:rFonts w:ascii="Tahoma" w:hAnsi="Tahoma" w:cs="Tahoma"/>
          <w:bCs/>
          <w:sz w:val="24"/>
          <w:szCs w:val="24"/>
        </w:rPr>
        <w:t>₹</w:t>
      </w:r>
      <w:r w:rsidRPr="00DF3A52">
        <w:rPr>
          <w:rFonts w:ascii="Garamond" w:hAnsi="Garamond" w:cs="Arial"/>
          <w:bCs/>
          <w:sz w:val="24"/>
          <w:szCs w:val="24"/>
        </w:rPr>
        <w:t>6</w:t>
      </w:r>
      <w:r>
        <w:rPr>
          <w:rFonts w:ascii="Garamond" w:hAnsi="Garamond" w:cs="Arial"/>
          <w:bCs/>
          <w:sz w:val="24"/>
          <w:szCs w:val="24"/>
        </w:rPr>
        <w:t>,71,586</w:t>
      </w:r>
      <w:r w:rsidRPr="002D0B6A">
        <w:rPr>
          <w:rFonts w:ascii="Garamond" w:hAnsi="Garamond" w:cs="Arial"/>
          <w:bCs/>
          <w:sz w:val="24"/>
          <w:szCs w:val="24"/>
        </w:rPr>
        <w:t xml:space="preserve"> crore during the previous month</w:t>
      </w:r>
      <w:r w:rsidRPr="009D1D99">
        <w:rPr>
          <w:rFonts w:ascii="Garamond" w:hAnsi="Garamond" w:cs="Arial"/>
          <w:bCs/>
          <w:sz w:val="24"/>
          <w:szCs w:val="24"/>
        </w:rPr>
        <w:t xml:space="preserve">. The agricultural segment contributed </w:t>
      </w:r>
      <w:r w:rsidRPr="009D1D99">
        <w:rPr>
          <w:rFonts w:ascii="Tahoma" w:hAnsi="Tahoma" w:cs="Tahoma"/>
          <w:bCs/>
          <w:sz w:val="24"/>
          <w:szCs w:val="24"/>
        </w:rPr>
        <w:t>₹</w:t>
      </w:r>
      <w:r>
        <w:rPr>
          <w:rFonts w:ascii="Garamond" w:hAnsi="Garamond" w:cs="Arial"/>
          <w:bCs/>
          <w:sz w:val="24"/>
          <w:szCs w:val="24"/>
        </w:rPr>
        <w:t>39,164</w:t>
      </w:r>
      <w:r w:rsidRPr="00570DD7">
        <w:rPr>
          <w:rFonts w:ascii="Garamond" w:hAnsi="Garamond" w:cs="Arial"/>
          <w:bCs/>
          <w:sz w:val="24"/>
          <w:szCs w:val="24"/>
        </w:rPr>
        <w:t xml:space="preserve"> crore (</w:t>
      </w:r>
      <w:r>
        <w:rPr>
          <w:rFonts w:ascii="Garamond" w:hAnsi="Garamond" w:cs="Arial"/>
          <w:bCs/>
          <w:sz w:val="24"/>
          <w:szCs w:val="24"/>
        </w:rPr>
        <w:t>6.7</w:t>
      </w:r>
      <w:r w:rsidRPr="00570DD7">
        <w:rPr>
          <w:rFonts w:ascii="Garamond" w:hAnsi="Garamond" w:cs="Arial"/>
          <w:bCs/>
          <w:sz w:val="24"/>
          <w:szCs w:val="24"/>
        </w:rPr>
        <w:t xml:space="preserve"> per cent) to the total turnover, while that of non-agricultural segment contributed </w:t>
      </w:r>
      <w:r w:rsidRPr="00570DD7">
        <w:rPr>
          <w:rFonts w:ascii="Tahoma" w:hAnsi="Tahoma" w:cs="Tahoma"/>
          <w:bCs/>
          <w:sz w:val="24"/>
          <w:szCs w:val="24"/>
        </w:rPr>
        <w:t>₹</w:t>
      </w:r>
      <w:r w:rsidRPr="00570DD7">
        <w:rPr>
          <w:rFonts w:ascii="Garamond" w:hAnsi="Garamond" w:cs="Arial"/>
          <w:bCs/>
          <w:sz w:val="24"/>
          <w:szCs w:val="24"/>
        </w:rPr>
        <w:t>5,</w:t>
      </w:r>
      <w:r>
        <w:rPr>
          <w:rFonts w:ascii="Garamond" w:hAnsi="Garamond" w:cs="Arial"/>
          <w:bCs/>
          <w:sz w:val="24"/>
          <w:szCs w:val="24"/>
        </w:rPr>
        <w:t>49</w:t>
      </w:r>
      <w:r w:rsidRPr="00570DD7">
        <w:rPr>
          <w:rFonts w:ascii="Garamond" w:hAnsi="Garamond" w:cs="Arial"/>
          <w:bCs/>
          <w:sz w:val="24"/>
          <w:szCs w:val="24"/>
        </w:rPr>
        <w:t>,</w:t>
      </w:r>
      <w:r>
        <w:rPr>
          <w:rFonts w:ascii="Garamond" w:hAnsi="Garamond" w:cs="Arial"/>
          <w:bCs/>
          <w:sz w:val="24"/>
          <w:szCs w:val="24"/>
        </w:rPr>
        <w:t>313</w:t>
      </w:r>
      <w:r w:rsidRPr="00570DD7">
        <w:rPr>
          <w:rFonts w:ascii="Garamond" w:hAnsi="Garamond" w:cs="Arial"/>
          <w:bCs/>
          <w:sz w:val="24"/>
          <w:szCs w:val="24"/>
        </w:rPr>
        <w:t xml:space="preserve"> crore (93.</w:t>
      </w:r>
      <w:r>
        <w:rPr>
          <w:rFonts w:ascii="Garamond" w:hAnsi="Garamond" w:cs="Arial"/>
          <w:bCs/>
          <w:sz w:val="24"/>
          <w:szCs w:val="24"/>
        </w:rPr>
        <w:t>3</w:t>
      </w:r>
      <w:r w:rsidRPr="00570DD7">
        <w:rPr>
          <w:rFonts w:ascii="Garamond" w:hAnsi="Garamond" w:cs="Arial"/>
          <w:bCs/>
          <w:sz w:val="24"/>
          <w:szCs w:val="24"/>
        </w:rPr>
        <w:t xml:space="preserve"> per cent)</w:t>
      </w:r>
      <w:r w:rsidRPr="009D1D99">
        <w:rPr>
          <w:rFonts w:ascii="Garamond" w:hAnsi="Garamond" w:cs="Arial"/>
          <w:bCs/>
          <w:sz w:val="24"/>
          <w:szCs w:val="24"/>
        </w:rPr>
        <w:t xml:space="preserve"> to the total turnover during the month.</w:t>
      </w:r>
      <w:r w:rsidRPr="002D0B6A">
        <w:rPr>
          <w:rFonts w:ascii="Garamond" w:hAnsi="Garamond" w:cs="Arial"/>
          <w:bCs/>
          <w:sz w:val="24"/>
          <w:szCs w:val="24"/>
        </w:rPr>
        <w:t xml:space="preserve"> Among, the non-agricultural commodities segments, bullion, metals and energy are traded at MCX,</w:t>
      </w:r>
      <w:r>
        <w:rPr>
          <w:rFonts w:ascii="Garamond" w:hAnsi="Garamond" w:cs="Arial"/>
          <w:bCs/>
          <w:sz w:val="24"/>
          <w:szCs w:val="24"/>
        </w:rPr>
        <w:t xml:space="preserve"> diamond and metals futures</w:t>
      </w:r>
      <w:r w:rsidRPr="002D0B6A">
        <w:rPr>
          <w:rFonts w:ascii="Garamond" w:hAnsi="Garamond" w:cs="Arial"/>
          <w:bCs/>
          <w:sz w:val="24"/>
          <w:szCs w:val="24"/>
        </w:rPr>
        <w:t xml:space="preserve"> are traded at ICEX</w:t>
      </w:r>
      <w:r>
        <w:rPr>
          <w:rFonts w:ascii="Garamond" w:hAnsi="Garamond" w:cs="Arial"/>
          <w:bCs/>
          <w:sz w:val="24"/>
          <w:szCs w:val="24"/>
        </w:rPr>
        <w:t>, whereas bullion is being traded at BSE and NSE</w:t>
      </w:r>
      <w:r w:rsidRPr="002D0B6A">
        <w:rPr>
          <w:rFonts w:ascii="Garamond" w:hAnsi="Garamond" w:cs="Arial"/>
          <w:bCs/>
          <w:sz w:val="24"/>
          <w:szCs w:val="24"/>
        </w:rPr>
        <w:t xml:space="preserve">. </w:t>
      </w:r>
    </w:p>
    <w:p w:rsidR="00645D01" w:rsidRPr="002D0B6A" w:rsidRDefault="00645D01" w:rsidP="00645D01">
      <w:pPr>
        <w:pStyle w:val="ListParagraph"/>
        <w:shd w:val="clear" w:color="auto" w:fill="FFFFFF" w:themeFill="background1"/>
        <w:spacing w:after="0" w:line="240" w:lineRule="auto"/>
        <w:jc w:val="both"/>
        <w:rPr>
          <w:rFonts w:ascii="Garamond" w:hAnsi="Garamond" w:cs="Arial"/>
          <w:bCs/>
          <w:sz w:val="24"/>
          <w:szCs w:val="24"/>
        </w:rPr>
      </w:pPr>
    </w:p>
    <w:p w:rsidR="00645D01" w:rsidRPr="002D0B6A" w:rsidRDefault="00645D01" w:rsidP="00645D01">
      <w:pPr>
        <w:pStyle w:val="ListParagraph"/>
        <w:spacing w:after="0" w:line="240" w:lineRule="auto"/>
        <w:jc w:val="both"/>
        <w:rPr>
          <w:rFonts w:ascii="Garamond" w:hAnsi="Garamond" w:cs="Arial"/>
          <w:bCs/>
          <w:sz w:val="24"/>
          <w:szCs w:val="24"/>
        </w:rPr>
      </w:pPr>
      <w:r w:rsidRPr="002D0B6A">
        <w:rPr>
          <w:rFonts w:ascii="Garamond" w:hAnsi="Garamond" w:cs="Arial"/>
          <w:bCs/>
          <w:sz w:val="24"/>
          <w:szCs w:val="24"/>
        </w:rPr>
        <w:t xml:space="preserve">The total turnover (futures </w:t>
      </w:r>
      <w:r>
        <w:rPr>
          <w:rFonts w:ascii="Garamond" w:hAnsi="Garamond" w:cs="Arial"/>
          <w:bCs/>
          <w:sz w:val="24"/>
          <w:szCs w:val="24"/>
        </w:rPr>
        <w:t>&amp;</w:t>
      </w:r>
      <w:r w:rsidRPr="002D0B6A">
        <w:rPr>
          <w:rFonts w:ascii="Garamond" w:hAnsi="Garamond" w:cs="Arial"/>
          <w:bCs/>
          <w:sz w:val="24"/>
          <w:szCs w:val="24"/>
        </w:rPr>
        <w:t xml:space="preserve"> options) at MCX </w:t>
      </w:r>
      <w:r>
        <w:rPr>
          <w:rFonts w:ascii="Garamond" w:hAnsi="Garamond" w:cs="Arial"/>
          <w:bCs/>
          <w:sz w:val="24"/>
          <w:szCs w:val="24"/>
        </w:rPr>
        <w:t>de</w:t>
      </w:r>
      <w:r w:rsidRPr="002D0B6A">
        <w:rPr>
          <w:rFonts w:ascii="Garamond" w:hAnsi="Garamond" w:cs="Arial"/>
          <w:bCs/>
          <w:sz w:val="24"/>
          <w:szCs w:val="24"/>
        </w:rPr>
        <w:t xml:space="preserve">creased by </w:t>
      </w:r>
      <w:r>
        <w:rPr>
          <w:rFonts w:ascii="Garamond" w:hAnsi="Garamond" w:cs="Arial"/>
          <w:bCs/>
          <w:sz w:val="24"/>
          <w:szCs w:val="24"/>
        </w:rPr>
        <w:t>11.2</w:t>
      </w:r>
      <w:r w:rsidRPr="002D0B6A">
        <w:rPr>
          <w:rFonts w:ascii="Garamond" w:hAnsi="Garamond" w:cs="Arial"/>
          <w:bCs/>
          <w:sz w:val="24"/>
          <w:szCs w:val="24"/>
        </w:rPr>
        <w:t xml:space="preserve"> per cent during </w:t>
      </w:r>
      <w:r>
        <w:rPr>
          <w:rFonts w:ascii="Garamond" w:hAnsi="Garamond" w:cs="Arial"/>
          <w:bCs/>
          <w:sz w:val="24"/>
          <w:szCs w:val="24"/>
        </w:rPr>
        <w:t>February</w:t>
      </w:r>
      <w:r w:rsidRPr="002D0B6A">
        <w:rPr>
          <w:rFonts w:ascii="Garamond" w:hAnsi="Garamond" w:cs="Arial"/>
          <w:bCs/>
          <w:sz w:val="24"/>
          <w:szCs w:val="24"/>
        </w:rPr>
        <w:t xml:space="preserve"> 201</w:t>
      </w:r>
      <w:r>
        <w:rPr>
          <w:rFonts w:ascii="Garamond" w:hAnsi="Garamond" w:cs="Arial"/>
          <w:bCs/>
          <w:sz w:val="24"/>
          <w:szCs w:val="24"/>
        </w:rPr>
        <w:t>9</w:t>
      </w:r>
      <w:r w:rsidRPr="002D0B6A">
        <w:rPr>
          <w:rFonts w:ascii="Garamond" w:hAnsi="Garamond" w:cs="Arial"/>
          <w:bCs/>
          <w:sz w:val="24"/>
          <w:szCs w:val="24"/>
        </w:rPr>
        <w:t xml:space="preserve"> to </w:t>
      </w:r>
      <w:r w:rsidRPr="002D0B6A">
        <w:rPr>
          <w:rFonts w:ascii="Tahoma" w:hAnsi="Tahoma" w:cs="Tahoma"/>
          <w:bCs/>
          <w:sz w:val="24"/>
          <w:szCs w:val="24"/>
        </w:rPr>
        <w:t>₹</w:t>
      </w:r>
      <w:r w:rsidRPr="009D08F5">
        <w:rPr>
          <w:rFonts w:ascii="Garamond" w:hAnsi="Garamond" w:cs="Arial"/>
          <w:bCs/>
          <w:sz w:val="24"/>
          <w:szCs w:val="24"/>
        </w:rPr>
        <w:t>5,49,746</w:t>
      </w:r>
      <w:r w:rsidRPr="002D0B6A">
        <w:rPr>
          <w:rFonts w:ascii="Garamond" w:hAnsi="Garamond" w:cs="Arial"/>
          <w:bCs/>
          <w:sz w:val="24"/>
          <w:szCs w:val="24"/>
        </w:rPr>
        <w:t xml:space="preserve"> crore, over total turnover of </w:t>
      </w:r>
      <w:r w:rsidRPr="002D0B6A">
        <w:rPr>
          <w:rFonts w:ascii="Tahoma" w:hAnsi="Tahoma" w:cs="Tahoma"/>
          <w:bCs/>
          <w:sz w:val="24"/>
          <w:szCs w:val="24"/>
        </w:rPr>
        <w:t>₹</w:t>
      </w:r>
      <w:r w:rsidRPr="009D08F5">
        <w:rPr>
          <w:rFonts w:ascii="Garamond" w:hAnsi="Garamond" w:cs="Arial"/>
          <w:bCs/>
          <w:sz w:val="24"/>
          <w:szCs w:val="24"/>
        </w:rPr>
        <w:t>6,19,362</w:t>
      </w:r>
      <w:r w:rsidRPr="002D0B6A">
        <w:rPr>
          <w:rFonts w:ascii="Garamond" w:hAnsi="Garamond" w:cs="Arial"/>
          <w:bCs/>
          <w:sz w:val="24"/>
          <w:szCs w:val="24"/>
        </w:rPr>
        <w:t xml:space="preserve"> crore recorded in </w:t>
      </w:r>
      <w:r>
        <w:rPr>
          <w:rFonts w:ascii="Garamond" w:hAnsi="Garamond" w:cs="Arial"/>
          <w:bCs/>
          <w:sz w:val="24"/>
          <w:szCs w:val="24"/>
        </w:rPr>
        <w:t>January</w:t>
      </w:r>
      <w:r w:rsidRPr="002D0B6A">
        <w:rPr>
          <w:rFonts w:ascii="Garamond" w:hAnsi="Garamond" w:cs="Arial"/>
          <w:bCs/>
          <w:sz w:val="24"/>
          <w:szCs w:val="24"/>
        </w:rPr>
        <w:t xml:space="preserve"> 201</w:t>
      </w:r>
      <w:r>
        <w:rPr>
          <w:rFonts w:ascii="Garamond" w:hAnsi="Garamond" w:cs="Arial"/>
          <w:bCs/>
          <w:sz w:val="24"/>
          <w:szCs w:val="24"/>
        </w:rPr>
        <w:t>9</w:t>
      </w:r>
      <w:r w:rsidRPr="002D0B6A">
        <w:rPr>
          <w:rFonts w:ascii="Garamond" w:hAnsi="Garamond" w:cs="Arial"/>
          <w:bCs/>
          <w:sz w:val="24"/>
          <w:szCs w:val="24"/>
        </w:rPr>
        <w:t xml:space="preserve">. The turnover of options contracts </w:t>
      </w:r>
      <w:r>
        <w:rPr>
          <w:rFonts w:ascii="Garamond" w:hAnsi="Garamond" w:cs="Arial"/>
          <w:bCs/>
          <w:sz w:val="24"/>
          <w:szCs w:val="24"/>
        </w:rPr>
        <w:t>traded at MCX de</w:t>
      </w:r>
      <w:r w:rsidRPr="002D0B6A">
        <w:rPr>
          <w:rFonts w:ascii="Garamond" w:hAnsi="Garamond" w:cs="Arial"/>
          <w:bCs/>
          <w:sz w:val="24"/>
          <w:szCs w:val="24"/>
        </w:rPr>
        <w:t xml:space="preserve">creased from </w:t>
      </w:r>
      <w:r w:rsidRPr="002D0B6A">
        <w:rPr>
          <w:rFonts w:ascii="Tahoma" w:hAnsi="Tahoma" w:cs="Tahoma"/>
          <w:bCs/>
          <w:sz w:val="24"/>
          <w:szCs w:val="24"/>
        </w:rPr>
        <w:t xml:space="preserve">₹ </w:t>
      </w:r>
      <w:r w:rsidRPr="00DF3A52">
        <w:rPr>
          <w:rFonts w:ascii="Garamond" w:hAnsi="Garamond" w:cs="Arial"/>
          <w:bCs/>
          <w:sz w:val="24"/>
          <w:szCs w:val="24"/>
        </w:rPr>
        <w:t>1</w:t>
      </w:r>
      <w:r>
        <w:rPr>
          <w:rFonts w:ascii="Garamond" w:hAnsi="Garamond" w:cs="Arial"/>
          <w:bCs/>
          <w:sz w:val="24"/>
          <w:szCs w:val="24"/>
        </w:rPr>
        <w:t>0,</w:t>
      </w:r>
      <w:r w:rsidRPr="00DF3A52">
        <w:rPr>
          <w:rFonts w:ascii="Garamond" w:hAnsi="Garamond" w:cs="Arial"/>
          <w:bCs/>
          <w:sz w:val="24"/>
          <w:szCs w:val="24"/>
        </w:rPr>
        <w:t>4</w:t>
      </w:r>
      <w:r>
        <w:rPr>
          <w:rFonts w:ascii="Garamond" w:hAnsi="Garamond" w:cs="Arial"/>
          <w:bCs/>
          <w:sz w:val="24"/>
          <w:szCs w:val="24"/>
        </w:rPr>
        <w:t>73</w:t>
      </w:r>
      <w:r w:rsidRPr="002D0B6A">
        <w:rPr>
          <w:rFonts w:ascii="Garamond" w:hAnsi="Garamond" w:cs="Arial"/>
          <w:bCs/>
          <w:sz w:val="24"/>
          <w:szCs w:val="24"/>
        </w:rPr>
        <w:t xml:space="preserve"> crore in </w:t>
      </w:r>
      <w:r>
        <w:rPr>
          <w:rFonts w:ascii="Garamond" w:hAnsi="Garamond" w:cs="Arial"/>
          <w:bCs/>
          <w:sz w:val="24"/>
          <w:szCs w:val="24"/>
        </w:rPr>
        <w:t>January</w:t>
      </w:r>
      <w:r w:rsidRPr="002D0B6A">
        <w:rPr>
          <w:rFonts w:ascii="Garamond" w:hAnsi="Garamond" w:cs="Arial"/>
          <w:bCs/>
          <w:sz w:val="24"/>
          <w:szCs w:val="24"/>
        </w:rPr>
        <w:t xml:space="preserve"> 201</w:t>
      </w:r>
      <w:r>
        <w:rPr>
          <w:rFonts w:ascii="Garamond" w:hAnsi="Garamond" w:cs="Arial"/>
          <w:bCs/>
          <w:sz w:val="24"/>
          <w:szCs w:val="24"/>
        </w:rPr>
        <w:t>9</w:t>
      </w:r>
      <w:r w:rsidRPr="002D0B6A">
        <w:rPr>
          <w:rFonts w:ascii="Tahoma" w:hAnsi="Tahoma" w:cs="Tahoma"/>
          <w:bCs/>
          <w:sz w:val="24"/>
          <w:szCs w:val="24"/>
        </w:rPr>
        <w:t xml:space="preserve"> </w:t>
      </w:r>
      <w:r w:rsidRPr="002D0B6A">
        <w:rPr>
          <w:rFonts w:ascii="Garamond" w:hAnsi="Garamond" w:cs="Arial"/>
          <w:bCs/>
          <w:sz w:val="24"/>
          <w:szCs w:val="24"/>
        </w:rPr>
        <w:t>to</w:t>
      </w:r>
      <w:r w:rsidRPr="002D0B6A">
        <w:rPr>
          <w:rFonts w:ascii="Tahoma" w:hAnsi="Tahoma" w:cs="Tahoma"/>
          <w:bCs/>
          <w:sz w:val="24"/>
          <w:szCs w:val="24"/>
        </w:rPr>
        <w:t xml:space="preserve"> ₹</w:t>
      </w:r>
      <w:r w:rsidRPr="009D08F5">
        <w:rPr>
          <w:rFonts w:ascii="Garamond" w:hAnsi="Garamond" w:cs="Arial"/>
          <w:bCs/>
          <w:sz w:val="24"/>
          <w:szCs w:val="24"/>
        </w:rPr>
        <w:t>9,291</w:t>
      </w:r>
      <w:r w:rsidRPr="002D0B6A">
        <w:rPr>
          <w:rFonts w:ascii="Garamond" w:hAnsi="Garamond" w:cs="Arial"/>
          <w:bCs/>
          <w:sz w:val="24"/>
          <w:szCs w:val="24"/>
        </w:rPr>
        <w:t xml:space="preserve"> crore in </w:t>
      </w:r>
      <w:r>
        <w:rPr>
          <w:rFonts w:ascii="Garamond" w:hAnsi="Garamond" w:cs="Arial"/>
          <w:bCs/>
          <w:sz w:val="24"/>
          <w:szCs w:val="24"/>
        </w:rPr>
        <w:t>February</w:t>
      </w:r>
      <w:r w:rsidRPr="002D0B6A">
        <w:rPr>
          <w:rFonts w:ascii="Garamond" w:hAnsi="Garamond" w:cs="Arial"/>
          <w:bCs/>
          <w:sz w:val="24"/>
          <w:szCs w:val="24"/>
        </w:rPr>
        <w:t xml:space="preserve"> 201</w:t>
      </w:r>
      <w:r>
        <w:rPr>
          <w:rFonts w:ascii="Garamond" w:hAnsi="Garamond" w:cs="Arial"/>
          <w:bCs/>
          <w:sz w:val="24"/>
          <w:szCs w:val="24"/>
        </w:rPr>
        <w:t>9</w:t>
      </w:r>
      <w:r w:rsidRPr="002D0B6A">
        <w:rPr>
          <w:rFonts w:ascii="Garamond" w:hAnsi="Garamond" w:cs="Arial"/>
          <w:bCs/>
          <w:sz w:val="24"/>
          <w:szCs w:val="24"/>
        </w:rPr>
        <w:t xml:space="preserve">, a </w:t>
      </w:r>
      <w:r>
        <w:rPr>
          <w:rFonts w:ascii="Garamond" w:hAnsi="Garamond" w:cs="Arial"/>
          <w:bCs/>
          <w:sz w:val="24"/>
          <w:szCs w:val="24"/>
        </w:rPr>
        <w:t>de</w:t>
      </w:r>
      <w:r w:rsidRPr="002D0B6A">
        <w:rPr>
          <w:rFonts w:ascii="Garamond" w:hAnsi="Garamond" w:cs="Arial"/>
          <w:bCs/>
          <w:sz w:val="24"/>
          <w:szCs w:val="24"/>
        </w:rPr>
        <w:t xml:space="preserve">crease of </w:t>
      </w:r>
      <w:r>
        <w:rPr>
          <w:rFonts w:ascii="Garamond" w:hAnsi="Garamond" w:cs="Arial"/>
          <w:bCs/>
          <w:sz w:val="24"/>
          <w:szCs w:val="24"/>
        </w:rPr>
        <w:t>11.3</w:t>
      </w:r>
      <w:r w:rsidRPr="002D0B6A">
        <w:rPr>
          <w:rFonts w:ascii="Garamond" w:hAnsi="Garamond" w:cs="Arial"/>
          <w:bCs/>
          <w:sz w:val="24"/>
          <w:szCs w:val="24"/>
        </w:rPr>
        <w:t xml:space="preserve"> per cent. This was due to </w:t>
      </w:r>
      <w:r>
        <w:rPr>
          <w:rFonts w:ascii="Garamond" w:hAnsi="Garamond" w:cs="Arial"/>
          <w:bCs/>
          <w:sz w:val="24"/>
          <w:szCs w:val="24"/>
        </w:rPr>
        <w:t xml:space="preserve">decrease </w:t>
      </w:r>
      <w:r w:rsidRPr="002D0B6A">
        <w:rPr>
          <w:rFonts w:ascii="Garamond" w:hAnsi="Garamond" w:cs="Arial"/>
          <w:bCs/>
          <w:sz w:val="24"/>
          <w:szCs w:val="24"/>
        </w:rPr>
        <w:t xml:space="preserve">in turnover of </w:t>
      </w:r>
      <w:r>
        <w:rPr>
          <w:rFonts w:ascii="Garamond" w:hAnsi="Garamond" w:cs="Arial"/>
          <w:bCs/>
          <w:sz w:val="24"/>
          <w:szCs w:val="24"/>
        </w:rPr>
        <w:t>energy segment by 22.5 per cent and bullion segment by 6.3 per cent in February 2019. The turnover of metal segment however increased by 52.1 per cent.</w:t>
      </w:r>
    </w:p>
    <w:p w:rsidR="00645D01" w:rsidRPr="002D0B6A" w:rsidRDefault="00645D01" w:rsidP="00645D01">
      <w:pPr>
        <w:pStyle w:val="ListParagraph"/>
        <w:spacing w:after="0" w:line="240" w:lineRule="auto"/>
        <w:jc w:val="both"/>
        <w:rPr>
          <w:rFonts w:ascii="Garamond" w:hAnsi="Garamond" w:cs="Arial"/>
          <w:bCs/>
          <w:sz w:val="24"/>
          <w:szCs w:val="24"/>
        </w:rPr>
      </w:pPr>
    </w:p>
    <w:p w:rsidR="00645D01" w:rsidRPr="002D0B6A" w:rsidRDefault="00645D01" w:rsidP="00645D01">
      <w:pPr>
        <w:pStyle w:val="ListParagraph"/>
        <w:spacing w:after="0" w:line="240" w:lineRule="auto"/>
        <w:jc w:val="both"/>
        <w:rPr>
          <w:rFonts w:ascii="Garamond" w:hAnsi="Garamond" w:cs="Arial"/>
          <w:bCs/>
          <w:sz w:val="24"/>
          <w:szCs w:val="24"/>
        </w:rPr>
      </w:pPr>
      <w:r w:rsidRPr="002D0B6A">
        <w:rPr>
          <w:rFonts w:ascii="Garamond" w:hAnsi="Garamond" w:cs="Arial"/>
          <w:bCs/>
          <w:sz w:val="24"/>
          <w:szCs w:val="24"/>
        </w:rPr>
        <w:t xml:space="preserve">The contribution to the total turnover </w:t>
      </w:r>
      <w:r>
        <w:rPr>
          <w:rFonts w:ascii="Garamond" w:hAnsi="Garamond" w:cs="Arial"/>
          <w:bCs/>
          <w:sz w:val="24"/>
          <w:szCs w:val="24"/>
        </w:rPr>
        <w:t xml:space="preserve">from energy </w:t>
      </w:r>
      <w:r w:rsidRPr="002D0B6A">
        <w:rPr>
          <w:rFonts w:ascii="Garamond" w:hAnsi="Garamond" w:cs="Arial"/>
          <w:bCs/>
          <w:sz w:val="24"/>
          <w:szCs w:val="24"/>
        </w:rPr>
        <w:t xml:space="preserve">segment </w:t>
      </w:r>
      <w:r>
        <w:rPr>
          <w:rFonts w:ascii="Garamond" w:hAnsi="Garamond" w:cs="Arial"/>
          <w:bCs/>
          <w:sz w:val="24"/>
          <w:szCs w:val="24"/>
        </w:rPr>
        <w:t xml:space="preserve">in futures contracts </w:t>
      </w:r>
      <w:r w:rsidRPr="002D0B6A">
        <w:rPr>
          <w:rFonts w:ascii="Garamond" w:hAnsi="Garamond" w:cs="Arial"/>
          <w:bCs/>
          <w:sz w:val="24"/>
          <w:szCs w:val="24"/>
        </w:rPr>
        <w:t xml:space="preserve">was at </w:t>
      </w:r>
      <w:r>
        <w:rPr>
          <w:rFonts w:ascii="Garamond" w:hAnsi="Garamond" w:cs="Arial"/>
          <w:bCs/>
          <w:sz w:val="24"/>
          <w:szCs w:val="24"/>
        </w:rPr>
        <w:t>39</w:t>
      </w:r>
      <w:r w:rsidRPr="002D0B6A">
        <w:rPr>
          <w:rFonts w:ascii="Garamond" w:hAnsi="Garamond" w:cs="Arial"/>
          <w:bCs/>
          <w:sz w:val="24"/>
          <w:szCs w:val="24"/>
        </w:rPr>
        <w:t xml:space="preserve"> per cent</w:t>
      </w:r>
      <w:r>
        <w:rPr>
          <w:rFonts w:ascii="Garamond" w:hAnsi="Garamond" w:cs="Arial"/>
          <w:bCs/>
          <w:sz w:val="24"/>
          <w:szCs w:val="24"/>
        </w:rPr>
        <w:t>,</w:t>
      </w:r>
      <w:r w:rsidRPr="002D0B6A">
        <w:rPr>
          <w:rFonts w:ascii="Garamond" w:hAnsi="Garamond" w:cs="Arial"/>
          <w:bCs/>
          <w:sz w:val="24"/>
          <w:szCs w:val="24"/>
        </w:rPr>
        <w:t xml:space="preserve"> followed by </w:t>
      </w:r>
      <w:r>
        <w:rPr>
          <w:rFonts w:ascii="Garamond" w:hAnsi="Garamond" w:cs="Arial"/>
          <w:bCs/>
          <w:sz w:val="24"/>
          <w:szCs w:val="24"/>
        </w:rPr>
        <w:t>metal</w:t>
      </w:r>
      <w:r w:rsidRPr="002D0B6A">
        <w:rPr>
          <w:rFonts w:ascii="Garamond" w:hAnsi="Garamond" w:cs="Arial"/>
          <w:bCs/>
          <w:sz w:val="24"/>
          <w:szCs w:val="24"/>
        </w:rPr>
        <w:t xml:space="preserve"> (</w:t>
      </w:r>
      <w:r>
        <w:rPr>
          <w:rFonts w:ascii="Garamond" w:hAnsi="Garamond" w:cs="Arial"/>
          <w:bCs/>
          <w:sz w:val="24"/>
          <w:szCs w:val="24"/>
        </w:rPr>
        <w:t>34</w:t>
      </w:r>
      <w:r w:rsidRPr="002D0B6A">
        <w:rPr>
          <w:rFonts w:ascii="Garamond" w:hAnsi="Garamond" w:cs="Arial"/>
          <w:bCs/>
          <w:sz w:val="24"/>
          <w:szCs w:val="24"/>
        </w:rPr>
        <w:t xml:space="preserve"> per cent), bullion (</w:t>
      </w:r>
      <w:r>
        <w:rPr>
          <w:rFonts w:ascii="Garamond" w:hAnsi="Garamond" w:cs="Arial"/>
          <w:bCs/>
          <w:sz w:val="24"/>
          <w:szCs w:val="24"/>
        </w:rPr>
        <w:t>24</w:t>
      </w:r>
      <w:r w:rsidRPr="002D0B6A">
        <w:rPr>
          <w:rFonts w:ascii="Garamond" w:hAnsi="Garamond" w:cs="Arial"/>
          <w:bCs/>
          <w:sz w:val="24"/>
          <w:szCs w:val="24"/>
        </w:rPr>
        <w:t xml:space="preserve"> per cent) and agricultural </w:t>
      </w:r>
      <w:r>
        <w:rPr>
          <w:rFonts w:ascii="Garamond" w:hAnsi="Garamond" w:cs="Arial"/>
          <w:bCs/>
          <w:sz w:val="24"/>
          <w:szCs w:val="24"/>
        </w:rPr>
        <w:t xml:space="preserve">segment </w:t>
      </w:r>
      <w:r w:rsidRPr="002D0B6A">
        <w:rPr>
          <w:rFonts w:ascii="Garamond" w:hAnsi="Garamond" w:cs="Arial"/>
          <w:bCs/>
          <w:sz w:val="24"/>
          <w:szCs w:val="24"/>
        </w:rPr>
        <w:t>(1.</w:t>
      </w:r>
      <w:r>
        <w:rPr>
          <w:rFonts w:ascii="Garamond" w:hAnsi="Garamond" w:cs="Arial"/>
          <w:bCs/>
          <w:sz w:val="24"/>
          <w:szCs w:val="24"/>
        </w:rPr>
        <w:t xml:space="preserve">5 </w:t>
      </w:r>
      <w:r w:rsidRPr="002D0B6A">
        <w:rPr>
          <w:rFonts w:ascii="Garamond" w:hAnsi="Garamond" w:cs="Arial"/>
          <w:bCs/>
          <w:sz w:val="24"/>
          <w:szCs w:val="24"/>
        </w:rPr>
        <w:t>per cent).  The options contracts contributed 1.</w:t>
      </w:r>
      <w:r>
        <w:rPr>
          <w:rFonts w:ascii="Garamond" w:hAnsi="Garamond" w:cs="Arial"/>
          <w:bCs/>
          <w:sz w:val="24"/>
          <w:szCs w:val="24"/>
        </w:rPr>
        <w:t>7</w:t>
      </w:r>
      <w:r w:rsidRPr="002D0B6A">
        <w:rPr>
          <w:rFonts w:ascii="Garamond" w:hAnsi="Garamond" w:cs="Arial"/>
          <w:bCs/>
          <w:sz w:val="24"/>
          <w:szCs w:val="24"/>
        </w:rPr>
        <w:t xml:space="preserve"> per cent to the total turnover. </w:t>
      </w:r>
    </w:p>
    <w:p w:rsidR="00645D01" w:rsidRPr="00855F2F" w:rsidRDefault="00645D01" w:rsidP="00645D01">
      <w:pPr>
        <w:pStyle w:val="ListParagraph"/>
        <w:spacing w:after="0" w:line="240" w:lineRule="auto"/>
        <w:jc w:val="both"/>
        <w:rPr>
          <w:rFonts w:ascii="Garamond" w:hAnsi="Garamond" w:cs="Arial"/>
          <w:bCs/>
          <w:sz w:val="24"/>
          <w:szCs w:val="24"/>
          <w:highlight w:val="darkYellow"/>
        </w:rPr>
      </w:pPr>
    </w:p>
    <w:p w:rsidR="00645D01" w:rsidRDefault="00645D01" w:rsidP="00645D01">
      <w:pPr>
        <w:pStyle w:val="ListParagraph"/>
        <w:spacing w:after="0" w:line="240" w:lineRule="auto"/>
        <w:jc w:val="both"/>
        <w:rPr>
          <w:rFonts w:ascii="Garamond" w:hAnsi="Garamond" w:cs="Arial"/>
          <w:bCs/>
          <w:sz w:val="24"/>
          <w:szCs w:val="24"/>
        </w:rPr>
      </w:pPr>
      <w:r>
        <w:rPr>
          <w:rFonts w:ascii="Garamond" w:hAnsi="Garamond" w:cs="Arial"/>
          <w:bCs/>
          <w:sz w:val="24"/>
          <w:szCs w:val="24"/>
        </w:rPr>
        <w:t>During the month, t</w:t>
      </w:r>
      <w:r w:rsidRPr="002D0B6A">
        <w:rPr>
          <w:rFonts w:ascii="Garamond" w:hAnsi="Garamond" w:cs="Arial"/>
          <w:bCs/>
          <w:sz w:val="24"/>
          <w:szCs w:val="24"/>
        </w:rPr>
        <w:t xml:space="preserve">he </w:t>
      </w:r>
      <w:r>
        <w:rPr>
          <w:rFonts w:ascii="Garamond" w:hAnsi="Garamond" w:cs="Arial"/>
          <w:bCs/>
          <w:sz w:val="24"/>
          <w:szCs w:val="24"/>
        </w:rPr>
        <w:t xml:space="preserve">total </w:t>
      </w:r>
      <w:r w:rsidRPr="002D0B6A">
        <w:rPr>
          <w:rFonts w:ascii="Garamond" w:hAnsi="Garamond" w:cs="Arial"/>
          <w:bCs/>
          <w:sz w:val="24"/>
          <w:szCs w:val="24"/>
        </w:rPr>
        <w:t xml:space="preserve">turnover (futures </w:t>
      </w:r>
      <w:r>
        <w:rPr>
          <w:rFonts w:ascii="Garamond" w:hAnsi="Garamond" w:cs="Arial"/>
          <w:bCs/>
          <w:sz w:val="24"/>
          <w:szCs w:val="24"/>
        </w:rPr>
        <w:t>&amp;</w:t>
      </w:r>
      <w:r w:rsidRPr="002D0B6A">
        <w:rPr>
          <w:rFonts w:ascii="Garamond" w:hAnsi="Garamond" w:cs="Arial"/>
          <w:bCs/>
          <w:sz w:val="24"/>
          <w:szCs w:val="24"/>
        </w:rPr>
        <w:t xml:space="preserve"> options</w:t>
      </w:r>
      <w:r>
        <w:rPr>
          <w:rFonts w:ascii="Garamond" w:hAnsi="Garamond" w:cs="Arial"/>
          <w:bCs/>
          <w:sz w:val="24"/>
          <w:szCs w:val="24"/>
        </w:rPr>
        <w:t xml:space="preserve"> contracts</w:t>
      </w:r>
      <w:r w:rsidRPr="002D0B6A">
        <w:rPr>
          <w:rFonts w:ascii="Garamond" w:hAnsi="Garamond" w:cs="Arial"/>
          <w:bCs/>
          <w:sz w:val="24"/>
          <w:szCs w:val="24"/>
        </w:rPr>
        <w:t xml:space="preserve">) at NCDEX </w:t>
      </w:r>
      <w:r>
        <w:rPr>
          <w:rFonts w:ascii="Garamond" w:hAnsi="Garamond" w:cs="Arial"/>
          <w:bCs/>
          <w:sz w:val="24"/>
          <w:szCs w:val="24"/>
        </w:rPr>
        <w:t>de</w:t>
      </w:r>
      <w:r w:rsidRPr="002D0B6A">
        <w:rPr>
          <w:rFonts w:ascii="Garamond" w:hAnsi="Garamond" w:cs="Arial"/>
          <w:bCs/>
          <w:sz w:val="24"/>
          <w:szCs w:val="24"/>
        </w:rPr>
        <w:t xml:space="preserve">creased by </w:t>
      </w:r>
      <w:r>
        <w:rPr>
          <w:rFonts w:ascii="Garamond" w:hAnsi="Garamond" w:cs="Arial"/>
          <w:bCs/>
          <w:sz w:val="24"/>
          <w:szCs w:val="24"/>
        </w:rPr>
        <w:t>30.1</w:t>
      </w:r>
      <w:r w:rsidRPr="002D0B6A">
        <w:rPr>
          <w:rFonts w:ascii="Garamond" w:hAnsi="Garamond" w:cs="Arial"/>
          <w:bCs/>
          <w:sz w:val="24"/>
          <w:szCs w:val="24"/>
        </w:rPr>
        <w:t xml:space="preserve"> per cent to </w:t>
      </w:r>
      <w:r w:rsidRPr="002D0B6A">
        <w:rPr>
          <w:rFonts w:ascii="Tahoma" w:hAnsi="Tahoma" w:cs="Tahoma"/>
          <w:bCs/>
          <w:sz w:val="24"/>
          <w:szCs w:val="24"/>
        </w:rPr>
        <w:t>₹</w:t>
      </w:r>
      <w:r>
        <w:rPr>
          <w:rFonts w:ascii="Garamond" w:hAnsi="Garamond" w:cs="Arial"/>
          <w:bCs/>
          <w:sz w:val="24"/>
          <w:szCs w:val="24"/>
        </w:rPr>
        <w:t>29,092</w:t>
      </w:r>
      <w:r w:rsidRPr="002D0B6A">
        <w:rPr>
          <w:rFonts w:ascii="Garamond" w:hAnsi="Garamond" w:cs="Arial"/>
          <w:bCs/>
          <w:sz w:val="24"/>
          <w:szCs w:val="24"/>
        </w:rPr>
        <w:t xml:space="preserve"> crore, from </w:t>
      </w:r>
      <w:r w:rsidRPr="002D0B6A">
        <w:rPr>
          <w:rFonts w:ascii="Tahoma" w:hAnsi="Tahoma" w:cs="Tahoma"/>
          <w:bCs/>
          <w:sz w:val="24"/>
          <w:szCs w:val="24"/>
        </w:rPr>
        <w:t>₹</w:t>
      </w:r>
      <w:r>
        <w:rPr>
          <w:rFonts w:ascii="Garamond" w:hAnsi="Garamond" w:cs="Arial"/>
          <w:bCs/>
          <w:sz w:val="24"/>
          <w:szCs w:val="24"/>
        </w:rPr>
        <w:t>41,602</w:t>
      </w:r>
      <w:r w:rsidRPr="002D0B6A">
        <w:rPr>
          <w:rFonts w:ascii="Garamond" w:hAnsi="Garamond" w:cs="Arial"/>
          <w:bCs/>
          <w:sz w:val="24"/>
          <w:szCs w:val="24"/>
        </w:rPr>
        <w:t xml:space="preserve"> crore in </w:t>
      </w:r>
      <w:r>
        <w:rPr>
          <w:rFonts w:ascii="Garamond" w:hAnsi="Garamond" w:cs="Arial"/>
          <w:bCs/>
          <w:sz w:val="24"/>
          <w:szCs w:val="24"/>
        </w:rPr>
        <w:t>January</w:t>
      </w:r>
      <w:r w:rsidRPr="002D0B6A">
        <w:rPr>
          <w:rFonts w:ascii="Garamond" w:hAnsi="Garamond" w:cs="Arial"/>
          <w:bCs/>
          <w:sz w:val="24"/>
          <w:szCs w:val="24"/>
        </w:rPr>
        <w:t xml:space="preserve"> 201</w:t>
      </w:r>
      <w:r>
        <w:rPr>
          <w:rFonts w:ascii="Garamond" w:hAnsi="Garamond" w:cs="Arial"/>
          <w:bCs/>
          <w:sz w:val="24"/>
          <w:szCs w:val="24"/>
        </w:rPr>
        <w:t>9</w:t>
      </w:r>
      <w:r w:rsidRPr="002D0B6A">
        <w:rPr>
          <w:rFonts w:ascii="Garamond" w:hAnsi="Garamond" w:cs="Arial"/>
          <w:bCs/>
          <w:sz w:val="24"/>
          <w:szCs w:val="24"/>
        </w:rPr>
        <w:t>. The options contracts recorded</w:t>
      </w:r>
      <w:r>
        <w:rPr>
          <w:rFonts w:ascii="Garamond" w:hAnsi="Garamond" w:cs="Arial"/>
          <w:bCs/>
          <w:sz w:val="24"/>
          <w:szCs w:val="24"/>
        </w:rPr>
        <w:t xml:space="preserve"> a</w:t>
      </w:r>
      <w:r w:rsidRPr="002D0B6A">
        <w:rPr>
          <w:rFonts w:ascii="Garamond" w:hAnsi="Garamond" w:cs="Arial"/>
          <w:bCs/>
          <w:sz w:val="24"/>
          <w:szCs w:val="24"/>
        </w:rPr>
        <w:t xml:space="preserve"> turnover of ₹</w:t>
      </w:r>
      <w:r>
        <w:rPr>
          <w:rFonts w:ascii="Garamond" w:hAnsi="Garamond" w:cs="Arial"/>
          <w:bCs/>
          <w:sz w:val="24"/>
          <w:szCs w:val="24"/>
        </w:rPr>
        <w:t>5</w:t>
      </w:r>
      <w:r w:rsidRPr="002D0B6A">
        <w:rPr>
          <w:rFonts w:ascii="Garamond" w:hAnsi="Garamond" w:cs="Arial"/>
          <w:bCs/>
          <w:sz w:val="24"/>
          <w:szCs w:val="24"/>
        </w:rPr>
        <w:t xml:space="preserve"> crore </w:t>
      </w:r>
      <w:r>
        <w:rPr>
          <w:rFonts w:ascii="Garamond" w:hAnsi="Garamond" w:cs="Arial"/>
          <w:bCs/>
          <w:sz w:val="24"/>
          <w:szCs w:val="24"/>
        </w:rPr>
        <w:t>during</w:t>
      </w:r>
      <w:r w:rsidRPr="002D0B6A">
        <w:rPr>
          <w:rFonts w:ascii="Garamond" w:hAnsi="Garamond" w:cs="Arial"/>
          <w:bCs/>
          <w:sz w:val="24"/>
          <w:szCs w:val="24"/>
        </w:rPr>
        <w:t xml:space="preserve"> </w:t>
      </w:r>
      <w:r>
        <w:rPr>
          <w:rFonts w:ascii="Garamond" w:hAnsi="Garamond" w:cs="Arial"/>
          <w:bCs/>
          <w:sz w:val="24"/>
          <w:szCs w:val="24"/>
        </w:rPr>
        <w:t>February</w:t>
      </w:r>
      <w:r w:rsidRPr="002D0B6A">
        <w:rPr>
          <w:rFonts w:ascii="Garamond" w:hAnsi="Garamond" w:cs="Arial"/>
          <w:bCs/>
          <w:sz w:val="24"/>
          <w:szCs w:val="24"/>
        </w:rPr>
        <w:t xml:space="preserve"> 201</w:t>
      </w:r>
      <w:r>
        <w:rPr>
          <w:rFonts w:ascii="Garamond" w:hAnsi="Garamond" w:cs="Arial"/>
          <w:bCs/>
          <w:sz w:val="24"/>
          <w:szCs w:val="24"/>
        </w:rPr>
        <w:t>9</w:t>
      </w:r>
      <w:r w:rsidRPr="002D0B6A">
        <w:rPr>
          <w:rFonts w:ascii="Garamond" w:hAnsi="Garamond" w:cs="Arial"/>
          <w:bCs/>
          <w:sz w:val="24"/>
          <w:szCs w:val="24"/>
        </w:rPr>
        <w:t xml:space="preserve">. </w:t>
      </w:r>
    </w:p>
    <w:p w:rsidR="00645D01" w:rsidRDefault="00645D01" w:rsidP="00645D01">
      <w:pPr>
        <w:pStyle w:val="ListParagraph"/>
        <w:spacing w:after="0" w:line="240" w:lineRule="auto"/>
        <w:jc w:val="both"/>
        <w:rPr>
          <w:rFonts w:ascii="Garamond" w:hAnsi="Garamond" w:cs="Arial"/>
          <w:bCs/>
          <w:sz w:val="24"/>
          <w:szCs w:val="24"/>
        </w:rPr>
      </w:pPr>
    </w:p>
    <w:p w:rsidR="00645D01" w:rsidRDefault="00645D01" w:rsidP="00645D01">
      <w:pPr>
        <w:pStyle w:val="ListParagraph"/>
        <w:spacing w:after="0" w:line="240" w:lineRule="auto"/>
        <w:jc w:val="both"/>
        <w:rPr>
          <w:rFonts w:ascii="Garamond" w:hAnsi="Garamond" w:cs="Arial"/>
          <w:bCs/>
          <w:sz w:val="24"/>
          <w:szCs w:val="24"/>
        </w:rPr>
      </w:pPr>
      <w:r w:rsidRPr="00B83CC8">
        <w:rPr>
          <w:rFonts w:ascii="Garamond" w:hAnsi="Garamond" w:cs="Arial"/>
          <w:bCs/>
          <w:sz w:val="24"/>
          <w:szCs w:val="24"/>
        </w:rPr>
        <w:t>The</w:t>
      </w:r>
      <w:r>
        <w:rPr>
          <w:rFonts w:ascii="Garamond" w:hAnsi="Garamond" w:cs="Arial"/>
          <w:bCs/>
          <w:sz w:val="24"/>
          <w:szCs w:val="24"/>
        </w:rPr>
        <w:t xml:space="preserve"> total</w:t>
      </w:r>
      <w:r w:rsidRPr="00B83CC8">
        <w:rPr>
          <w:rFonts w:ascii="Garamond" w:hAnsi="Garamond" w:cs="Arial"/>
          <w:bCs/>
          <w:sz w:val="24"/>
          <w:szCs w:val="24"/>
        </w:rPr>
        <w:t xml:space="preserve"> turnover at BSE </w:t>
      </w:r>
      <w:r>
        <w:rPr>
          <w:rFonts w:ascii="Garamond" w:hAnsi="Garamond" w:cs="Arial"/>
          <w:bCs/>
          <w:sz w:val="24"/>
          <w:szCs w:val="24"/>
        </w:rPr>
        <w:t>de</w:t>
      </w:r>
      <w:r w:rsidRPr="00B83CC8">
        <w:rPr>
          <w:rFonts w:ascii="Garamond" w:hAnsi="Garamond" w:cs="Arial"/>
          <w:bCs/>
          <w:sz w:val="24"/>
          <w:szCs w:val="24"/>
        </w:rPr>
        <w:t xml:space="preserve">creased by </w:t>
      </w:r>
      <w:r>
        <w:rPr>
          <w:rFonts w:ascii="Garamond" w:hAnsi="Garamond" w:cs="Arial"/>
          <w:bCs/>
          <w:sz w:val="24"/>
          <w:szCs w:val="24"/>
        </w:rPr>
        <w:t>42</w:t>
      </w:r>
      <w:r w:rsidRPr="00B83CC8">
        <w:rPr>
          <w:rFonts w:ascii="Garamond" w:hAnsi="Garamond" w:cs="Arial"/>
          <w:bCs/>
          <w:sz w:val="24"/>
          <w:szCs w:val="24"/>
        </w:rPr>
        <w:t xml:space="preserve"> per cent to </w:t>
      </w:r>
      <w:r w:rsidRPr="00B83CC8">
        <w:rPr>
          <w:rFonts w:ascii="Tahoma" w:hAnsi="Tahoma" w:cs="Tahoma"/>
          <w:bCs/>
          <w:sz w:val="24"/>
          <w:szCs w:val="24"/>
        </w:rPr>
        <w:t>₹</w:t>
      </w:r>
      <w:r w:rsidRPr="000B4523">
        <w:rPr>
          <w:rFonts w:ascii="Garamond" w:hAnsi="Garamond" w:cs="Arial"/>
          <w:bCs/>
          <w:sz w:val="24"/>
          <w:szCs w:val="24"/>
        </w:rPr>
        <w:t>3</w:t>
      </w:r>
      <w:r>
        <w:rPr>
          <w:rFonts w:ascii="Garamond" w:hAnsi="Garamond" w:cs="Arial"/>
          <w:bCs/>
          <w:sz w:val="24"/>
          <w:szCs w:val="24"/>
        </w:rPr>
        <w:t>,808</w:t>
      </w:r>
      <w:r w:rsidRPr="00B83CC8">
        <w:rPr>
          <w:rFonts w:ascii="Garamond" w:hAnsi="Garamond" w:cs="Arial"/>
          <w:bCs/>
          <w:sz w:val="24"/>
          <w:szCs w:val="24"/>
        </w:rPr>
        <w:t xml:space="preserve"> crore</w:t>
      </w:r>
      <w:r>
        <w:rPr>
          <w:rFonts w:ascii="Garamond" w:hAnsi="Garamond" w:cs="Arial"/>
          <w:bCs/>
          <w:sz w:val="24"/>
          <w:szCs w:val="24"/>
        </w:rPr>
        <w:t xml:space="preserve"> from ₹6,539 crore in January 2019 driven by 70 percent fall in turnover in bullion segment. Agri futures trading in </w:t>
      </w:r>
      <w:r>
        <w:rPr>
          <w:rFonts w:ascii="Garamond" w:hAnsi="Garamond" w:cs="Arial"/>
          <w:bCs/>
          <w:sz w:val="24"/>
          <w:szCs w:val="24"/>
        </w:rPr>
        <w:lastRenderedPageBreak/>
        <w:t xml:space="preserve">guarseed, guargum and cotton commenced at BSE in February 2019 registering a total turnover of </w:t>
      </w:r>
      <w:r w:rsidRPr="00B83CC8">
        <w:rPr>
          <w:rFonts w:ascii="Tahoma" w:hAnsi="Tahoma" w:cs="Tahoma"/>
          <w:bCs/>
          <w:sz w:val="24"/>
          <w:szCs w:val="24"/>
        </w:rPr>
        <w:t>₹</w:t>
      </w:r>
      <w:r>
        <w:rPr>
          <w:rFonts w:ascii="Garamond" w:hAnsi="Garamond" w:cs="Arial"/>
          <w:bCs/>
          <w:sz w:val="24"/>
          <w:szCs w:val="24"/>
        </w:rPr>
        <w:t>1,818 crore. T</w:t>
      </w:r>
      <w:r w:rsidRPr="00B83CC8">
        <w:rPr>
          <w:rFonts w:ascii="Garamond" w:hAnsi="Garamond" w:cs="Arial"/>
          <w:bCs/>
          <w:sz w:val="24"/>
          <w:szCs w:val="24"/>
        </w:rPr>
        <w:t xml:space="preserve">he turnover at NSE </w:t>
      </w:r>
      <w:r>
        <w:rPr>
          <w:rFonts w:ascii="Garamond" w:hAnsi="Garamond" w:cs="Arial"/>
          <w:bCs/>
          <w:sz w:val="24"/>
          <w:szCs w:val="24"/>
        </w:rPr>
        <w:t xml:space="preserve">on the other hand increased by 11.1 percent to ₹499 crore from </w:t>
      </w:r>
      <w:r w:rsidRPr="00B83CC8">
        <w:rPr>
          <w:rFonts w:ascii="Tahoma" w:hAnsi="Tahoma" w:cs="Tahoma"/>
          <w:bCs/>
          <w:sz w:val="24"/>
          <w:szCs w:val="24"/>
        </w:rPr>
        <w:t>₹</w:t>
      </w:r>
      <w:r w:rsidRPr="00814902">
        <w:rPr>
          <w:rFonts w:ascii="Garamond" w:hAnsi="Garamond" w:cs="Arial"/>
          <w:bCs/>
          <w:sz w:val="24"/>
          <w:szCs w:val="24"/>
        </w:rPr>
        <w:t>449</w:t>
      </w:r>
      <w:r w:rsidRPr="00B83CC8">
        <w:rPr>
          <w:rFonts w:ascii="Garamond" w:hAnsi="Garamond" w:cs="Arial"/>
          <w:bCs/>
          <w:sz w:val="24"/>
          <w:szCs w:val="24"/>
        </w:rPr>
        <w:t xml:space="preserve"> crore</w:t>
      </w:r>
      <w:r>
        <w:rPr>
          <w:rFonts w:ascii="Garamond" w:hAnsi="Garamond" w:cs="Arial"/>
          <w:bCs/>
          <w:sz w:val="24"/>
          <w:szCs w:val="24"/>
        </w:rPr>
        <w:t xml:space="preserve"> in January 2019</w:t>
      </w:r>
      <w:r w:rsidRPr="00B83CC8">
        <w:rPr>
          <w:rFonts w:ascii="Garamond" w:hAnsi="Garamond" w:cs="Arial"/>
          <w:bCs/>
          <w:sz w:val="24"/>
          <w:szCs w:val="24"/>
        </w:rPr>
        <w:t>.</w:t>
      </w:r>
      <w:r>
        <w:rPr>
          <w:rFonts w:ascii="Garamond" w:hAnsi="Garamond" w:cs="Arial"/>
          <w:bCs/>
          <w:sz w:val="24"/>
          <w:szCs w:val="24"/>
        </w:rPr>
        <w:t xml:space="preserve"> </w:t>
      </w:r>
    </w:p>
    <w:p w:rsidR="00645D01" w:rsidRPr="002D0B6A" w:rsidRDefault="00645D01" w:rsidP="00645D01">
      <w:pPr>
        <w:pStyle w:val="ListParagraph"/>
        <w:spacing w:after="0" w:line="240" w:lineRule="auto"/>
        <w:jc w:val="both"/>
        <w:rPr>
          <w:rFonts w:ascii="Garamond" w:hAnsi="Garamond" w:cs="Arial"/>
          <w:bCs/>
          <w:sz w:val="24"/>
          <w:szCs w:val="24"/>
        </w:rPr>
      </w:pPr>
    </w:p>
    <w:p w:rsidR="00645D01" w:rsidRPr="00FD2EB1" w:rsidRDefault="00645D01" w:rsidP="00645D01">
      <w:pPr>
        <w:pStyle w:val="ListParagraph"/>
        <w:spacing w:after="0" w:line="240" w:lineRule="auto"/>
        <w:jc w:val="both"/>
        <w:rPr>
          <w:rFonts w:ascii="Garamond" w:hAnsi="Garamond" w:cs="Arial"/>
          <w:bCs/>
          <w:sz w:val="24"/>
          <w:szCs w:val="24"/>
        </w:rPr>
      </w:pPr>
      <w:r w:rsidRPr="002D0B6A">
        <w:rPr>
          <w:rFonts w:ascii="Garamond" w:hAnsi="Garamond" w:cs="Arial"/>
          <w:bCs/>
          <w:sz w:val="24"/>
          <w:szCs w:val="24"/>
        </w:rPr>
        <w:t>The aggregate turnover at ICEX (diamond</w:t>
      </w:r>
      <w:r>
        <w:rPr>
          <w:rFonts w:ascii="Garamond" w:hAnsi="Garamond" w:cs="Arial"/>
          <w:bCs/>
          <w:sz w:val="24"/>
          <w:szCs w:val="24"/>
        </w:rPr>
        <w:t>, metal (</w:t>
      </w:r>
      <w:r w:rsidRPr="002D0B6A">
        <w:rPr>
          <w:rFonts w:ascii="Garamond" w:hAnsi="Garamond" w:cs="Arial"/>
          <w:bCs/>
          <w:sz w:val="24"/>
          <w:szCs w:val="24"/>
        </w:rPr>
        <w:t>steel long</w:t>
      </w:r>
      <w:r>
        <w:rPr>
          <w:rFonts w:ascii="Garamond" w:hAnsi="Garamond" w:cs="Arial"/>
          <w:bCs/>
          <w:sz w:val="24"/>
          <w:szCs w:val="24"/>
        </w:rPr>
        <w:t>)</w:t>
      </w:r>
      <w:r w:rsidRPr="002D0B6A">
        <w:rPr>
          <w:rFonts w:ascii="Garamond" w:hAnsi="Garamond" w:cs="Arial"/>
          <w:bCs/>
          <w:sz w:val="24"/>
          <w:szCs w:val="24"/>
        </w:rPr>
        <w:t xml:space="preserve"> </w:t>
      </w:r>
      <w:r>
        <w:rPr>
          <w:rFonts w:ascii="Garamond" w:hAnsi="Garamond" w:cs="Arial"/>
          <w:bCs/>
          <w:sz w:val="24"/>
          <w:szCs w:val="24"/>
        </w:rPr>
        <w:t>and</w:t>
      </w:r>
      <w:r w:rsidRPr="002D0B6A">
        <w:rPr>
          <w:rFonts w:ascii="Garamond" w:hAnsi="Garamond" w:cs="Arial"/>
          <w:bCs/>
          <w:sz w:val="24"/>
          <w:szCs w:val="24"/>
        </w:rPr>
        <w:t xml:space="preserve"> agri. </w:t>
      </w:r>
      <w:r>
        <w:rPr>
          <w:rFonts w:ascii="Garamond" w:hAnsi="Garamond" w:cs="Arial"/>
          <w:bCs/>
          <w:sz w:val="24"/>
          <w:szCs w:val="24"/>
        </w:rPr>
        <w:t xml:space="preserve">futures </w:t>
      </w:r>
      <w:r w:rsidRPr="002D0B6A">
        <w:rPr>
          <w:rFonts w:ascii="Garamond" w:hAnsi="Garamond" w:cs="Arial"/>
          <w:bCs/>
          <w:sz w:val="24"/>
          <w:szCs w:val="24"/>
        </w:rPr>
        <w:t xml:space="preserve">contracts taken together) was recorded at </w:t>
      </w:r>
      <w:r w:rsidRPr="002D0B6A">
        <w:rPr>
          <w:rFonts w:ascii="Tahoma" w:hAnsi="Tahoma" w:cs="Tahoma"/>
          <w:bCs/>
          <w:sz w:val="24"/>
          <w:szCs w:val="24"/>
        </w:rPr>
        <w:t>₹</w:t>
      </w:r>
      <w:r w:rsidRPr="000B4523">
        <w:rPr>
          <w:rFonts w:ascii="Garamond" w:hAnsi="Garamond" w:cs="Arial"/>
          <w:bCs/>
          <w:sz w:val="24"/>
          <w:szCs w:val="24"/>
        </w:rPr>
        <w:t>5</w:t>
      </w:r>
      <w:r>
        <w:rPr>
          <w:rFonts w:ascii="Garamond" w:hAnsi="Garamond" w:cs="Arial"/>
          <w:bCs/>
          <w:sz w:val="24"/>
          <w:szCs w:val="24"/>
        </w:rPr>
        <w:t>,333</w:t>
      </w:r>
      <w:r w:rsidRPr="002D0B6A">
        <w:rPr>
          <w:rFonts w:ascii="Garamond" w:hAnsi="Garamond" w:cs="Arial"/>
          <w:bCs/>
          <w:sz w:val="24"/>
          <w:szCs w:val="24"/>
        </w:rPr>
        <w:t xml:space="preserve"> crore in </w:t>
      </w:r>
      <w:r>
        <w:rPr>
          <w:rFonts w:ascii="Garamond" w:hAnsi="Garamond" w:cs="Arial"/>
          <w:bCs/>
          <w:sz w:val="24"/>
          <w:szCs w:val="24"/>
        </w:rPr>
        <w:t>February</w:t>
      </w:r>
      <w:r w:rsidRPr="002D0B6A">
        <w:rPr>
          <w:rFonts w:ascii="Garamond" w:hAnsi="Garamond" w:cs="Arial"/>
          <w:bCs/>
          <w:sz w:val="24"/>
          <w:szCs w:val="24"/>
        </w:rPr>
        <w:t>, 201</w:t>
      </w:r>
      <w:r>
        <w:rPr>
          <w:rFonts w:ascii="Garamond" w:hAnsi="Garamond" w:cs="Arial"/>
          <w:bCs/>
          <w:sz w:val="24"/>
          <w:szCs w:val="24"/>
        </w:rPr>
        <w:t>9, an increase of 47 per cent over the previous month</w:t>
      </w:r>
      <w:r w:rsidRPr="002D0B6A">
        <w:rPr>
          <w:rFonts w:ascii="Garamond" w:hAnsi="Garamond" w:cs="Arial"/>
          <w:bCs/>
          <w:sz w:val="24"/>
          <w:szCs w:val="24"/>
        </w:rPr>
        <w:t>.</w:t>
      </w:r>
      <w:r>
        <w:rPr>
          <w:rFonts w:ascii="Garamond" w:hAnsi="Garamond" w:cs="Arial"/>
          <w:bCs/>
          <w:sz w:val="24"/>
          <w:szCs w:val="24"/>
        </w:rPr>
        <w:t xml:space="preserve">  </w:t>
      </w:r>
    </w:p>
    <w:p w:rsidR="00645D01" w:rsidRDefault="00645D01" w:rsidP="00645D01">
      <w:pPr>
        <w:pStyle w:val="ListParagraph"/>
        <w:spacing w:after="0" w:line="240" w:lineRule="auto"/>
        <w:jc w:val="both"/>
        <w:rPr>
          <w:rFonts w:ascii="Garamond" w:hAnsi="Garamond" w:cs="Arial"/>
          <w:bCs/>
          <w:sz w:val="24"/>
          <w:szCs w:val="24"/>
        </w:rPr>
      </w:pPr>
    </w:p>
    <w:p w:rsidR="00645D01" w:rsidRDefault="00645D01" w:rsidP="00645D01">
      <w:pPr>
        <w:pStyle w:val="ListParagraph"/>
        <w:spacing w:after="0" w:line="240" w:lineRule="auto"/>
        <w:jc w:val="both"/>
        <w:rPr>
          <w:rFonts w:ascii="Garamond" w:hAnsi="Garamond" w:cs="Arial"/>
          <w:bCs/>
          <w:sz w:val="24"/>
          <w:szCs w:val="24"/>
        </w:rPr>
      </w:pPr>
      <w:r w:rsidRPr="002D0B6A">
        <w:rPr>
          <w:rFonts w:ascii="Garamond" w:hAnsi="Garamond" w:cs="Arial"/>
          <w:bCs/>
          <w:sz w:val="24"/>
          <w:szCs w:val="24"/>
        </w:rPr>
        <w:t>The turnover of agricultural commodities was the highest at NCDEX (</w:t>
      </w:r>
      <w:r w:rsidRPr="002D0B6A">
        <w:rPr>
          <w:rFonts w:ascii="Tahoma" w:hAnsi="Tahoma" w:cs="Tahoma"/>
          <w:bCs/>
          <w:sz w:val="24"/>
          <w:szCs w:val="24"/>
        </w:rPr>
        <w:t>₹</w:t>
      </w:r>
      <w:r>
        <w:rPr>
          <w:rFonts w:ascii="Garamond" w:hAnsi="Garamond" w:cs="Arial"/>
          <w:bCs/>
          <w:sz w:val="24"/>
          <w:szCs w:val="24"/>
        </w:rPr>
        <w:t xml:space="preserve">29,092 </w:t>
      </w:r>
      <w:r w:rsidRPr="002D0B6A">
        <w:rPr>
          <w:rFonts w:ascii="Garamond" w:hAnsi="Garamond" w:cs="Arial"/>
          <w:bCs/>
          <w:sz w:val="24"/>
          <w:szCs w:val="24"/>
        </w:rPr>
        <w:t>crore) followed by MCX (</w:t>
      </w:r>
      <w:r w:rsidRPr="002D0B6A">
        <w:rPr>
          <w:rFonts w:ascii="Tahoma" w:hAnsi="Tahoma" w:cs="Tahoma"/>
          <w:bCs/>
          <w:sz w:val="24"/>
          <w:szCs w:val="24"/>
        </w:rPr>
        <w:t>₹</w:t>
      </w:r>
      <w:r>
        <w:rPr>
          <w:rFonts w:ascii="Garamond" w:hAnsi="Garamond" w:cs="Arial"/>
          <w:bCs/>
          <w:sz w:val="24"/>
          <w:szCs w:val="24"/>
        </w:rPr>
        <w:t>8,065</w:t>
      </w:r>
      <w:r w:rsidRPr="002D0B6A">
        <w:rPr>
          <w:rFonts w:ascii="Garamond" w:hAnsi="Garamond" w:cs="Arial"/>
          <w:bCs/>
          <w:sz w:val="24"/>
          <w:szCs w:val="24"/>
        </w:rPr>
        <w:t xml:space="preserve"> crore)</w:t>
      </w:r>
      <w:r>
        <w:rPr>
          <w:rFonts w:ascii="Garamond" w:hAnsi="Garamond" w:cs="Arial"/>
          <w:bCs/>
          <w:sz w:val="24"/>
          <w:szCs w:val="24"/>
        </w:rPr>
        <w:t>, BSE (</w:t>
      </w:r>
      <w:r w:rsidRPr="002D0B6A">
        <w:rPr>
          <w:rFonts w:ascii="Tahoma" w:hAnsi="Tahoma" w:cs="Tahoma"/>
          <w:bCs/>
          <w:sz w:val="24"/>
          <w:szCs w:val="24"/>
        </w:rPr>
        <w:t>₹</w:t>
      </w:r>
      <w:r w:rsidRPr="00570DD7">
        <w:rPr>
          <w:rFonts w:ascii="Garamond" w:hAnsi="Garamond" w:cs="Arial"/>
          <w:bCs/>
          <w:sz w:val="24"/>
          <w:szCs w:val="24"/>
        </w:rPr>
        <w:t>1</w:t>
      </w:r>
      <w:r>
        <w:rPr>
          <w:rFonts w:ascii="Garamond" w:hAnsi="Garamond" w:cs="Arial"/>
          <w:bCs/>
          <w:sz w:val="24"/>
          <w:szCs w:val="24"/>
        </w:rPr>
        <w:t>,</w:t>
      </w:r>
      <w:r w:rsidRPr="00570DD7">
        <w:rPr>
          <w:rFonts w:ascii="Garamond" w:hAnsi="Garamond" w:cs="Arial"/>
          <w:bCs/>
          <w:sz w:val="24"/>
          <w:szCs w:val="24"/>
        </w:rPr>
        <w:t>818 crore</w:t>
      </w:r>
      <w:r>
        <w:rPr>
          <w:rFonts w:ascii="Tahoma" w:hAnsi="Tahoma" w:cs="Tahoma"/>
          <w:bCs/>
          <w:sz w:val="24"/>
          <w:szCs w:val="24"/>
        </w:rPr>
        <w:t xml:space="preserve">) </w:t>
      </w:r>
      <w:r w:rsidRPr="00432E06">
        <w:rPr>
          <w:rFonts w:ascii="Garamond" w:hAnsi="Garamond" w:cs="Arial"/>
          <w:bCs/>
          <w:sz w:val="24"/>
          <w:szCs w:val="24"/>
        </w:rPr>
        <w:t>and</w:t>
      </w:r>
      <w:r>
        <w:rPr>
          <w:rFonts w:ascii="Tahoma" w:hAnsi="Tahoma" w:cs="Tahoma"/>
          <w:bCs/>
          <w:sz w:val="24"/>
          <w:szCs w:val="24"/>
        </w:rPr>
        <w:t xml:space="preserve"> </w:t>
      </w:r>
      <w:r w:rsidRPr="002D0B6A">
        <w:rPr>
          <w:rFonts w:ascii="Garamond" w:hAnsi="Garamond" w:cs="Arial"/>
          <w:bCs/>
          <w:sz w:val="24"/>
          <w:szCs w:val="24"/>
        </w:rPr>
        <w:t>ICEX (₹</w:t>
      </w:r>
      <w:r>
        <w:rPr>
          <w:rFonts w:ascii="Garamond" w:hAnsi="Garamond" w:cs="Arial"/>
          <w:bCs/>
          <w:sz w:val="24"/>
          <w:szCs w:val="24"/>
        </w:rPr>
        <w:t xml:space="preserve">190 </w:t>
      </w:r>
      <w:r w:rsidRPr="002D0B6A">
        <w:rPr>
          <w:rFonts w:ascii="Garamond" w:hAnsi="Garamond" w:cs="Arial"/>
          <w:bCs/>
          <w:sz w:val="24"/>
          <w:szCs w:val="24"/>
        </w:rPr>
        <w:t xml:space="preserve">crore). </w:t>
      </w:r>
    </w:p>
    <w:p w:rsidR="00645D01" w:rsidRDefault="00645D01" w:rsidP="00645D01">
      <w:pPr>
        <w:pStyle w:val="ListParagraph"/>
        <w:spacing w:after="0" w:line="240" w:lineRule="auto"/>
        <w:jc w:val="both"/>
        <w:rPr>
          <w:rFonts w:ascii="Garamond" w:hAnsi="Garamond" w:cs="Arial"/>
          <w:bCs/>
          <w:sz w:val="24"/>
          <w:szCs w:val="24"/>
        </w:rPr>
      </w:pPr>
    </w:p>
    <w:p w:rsidR="00645D01" w:rsidRDefault="00645D01" w:rsidP="00645D01">
      <w:pPr>
        <w:pStyle w:val="ListParagraph"/>
        <w:spacing w:after="0" w:line="240" w:lineRule="auto"/>
        <w:jc w:val="both"/>
        <w:rPr>
          <w:rFonts w:ascii="Garamond" w:hAnsi="Garamond" w:cs="Arial"/>
          <w:bCs/>
          <w:sz w:val="24"/>
          <w:szCs w:val="24"/>
        </w:rPr>
      </w:pPr>
      <w:r w:rsidRPr="002D0B6A">
        <w:rPr>
          <w:rFonts w:ascii="Garamond" w:hAnsi="Garamond" w:cs="Arial"/>
          <w:bCs/>
          <w:sz w:val="24"/>
          <w:szCs w:val="24"/>
        </w:rPr>
        <w:t>The turnover of agricultural and non- agricultural commodities at exchanges is shown in Figures 1</w:t>
      </w:r>
      <w:r>
        <w:rPr>
          <w:rFonts w:ascii="Garamond" w:hAnsi="Garamond" w:cs="Arial"/>
          <w:bCs/>
          <w:sz w:val="24"/>
          <w:szCs w:val="24"/>
        </w:rPr>
        <w:t>5</w:t>
      </w:r>
      <w:r w:rsidRPr="002D0B6A">
        <w:rPr>
          <w:rFonts w:ascii="Garamond" w:hAnsi="Garamond" w:cs="Arial"/>
          <w:bCs/>
          <w:sz w:val="24"/>
          <w:szCs w:val="24"/>
        </w:rPr>
        <w:t>, 1</w:t>
      </w:r>
      <w:r>
        <w:rPr>
          <w:rFonts w:ascii="Garamond" w:hAnsi="Garamond" w:cs="Arial"/>
          <w:bCs/>
          <w:sz w:val="24"/>
          <w:szCs w:val="24"/>
        </w:rPr>
        <w:t>6</w:t>
      </w:r>
      <w:r w:rsidRPr="002D0B6A">
        <w:rPr>
          <w:rFonts w:ascii="Garamond" w:hAnsi="Garamond" w:cs="Arial"/>
          <w:bCs/>
          <w:sz w:val="24"/>
          <w:szCs w:val="24"/>
        </w:rPr>
        <w:t xml:space="preserve"> and the details in Tables 67 to 7</w:t>
      </w:r>
      <w:r>
        <w:rPr>
          <w:rFonts w:ascii="Garamond" w:hAnsi="Garamond" w:cs="Arial"/>
          <w:bCs/>
          <w:sz w:val="24"/>
          <w:szCs w:val="24"/>
        </w:rPr>
        <w:t>1</w:t>
      </w:r>
      <w:r w:rsidRPr="002D0B6A">
        <w:rPr>
          <w:rFonts w:ascii="Garamond" w:hAnsi="Garamond" w:cs="Arial"/>
          <w:bCs/>
          <w:sz w:val="24"/>
          <w:szCs w:val="24"/>
        </w:rPr>
        <w:t>.</w:t>
      </w:r>
    </w:p>
    <w:p w:rsidR="00645D01" w:rsidRDefault="00645D01" w:rsidP="00645D01">
      <w:pPr>
        <w:pStyle w:val="ListParagraph"/>
        <w:spacing w:after="0" w:line="240" w:lineRule="auto"/>
        <w:jc w:val="both"/>
        <w:rPr>
          <w:rFonts w:ascii="Garamond" w:hAnsi="Garamond" w:cs="Arial"/>
          <w:bCs/>
          <w:sz w:val="24"/>
          <w:szCs w:val="24"/>
        </w:rPr>
      </w:pPr>
    </w:p>
    <w:p w:rsidR="00645D01" w:rsidRDefault="00645D01" w:rsidP="00645D01">
      <w:pPr>
        <w:pStyle w:val="ListParagraph"/>
        <w:spacing w:after="0" w:line="240" w:lineRule="auto"/>
        <w:jc w:val="center"/>
        <w:rPr>
          <w:rFonts w:ascii="Garamond" w:hAnsi="Garamond" w:cs="Arial"/>
          <w:b/>
          <w:bCs/>
          <w:color w:val="2E74B5" w:themeColor="accent1" w:themeShade="BF"/>
          <w:sz w:val="24"/>
          <w:szCs w:val="24"/>
        </w:rPr>
      </w:pPr>
      <w:r w:rsidRPr="00770C00">
        <w:rPr>
          <w:rFonts w:ascii="Garamond" w:hAnsi="Garamond" w:cs="Arial"/>
          <w:b/>
          <w:bCs/>
          <w:color w:val="2E74B5" w:themeColor="accent1" w:themeShade="BF"/>
          <w:sz w:val="24"/>
          <w:szCs w:val="24"/>
        </w:rPr>
        <w:t>Figure 1</w:t>
      </w:r>
      <w:r>
        <w:rPr>
          <w:rFonts w:ascii="Garamond" w:hAnsi="Garamond" w:cs="Arial"/>
          <w:b/>
          <w:bCs/>
          <w:color w:val="2E74B5" w:themeColor="accent1" w:themeShade="BF"/>
          <w:sz w:val="24"/>
          <w:szCs w:val="24"/>
        </w:rPr>
        <w:t>5</w:t>
      </w:r>
      <w:r w:rsidRPr="00770C00">
        <w:rPr>
          <w:rFonts w:ascii="Garamond" w:hAnsi="Garamond" w:cs="Arial"/>
          <w:b/>
          <w:bCs/>
          <w:color w:val="2E74B5" w:themeColor="accent1" w:themeShade="BF"/>
          <w:sz w:val="24"/>
          <w:szCs w:val="24"/>
        </w:rPr>
        <w:t xml:space="preserve">: Trends in </w:t>
      </w:r>
      <w:r>
        <w:rPr>
          <w:rFonts w:ascii="Garamond" w:hAnsi="Garamond" w:cs="Arial"/>
          <w:b/>
          <w:bCs/>
          <w:color w:val="2E74B5" w:themeColor="accent1" w:themeShade="BF"/>
          <w:sz w:val="24"/>
          <w:szCs w:val="24"/>
        </w:rPr>
        <w:t>t</w:t>
      </w:r>
      <w:r w:rsidRPr="00770C00">
        <w:rPr>
          <w:rFonts w:ascii="Garamond" w:hAnsi="Garamond" w:cs="Arial"/>
          <w:b/>
          <w:bCs/>
          <w:color w:val="2E74B5" w:themeColor="accent1" w:themeShade="BF"/>
          <w:sz w:val="24"/>
          <w:szCs w:val="24"/>
        </w:rPr>
        <w:t xml:space="preserve">urnover of </w:t>
      </w:r>
      <w:r>
        <w:rPr>
          <w:rFonts w:ascii="Garamond" w:hAnsi="Garamond" w:cs="Arial"/>
          <w:b/>
          <w:bCs/>
          <w:color w:val="2E74B5" w:themeColor="accent1" w:themeShade="BF"/>
          <w:sz w:val="24"/>
          <w:szCs w:val="24"/>
        </w:rPr>
        <w:t>a</w:t>
      </w:r>
      <w:r w:rsidRPr="00770C00">
        <w:rPr>
          <w:rFonts w:ascii="Garamond" w:hAnsi="Garamond" w:cs="Arial"/>
          <w:b/>
          <w:bCs/>
          <w:color w:val="2E74B5" w:themeColor="accent1" w:themeShade="BF"/>
          <w:sz w:val="24"/>
          <w:szCs w:val="24"/>
        </w:rPr>
        <w:t xml:space="preserve">gricultural </w:t>
      </w:r>
      <w:r>
        <w:rPr>
          <w:rFonts w:ascii="Garamond" w:hAnsi="Garamond" w:cs="Arial"/>
          <w:b/>
          <w:bCs/>
          <w:color w:val="2E74B5" w:themeColor="accent1" w:themeShade="BF"/>
          <w:sz w:val="24"/>
          <w:szCs w:val="24"/>
        </w:rPr>
        <w:t>c</w:t>
      </w:r>
      <w:r w:rsidRPr="00770C00">
        <w:rPr>
          <w:rFonts w:ascii="Garamond" w:hAnsi="Garamond" w:cs="Arial"/>
          <w:b/>
          <w:bCs/>
          <w:color w:val="2E74B5" w:themeColor="accent1" w:themeShade="BF"/>
          <w:sz w:val="24"/>
          <w:szCs w:val="24"/>
        </w:rPr>
        <w:t xml:space="preserve">ommodity </w:t>
      </w:r>
      <w:r>
        <w:rPr>
          <w:rFonts w:ascii="Garamond" w:hAnsi="Garamond" w:cs="Arial"/>
          <w:b/>
          <w:bCs/>
          <w:color w:val="2E74B5" w:themeColor="accent1" w:themeShade="BF"/>
          <w:sz w:val="24"/>
          <w:szCs w:val="24"/>
        </w:rPr>
        <w:t>d</w:t>
      </w:r>
      <w:r w:rsidRPr="00770C00">
        <w:rPr>
          <w:rFonts w:ascii="Garamond" w:hAnsi="Garamond" w:cs="Arial"/>
          <w:b/>
          <w:bCs/>
          <w:color w:val="2E74B5" w:themeColor="accent1" w:themeShade="BF"/>
          <w:sz w:val="24"/>
          <w:szCs w:val="24"/>
        </w:rPr>
        <w:t>erivatives (₹crore)</w:t>
      </w:r>
    </w:p>
    <w:p w:rsidR="00645D01" w:rsidRDefault="00645D01" w:rsidP="00645D01">
      <w:pPr>
        <w:pStyle w:val="ListParagraph"/>
        <w:spacing w:after="0" w:line="240" w:lineRule="auto"/>
        <w:jc w:val="center"/>
        <w:rPr>
          <w:rFonts w:ascii="Garamond" w:hAnsi="Garamond" w:cs="Arial"/>
          <w:b/>
          <w:bCs/>
          <w:color w:val="2E74B5" w:themeColor="accent1" w:themeShade="BF"/>
          <w:sz w:val="24"/>
          <w:szCs w:val="24"/>
        </w:rPr>
      </w:pPr>
    </w:p>
    <w:p w:rsidR="00645D01" w:rsidRDefault="00645D01" w:rsidP="00645D01">
      <w:pPr>
        <w:tabs>
          <w:tab w:val="left" w:pos="8647"/>
        </w:tabs>
        <w:ind w:left="1134" w:right="686" w:hanging="708"/>
        <w:rPr>
          <w:rFonts w:ascii="Garamond" w:hAnsi="Garamond" w:cs="Arial"/>
          <w:color w:val="262626" w:themeColor="text1" w:themeTint="D9"/>
        </w:rPr>
      </w:pPr>
      <w:r>
        <w:rPr>
          <w:noProof/>
          <w:lang w:val="en-IN" w:eastAsia="en-IN"/>
        </w:rPr>
        <w:drawing>
          <wp:inline distT="0" distB="0" distL="0" distR="0" wp14:anchorId="7C740AF5" wp14:editId="0AD566C6">
            <wp:extent cx="5829300" cy="2898475"/>
            <wp:effectExtent l="0" t="0" r="0" b="16510"/>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645D01" w:rsidRDefault="00645D01" w:rsidP="00645D01">
      <w:pPr>
        <w:ind w:left="1440"/>
        <w:jc w:val="both"/>
        <w:rPr>
          <w:rFonts w:ascii="Garamond" w:hAnsi="Garamond" w:cs="Arial"/>
          <w:color w:val="262626" w:themeColor="text1" w:themeTint="D9"/>
        </w:rPr>
      </w:pPr>
    </w:p>
    <w:p w:rsidR="00645D01" w:rsidRDefault="00645D01" w:rsidP="00645D01">
      <w:pPr>
        <w:ind w:left="1440"/>
        <w:jc w:val="both"/>
        <w:rPr>
          <w:rFonts w:ascii="Garamond" w:hAnsi="Garamond" w:cs="Arial"/>
          <w:color w:val="262626" w:themeColor="text1" w:themeTint="D9"/>
        </w:rPr>
      </w:pPr>
      <w:r>
        <w:rPr>
          <w:rFonts w:ascii="Garamond" w:hAnsi="Garamond" w:cs="Arial"/>
          <w:color w:val="262626" w:themeColor="text1" w:themeTint="D9"/>
        </w:rPr>
        <w:t xml:space="preserve">Note : i) </w:t>
      </w:r>
      <w:r w:rsidRPr="00D40554">
        <w:rPr>
          <w:rFonts w:ascii="Garamond" w:hAnsi="Garamond" w:cs="Arial"/>
          <w:color w:val="262626" w:themeColor="text1" w:themeTint="D9"/>
        </w:rPr>
        <w:t xml:space="preserve">Consequent </w:t>
      </w:r>
      <w:r>
        <w:rPr>
          <w:rFonts w:ascii="Garamond" w:hAnsi="Garamond" w:cs="Arial"/>
          <w:color w:val="262626" w:themeColor="text1" w:themeTint="D9"/>
        </w:rPr>
        <w:t>upon</w:t>
      </w:r>
      <w:r w:rsidRPr="00D40554">
        <w:rPr>
          <w:rFonts w:ascii="Garamond" w:hAnsi="Garamond" w:cs="Arial"/>
          <w:color w:val="262626" w:themeColor="text1" w:themeTint="D9"/>
        </w:rPr>
        <w:t xml:space="preserve"> merger of NMCE with ICEX, all  contracts of NMCE are transferred to ICEX w.e.f Sept</w:t>
      </w:r>
      <w:r>
        <w:rPr>
          <w:rFonts w:ascii="Garamond" w:hAnsi="Garamond" w:cs="Arial"/>
          <w:color w:val="262626" w:themeColor="text1" w:themeTint="D9"/>
        </w:rPr>
        <w:t xml:space="preserve">. </w:t>
      </w:r>
      <w:r w:rsidRPr="00D40554">
        <w:rPr>
          <w:rFonts w:ascii="Garamond" w:hAnsi="Garamond" w:cs="Arial"/>
          <w:color w:val="262626" w:themeColor="text1" w:themeTint="D9"/>
        </w:rPr>
        <w:t>24, 2</w:t>
      </w:r>
      <w:r>
        <w:rPr>
          <w:rFonts w:ascii="Garamond" w:hAnsi="Garamond" w:cs="Arial"/>
          <w:color w:val="262626" w:themeColor="text1" w:themeTint="D9"/>
        </w:rPr>
        <w:t>018. The trading data of NMCE are</w:t>
      </w:r>
      <w:r w:rsidRPr="00D40554">
        <w:rPr>
          <w:rFonts w:ascii="Garamond" w:hAnsi="Garamond" w:cs="Arial"/>
          <w:color w:val="262626" w:themeColor="text1" w:themeTint="D9"/>
        </w:rPr>
        <w:t xml:space="preserve"> added to agri. segment of ICEX.</w:t>
      </w:r>
    </w:p>
    <w:p w:rsidR="00645D01" w:rsidRPr="0087376C" w:rsidRDefault="00645D01" w:rsidP="00645D01">
      <w:pPr>
        <w:ind w:left="709"/>
        <w:rPr>
          <w:rFonts w:ascii="Garamond" w:hAnsi="Garamond"/>
          <w:b/>
          <w:color w:val="0D0D0D" w:themeColor="text1" w:themeTint="F2"/>
        </w:rPr>
      </w:pPr>
      <w:r w:rsidRPr="0087376C">
        <w:rPr>
          <w:rFonts w:ascii="Garamond" w:hAnsi="Garamond"/>
          <w:b/>
          <w:color w:val="0D0D0D" w:themeColor="text1" w:themeTint="F2"/>
        </w:rPr>
        <w:t>Source: MCX,</w:t>
      </w:r>
      <w:r>
        <w:rPr>
          <w:rFonts w:ascii="Garamond" w:hAnsi="Garamond"/>
          <w:b/>
          <w:color w:val="0D0D0D" w:themeColor="text1" w:themeTint="F2"/>
        </w:rPr>
        <w:t xml:space="preserve"> NCDEX &amp;</w:t>
      </w:r>
      <w:r w:rsidRPr="0087376C">
        <w:rPr>
          <w:rFonts w:ascii="Garamond" w:hAnsi="Garamond"/>
          <w:b/>
          <w:color w:val="0D0D0D" w:themeColor="text1" w:themeTint="F2"/>
        </w:rPr>
        <w:t xml:space="preserve"> </w:t>
      </w:r>
      <w:r>
        <w:rPr>
          <w:rFonts w:ascii="Garamond" w:hAnsi="Garamond"/>
          <w:b/>
          <w:color w:val="0D0D0D" w:themeColor="text1" w:themeTint="F2"/>
        </w:rPr>
        <w:t>ICEX</w:t>
      </w:r>
    </w:p>
    <w:p w:rsidR="00645D01" w:rsidRDefault="00645D01" w:rsidP="00645D01">
      <w:pPr>
        <w:spacing w:after="160" w:line="259" w:lineRule="auto"/>
        <w:ind w:left="720"/>
        <w:rPr>
          <w:rFonts w:ascii="Garamond" w:hAnsi="Garamond"/>
          <w:b/>
          <w:color w:val="365F91"/>
        </w:rPr>
      </w:pPr>
    </w:p>
    <w:p w:rsidR="00645D01" w:rsidRDefault="00645D01" w:rsidP="00645D01">
      <w:pPr>
        <w:spacing w:after="160" w:line="259" w:lineRule="auto"/>
        <w:ind w:left="720"/>
        <w:rPr>
          <w:rFonts w:ascii="Garamond" w:hAnsi="Garamond"/>
          <w:b/>
          <w:color w:val="365F91"/>
        </w:rPr>
      </w:pPr>
    </w:p>
    <w:p w:rsidR="00645D01" w:rsidRDefault="00645D01" w:rsidP="00645D01">
      <w:pPr>
        <w:spacing w:after="160" w:line="259" w:lineRule="auto"/>
        <w:ind w:left="720"/>
        <w:rPr>
          <w:rFonts w:ascii="Garamond" w:hAnsi="Garamond"/>
          <w:b/>
          <w:color w:val="365F91"/>
        </w:rPr>
      </w:pPr>
    </w:p>
    <w:p w:rsidR="00645D01" w:rsidRDefault="00645D01" w:rsidP="00645D01">
      <w:pPr>
        <w:spacing w:after="160" w:line="259" w:lineRule="auto"/>
        <w:ind w:left="720"/>
        <w:rPr>
          <w:rFonts w:ascii="Garamond" w:hAnsi="Garamond"/>
          <w:b/>
          <w:color w:val="365F91"/>
        </w:rPr>
      </w:pPr>
    </w:p>
    <w:p w:rsidR="00645D01" w:rsidRDefault="00645D01" w:rsidP="00645D01">
      <w:pPr>
        <w:spacing w:after="160" w:line="259" w:lineRule="auto"/>
        <w:ind w:left="720"/>
        <w:rPr>
          <w:rFonts w:ascii="Garamond" w:hAnsi="Garamond"/>
          <w:b/>
          <w:color w:val="365F91"/>
        </w:rPr>
      </w:pPr>
    </w:p>
    <w:p w:rsidR="00645D01" w:rsidRDefault="00645D01" w:rsidP="00645D01">
      <w:pPr>
        <w:spacing w:after="160" w:line="259" w:lineRule="auto"/>
        <w:ind w:left="720"/>
        <w:rPr>
          <w:rFonts w:ascii="Garamond" w:hAnsi="Garamond"/>
          <w:b/>
          <w:color w:val="365F91"/>
        </w:rPr>
      </w:pPr>
    </w:p>
    <w:p w:rsidR="00645D01" w:rsidRDefault="00645D01" w:rsidP="00645D01">
      <w:pPr>
        <w:spacing w:after="160" w:line="259" w:lineRule="auto"/>
        <w:ind w:left="720"/>
        <w:rPr>
          <w:rFonts w:ascii="Garamond" w:hAnsi="Garamond"/>
          <w:b/>
          <w:color w:val="365F91"/>
        </w:rPr>
      </w:pPr>
    </w:p>
    <w:p w:rsidR="00645D01" w:rsidRDefault="00645D01" w:rsidP="00645D01">
      <w:pPr>
        <w:spacing w:after="160" w:line="259" w:lineRule="auto"/>
        <w:ind w:left="720"/>
        <w:rPr>
          <w:rFonts w:ascii="Garamond" w:hAnsi="Garamond"/>
          <w:b/>
          <w:color w:val="365F91"/>
        </w:rPr>
      </w:pPr>
    </w:p>
    <w:p w:rsidR="00645D01" w:rsidRDefault="00645D01" w:rsidP="00645D01">
      <w:pPr>
        <w:spacing w:after="160" w:line="259" w:lineRule="auto"/>
        <w:ind w:left="720"/>
        <w:rPr>
          <w:rFonts w:ascii="Garamond" w:hAnsi="Garamond"/>
          <w:b/>
          <w:color w:val="365F91"/>
        </w:rPr>
      </w:pPr>
    </w:p>
    <w:p w:rsidR="00645D01" w:rsidRDefault="00645D01" w:rsidP="00645D01">
      <w:pPr>
        <w:spacing w:after="160" w:line="259" w:lineRule="auto"/>
        <w:ind w:left="720"/>
        <w:rPr>
          <w:noProof/>
          <w:lang w:val="en-IN" w:eastAsia="en-IN"/>
        </w:rPr>
      </w:pPr>
      <w:r>
        <w:rPr>
          <w:rFonts w:ascii="Garamond" w:hAnsi="Garamond"/>
          <w:b/>
          <w:color w:val="365F91"/>
        </w:rPr>
        <w:t xml:space="preserve">Figure 16: Trends in turnover of non-agricultural commodity derivatives - futures and options </w:t>
      </w:r>
    </w:p>
    <w:p w:rsidR="00645D01" w:rsidRDefault="00645D01" w:rsidP="00645D01">
      <w:pPr>
        <w:spacing w:after="160" w:line="259" w:lineRule="auto"/>
        <w:ind w:left="720"/>
        <w:rPr>
          <w:rFonts w:ascii="Garamond" w:hAnsi="Garamond"/>
          <w:b/>
          <w:color w:val="0D0D0D" w:themeColor="text1" w:themeTint="F2"/>
        </w:rPr>
      </w:pPr>
      <w:r>
        <w:rPr>
          <w:noProof/>
          <w:lang w:val="en-IN" w:eastAsia="en-IN"/>
        </w:rPr>
        <w:drawing>
          <wp:inline distT="0" distB="0" distL="0" distR="0" wp14:anchorId="37D46085" wp14:editId="698796B2">
            <wp:extent cx="5926455" cy="3467819"/>
            <wp:effectExtent l="0" t="0" r="17145" b="18415"/>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645D01" w:rsidRPr="0087376C" w:rsidRDefault="00645D01" w:rsidP="00645D01">
      <w:pPr>
        <w:spacing w:after="160" w:line="259" w:lineRule="auto"/>
        <w:ind w:left="720"/>
        <w:rPr>
          <w:rFonts w:ascii="Garamond" w:hAnsi="Garamond"/>
          <w:b/>
          <w:color w:val="0D0D0D" w:themeColor="text1" w:themeTint="F2"/>
        </w:rPr>
      </w:pPr>
      <w:r w:rsidRPr="0087376C">
        <w:rPr>
          <w:rFonts w:ascii="Garamond" w:hAnsi="Garamond"/>
          <w:b/>
          <w:color w:val="0D0D0D" w:themeColor="text1" w:themeTint="F2"/>
        </w:rPr>
        <w:t>Source: MCX, ICEX, BSE &amp; NSE</w:t>
      </w:r>
    </w:p>
    <w:p w:rsidR="00645D01" w:rsidRDefault="00645D01" w:rsidP="00645D01">
      <w:pPr>
        <w:spacing w:after="160" w:line="259" w:lineRule="auto"/>
        <w:rPr>
          <w:rFonts w:ascii="Garamond" w:hAnsi="Garamond" w:cs="Arial"/>
        </w:rPr>
      </w:pPr>
    </w:p>
    <w:p w:rsidR="00645D01" w:rsidRDefault="00645D01" w:rsidP="00645D01">
      <w:pPr>
        <w:spacing w:after="160" w:line="259" w:lineRule="auto"/>
        <w:rPr>
          <w:rFonts w:ascii="Garamond" w:hAnsi="Garamond" w:cs="Arial"/>
        </w:rPr>
      </w:pPr>
    </w:p>
    <w:p w:rsidR="00645D01" w:rsidRDefault="00645D01" w:rsidP="00645D01">
      <w:pPr>
        <w:spacing w:after="160" w:line="259" w:lineRule="auto"/>
        <w:rPr>
          <w:rFonts w:ascii="Garamond" w:hAnsi="Garamond" w:cs="Arial"/>
        </w:rPr>
      </w:pPr>
    </w:p>
    <w:p w:rsidR="00645D01" w:rsidRDefault="00645D01" w:rsidP="00645D01">
      <w:pPr>
        <w:spacing w:after="160" w:line="259" w:lineRule="auto"/>
        <w:rPr>
          <w:rFonts w:ascii="Garamond" w:hAnsi="Garamond" w:cs="Arial"/>
        </w:rPr>
      </w:pPr>
    </w:p>
    <w:p w:rsidR="00645D01" w:rsidRDefault="00645D01" w:rsidP="00645D01">
      <w:pPr>
        <w:spacing w:after="160" w:line="259" w:lineRule="auto"/>
        <w:rPr>
          <w:rFonts w:ascii="Garamond" w:hAnsi="Garamond" w:cs="Arial"/>
        </w:rPr>
      </w:pPr>
    </w:p>
    <w:p w:rsidR="00645D01" w:rsidRDefault="00645D01" w:rsidP="00645D01">
      <w:pPr>
        <w:spacing w:after="160" w:line="259" w:lineRule="auto"/>
        <w:rPr>
          <w:rFonts w:ascii="Garamond" w:hAnsi="Garamond" w:cs="Arial"/>
        </w:rPr>
      </w:pPr>
    </w:p>
    <w:p w:rsidR="00645D01" w:rsidRDefault="00645D01" w:rsidP="00645D01">
      <w:pPr>
        <w:spacing w:after="160" w:line="259" w:lineRule="auto"/>
        <w:rPr>
          <w:rFonts w:ascii="Garamond" w:hAnsi="Garamond" w:cs="Arial"/>
        </w:rPr>
      </w:pPr>
    </w:p>
    <w:p w:rsidR="00645D01" w:rsidRDefault="00645D01" w:rsidP="00645D01">
      <w:pPr>
        <w:spacing w:after="160" w:line="259" w:lineRule="auto"/>
        <w:rPr>
          <w:rFonts w:ascii="Garamond" w:hAnsi="Garamond" w:cs="Arial"/>
        </w:rPr>
      </w:pPr>
    </w:p>
    <w:p w:rsidR="00645D01" w:rsidRDefault="00645D01" w:rsidP="00645D01">
      <w:pPr>
        <w:spacing w:after="160" w:line="259" w:lineRule="auto"/>
        <w:rPr>
          <w:rFonts w:ascii="Garamond" w:hAnsi="Garamond" w:cs="Arial"/>
        </w:rPr>
      </w:pPr>
    </w:p>
    <w:p w:rsidR="00645D01" w:rsidRDefault="00645D01" w:rsidP="00645D01">
      <w:pPr>
        <w:spacing w:after="160" w:line="259" w:lineRule="auto"/>
        <w:rPr>
          <w:rFonts w:ascii="Garamond" w:hAnsi="Garamond" w:cs="Arial"/>
        </w:rPr>
      </w:pPr>
    </w:p>
    <w:p w:rsidR="00645D01" w:rsidRDefault="00645D01" w:rsidP="00645D01">
      <w:pPr>
        <w:spacing w:after="160" w:line="259" w:lineRule="auto"/>
        <w:rPr>
          <w:rFonts w:ascii="Garamond" w:hAnsi="Garamond" w:cs="Arial"/>
        </w:rPr>
      </w:pPr>
    </w:p>
    <w:p w:rsidR="00645D01" w:rsidRDefault="00645D01" w:rsidP="00645D01">
      <w:pPr>
        <w:spacing w:after="160" w:line="259" w:lineRule="auto"/>
        <w:rPr>
          <w:rFonts w:ascii="Garamond" w:hAnsi="Garamond" w:cs="Arial"/>
        </w:rPr>
      </w:pPr>
    </w:p>
    <w:p w:rsidR="00645D01" w:rsidRDefault="00645D01" w:rsidP="00645D01">
      <w:pPr>
        <w:spacing w:after="160" w:line="259" w:lineRule="auto"/>
        <w:rPr>
          <w:rFonts w:ascii="Garamond" w:hAnsi="Garamond" w:cs="Arial"/>
        </w:rPr>
      </w:pPr>
    </w:p>
    <w:p w:rsidR="00645D01" w:rsidRDefault="00645D01" w:rsidP="00645D01">
      <w:pPr>
        <w:spacing w:after="160" w:line="259" w:lineRule="auto"/>
        <w:rPr>
          <w:rFonts w:ascii="Garamond" w:hAnsi="Garamond" w:cs="Arial"/>
        </w:rPr>
      </w:pPr>
    </w:p>
    <w:p w:rsidR="00645D01" w:rsidRDefault="00645D01" w:rsidP="00645D01">
      <w:pPr>
        <w:spacing w:after="160" w:line="259" w:lineRule="auto"/>
        <w:rPr>
          <w:rFonts w:ascii="Garamond" w:hAnsi="Garamond" w:cs="Arial"/>
        </w:rPr>
      </w:pPr>
    </w:p>
    <w:p w:rsidR="00645D01" w:rsidRDefault="00645D01" w:rsidP="00645D01">
      <w:pPr>
        <w:spacing w:after="160" w:line="259" w:lineRule="auto"/>
        <w:rPr>
          <w:rFonts w:ascii="Garamond" w:hAnsi="Garamond" w:cs="Arial"/>
        </w:rPr>
      </w:pPr>
    </w:p>
    <w:p w:rsidR="00645D01" w:rsidRDefault="00645D01" w:rsidP="00645D01">
      <w:pPr>
        <w:spacing w:after="160" w:line="259" w:lineRule="auto"/>
        <w:rPr>
          <w:rFonts w:ascii="Garamond" w:hAnsi="Garamond" w:cs="Arial"/>
        </w:rPr>
      </w:pPr>
      <w:r w:rsidRPr="00322D2F">
        <w:rPr>
          <w:rFonts w:ascii="Garamond" w:hAnsi="Garamond" w:cs="Arial"/>
        </w:rPr>
        <w:t xml:space="preserve">The following chart provides a snapshot of the </w:t>
      </w:r>
      <w:r>
        <w:rPr>
          <w:rFonts w:ascii="Garamond" w:hAnsi="Garamond" w:cs="Arial"/>
        </w:rPr>
        <w:t xml:space="preserve">percentage </w:t>
      </w:r>
      <w:r w:rsidRPr="00322D2F">
        <w:rPr>
          <w:rFonts w:ascii="Garamond" w:hAnsi="Garamond" w:cs="Arial"/>
        </w:rPr>
        <w:t xml:space="preserve">gain/loss in futures prices </w:t>
      </w:r>
      <w:r>
        <w:rPr>
          <w:rFonts w:ascii="Garamond" w:hAnsi="Garamond" w:cs="Arial"/>
        </w:rPr>
        <w:t>in</w:t>
      </w:r>
      <w:r w:rsidRPr="00322D2F">
        <w:rPr>
          <w:rFonts w:ascii="Garamond" w:hAnsi="Garamond" w:cs="Arial"/>
        </w:rPr>
        <w:t xml:space="preserve"> near month contracts of the commodities traded at the exchanges.</w:t>
      </w:r>
    </w:p>
    <w:p w:rsidR="00645D01" w:rsidRDefault="00645D01" w:rsidP="00645D01">
      <w:pPr>
        <w:spacing w:after="160" w:line="259" w:lineRule="auto"/>
        <w:rPr>
          <w:noProof/>
          <w:lang w:val="en-IN" w:eastAsia="en-IN"/>
        </w:rPr>
      </w:pPr>
      <w:r>
        <w:rPr>
          <w:noProof/>
          <w:lang w:val="en-IN" w:eastAsia="en-IN"/>
        </w:rPr>
        <w:drawing>
          <wp:inline distT="0" distB="0" distL="0" distR="0" wp14:anchorId="11AD1657" wp14:editId="383EBBC2">
            <wp:extent cx="5600700" cy="7686675"/>
            <wp:effectExtent l="0" t="0" r="0" b="9525"/>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986F56" w:rsidRDefault="00645D01" w:rsidP="00645D01">
      <w:pPr>
        <w:spacing w:after="160" w:line="259" w:lineRule="auto"/>
        <w:rPr>
          <w:rFonts w:ascii="Garamond" w:hAnsi="Garamond" w:cs="Arial"/>
          <w:b/>
        </w:rPr>
      </w:pPr>
      <w:r>
        <w:rPr>
          <w:rFonts w:ascii="Garamond" w:hAnsi="Garamond" w:cs="Arial"/>
          <w:b/>
        </w:rPr>
        <w:t>Source: MCX, NCDEX, ICEX, BSE and NSE</w:t>
      </w:r>
    </w:p>
    <w:p w:rsidR="00986F56" w:rsidRPr="006C0BE1" w:rsidRDefault="00986F56" w:rsidP="00986F56">
      <w:pPr>
        <w:pStyle w:val="ListParagraph"/>
        <w:spacing w:after="0" w:line="240" w:lineRule="auto"/>
        <w:ind w:left="709"/>
        <w:jc w:val="center"/>
        <w:rPr>
          <w:rFonts w:ascii="Garamond" w:hAnsi="Garamond" w:cs="Arial"/>
          <w:bCs/>
          <w:sz w:val="24"/>
          <w:szCs w:val="24"/>
        </w:rPr>
      </w:pPr>
    </w:p>
    <w:p w:rsidR="009A6A9E" w:rsidRPr="002726A8" w:rsidRDefault="009A6A9E" w:rsidP="00454926">
      <w:pPr>
        <w:outlineLvl w:val="0"/>
        <w:rPr>
          <w:rFonts w:ascii="Garamond" w:hAnsi="Garamond" w:cstheme="minorBidi"/>
          <w:b/>
          <w:szCs w:val="28"/>
          <w:lang w:bidi="bn-IN"/>
        </w:rPr>
      </w:pPr>
    </w:p>
    <w:p w:rsidR="009A6A9E" w:rsidRPr="002726A8" w:rsidRDefault="009A6A9E" w:rsidP="00454926">
      <w:pPr>
        <w:outlineLvl w:val="0"/>
        <w:rPr>
          <w:rFonts w:ascii="Garamond" w:hAnsi="Garamond" w:cstheme="minorBidi"/>
          <w:b/>
          <w:szCs w:val="28"/>
          <w:lang w:bidi="bn-IN"/>
        </w:rPr>
      </w:pPr>
    </w:p>
    <w:p w:rsidR="00454926" w:rsidRPr="002726A8" w:rsidRDefault="00927D43" w:rsidP="00927D43">
      <w:pPr>
        <w:jc w:val="center"/>
        <w:outlineLvl w:val="0"/>
        <w:rPr>
          <w:rFonts w:ascii="Garamond" w:hAnsi="Garamond" w:cstheme="minorBidi"/>
          <w:b/>
          <w:szCs w:val="28"/>
          <w:lang w:bidi="bn-IN"/>
        </w:rPr>
      </w:pPr>
      <w:r w:rsidRPr="002726A8">
        <w:rPr>
          <w:rFonts w:ascii="Garamond" w:hAnsi="Garamond" w:cs="Helvetica"/>
          <w:b/>
          <w:color w:val="000099"/>
          <w:sz w:val="32"/>
          <w:szCs w:val="40"/>
        </w:rPr>
        <w:t>OVERVIEW OF THE GLOBAL FINANCIAL MARKETS</w:t>
      </w:r>
    </w:p>
    <w:p w:rsidR="00454926" w:rsidRPr="002726A8" w:rsidRDefault="00454926" w:rsidP="00454926">
      <w:pPr>
        <w:jc w:val="both"/>
        <w:rPr>
          <w:rFonts w:ascii="Garamond" w:eastAsia="Times New Roman" w:hAnsi="Garamond" w:cs="Arial"/>
          <w:color w:val="0000FF"/>
          <w:lang w:eastAsia="en-GB"/>
        </w:rPr>
      </w:pPr>
    </w:p>
    <w:p w:rsidR="002B2DA3" w:rsidRDefault="002B2DA3" w:rsidP="002B2DA3">
      <w:pPr>
        <w:jc w:val="both"/>
        <w:rPr>
          <w:rFonts w:ascii="Garamond" w:eastAsia="Times New Roman" w:hAnsi="Garamond" w:cs="Arial"/>
          <w:lang w:eastAsia="en-GB"/>
        </w:rPr>
      </w:pPr>
      <w:r>
        <w:rPr>
          <w:rFonts w:ascii="Garamond" w:eastAsia="Times New Roman" w:hAnsi="Garamond" w:cs="Arial"/>
          <w:lang w:eastAsia="en-GB"/>
        </w:rPr>
        <w:t xml:space="preserve">Although the global economy grew at a solid pace </w:t>
      </w:r>
      <w:r w:rsidRPr="00D95240">
        <w:rPr>
          <w:rFonts w:ascii="Garamond" w:eastAsia="Times New Roman" w:hAnsi="Garamond" w:cs="Arial"/>
          <w:lang w:eastAsia="en-GB"/>
        </w:rPr>
        <w:t xml:space="preserve">in 2018 </w:t>
      </w:r>
      <w:r>
        <w:rPr>
          <w:rFonts w:ascii="Garamond" w:eastAsia="Times New Roman" w:hAnsi="Garamond" w:cs="Arial"/>
          <w:lang w:eastAsia="en-GB"/>
        </w:rPr>
        <w:t>(3.7 per cent according IMF, 3.6 per cent according to OECD and 3 per cent according to World Bank) on the back of</w:t>
      </w:r>
      <w:r w:rsidRPr="0030754F">
        <w:rPr>
          <w:rFonts w:ascii="Garamond" w:eastAsia="Times New Roman" w:hAnsi="Garamond" w:cs="Arial"/>
          <w:lang w:eastAsia="en-GB"/>
        </w:rPr>
        <w:t xml:space="preserve"> a strong fiscal expansion in the United States of America</w:t>
      </w:r>
      <w:r>
        <w:rPr>
          <w:rFonts w:ascii="Garamond" w:eastAsia="Times New Roman" w:hAnsi="Garamond" w:cs="Arial"/>
          <w:lang w:eastAsia="en-GB"/>
        </w:rPr>
        <w:t xml:space="preserve"> and accommodative monetary policies by most of the central banks across the world</w:t>
      </w:r>
      <w:r w:rsidRPr="0030754F">
        <w:rPr>
          <w:rFonts w:ascii="Garamond" w:eastAsia="Times New Roman" w:hAnsi="Garamond" w:cs="Arial"/>
          <w:lang w:eastAsia="en-GB"/>
        </w:rPr>
        <w:t xml:space="preserve">, </w:t>
      </w:r>
      <w:r>
        <w:rPr>
          <w:rFonts w:ascii="Garamond" w:eastAsia="Times New Roman" w:hAnsi="Garamond" w:cs="Arial"/>
          <w:lang w:eastAsia="en-GB"/>
        </w:rPr>
        <w:t xml:space="preserve">the risks to the outlook for global economy remain tilted downwards on the concerns of impending monetary tightening and slowdown in the global trade. </w:t>
      </w:r>
    </w:p>
    <w:p w:rsidR="002B2DA3" w:rsidRDefault="002B2DA3" w:rsidP="002B2DA3">
      <w:pPr>
        <w:jc w:val="both"/>
        <w:rPr>
          <w:rFonts w:ascii="Garamond" w:eastAsia="Times New Roman" w:hAnsi="Garamond" w:cs="Arial"/>
          <w:lang w:eastAsia="en-GB"/>
        </w:rPr>
      </w:pPr>
    </w:p>
    <w:p w:rsidR="002B2DA3" w:rsidRDefault="002B2DA3" w:rsidP="002B2DA3">
      <w:pPr>
        <w:jc w:val="both"/>
        <w:rPr>
          <w:rFonts w:ascii="Garamond" w:eastAsia="Times New Roman" w:hAnsi="Garamond" w:cs="Arial"/>
          <w:lang w:eastAsia="en-GB"/>
        </w:rPr>
      </w:pPr>
      <w:r>
        <w:rPr>
          <w:rFonts w:ascii="Garamond" w:eastAsia="Times New Roman" w:hAnsi="Garamond" w:cs="Arial"/>
          <w:lang w:eastAsia="en-GB"/>
        </w:rPr>
        <w:t xml:space="preserve">In February 2019, IMF slashed its </w:t>
      </w:r>
      <w:r w:rsidRPr="0023057A">
        <w:rPr>
          <w:rFonts w:ascii="Garamond" w:eastAsia="Times New Roman" w:hAnsi="Garamond" w:cs="Arial"/>
          <w:lang w:eastAsia="en-GB"/>
        </w:rPr>
        <w:t xml:space="preserve">global </w:t>
      </w:r>
      <w:r>
        <w:rPr>
          <w:rFonts w:ascii="Garamond" w:eastAsia="Times New Roman" w:hAnsi="Garamond" w:cs="Arial"/>
          <w:lang w:eastAsia="en-GB"/>
        </w:rPr>
        <w:t>growth outlook for 2019 and 2020 marginally lower to 3.5 per cent and 3.6 per cent respectively,</w:t>
      </w:r>
      <w:r w:rsidRPr="003C6B4A">
        <w:rPr>
          <w:rFonts w:ascii="Garamond" w:eastAsia="Times New Roman" w:hAnsi="Garamond" w:cs="Arial"/>
          <w:lang w:eastAsia="en-GB"/>
        </w:rPr>
        <w:t xml:space="preserve"> mainly due to negative effects of tariff increases enacted in the US and China, and softer momentum in Europe in the second half of 2018.</w:t>
      </w:r>
      <w:r>
        <w:rPr>
          <w:rFonts w:ascii="Garamond" w:eastAsia="Times New Roman" w:hAnsi="Garamond" w:cs="Arial"/>
          <w:lang w:eastAsia="en-GB"/>
        </w:rPr>
        <w:t xml:space="preserve"> In March 2019, t</w:t>
      </w:r>
      <w:r w:rsidRPr="00AB5971">
        <w:rPr>
          <w:rFonts w:ascii="Garamond" w:eastAsia="Times New Roman" w:hAnsi="Garamond" w:cs="Arial"/>
          <w:lang w:eastAsia="en-GB"/>
        </w:rPr>
        <w:t xml:space="preserve">he Organization for Economic Co-Operation &amp; Development (OECD) cut its forecasts for the world economy to 3.3 </w:t>
      </w:r>
      <w:r>
        <w:rPr>
          <w:rFonts w:ascii="Garamond" w:eastAsia="Times New Roman" w:hAnsi="Garamond" w:cs="Arial"/>
          <w:lang w:eastAsia="en-GB"/>
        </w:rPr>
        <w:t>per cent</w:t>
      </w:r>
      <w:r w:rsidRPr="00AB5971">
        <w:rPr>
          <w:rFonts w:ascii="Garamond" w:eastAsia="Times New Roman" w:hAnsi="Garamond" w:cs="Arial"/>
          <w:lang w:eastAsia="en-GB"/>
        </w:rPr>
        <w:t xml:space="preserve"> in 2019 and 3.4 </w:t>
      </w:r>
      <w:r>
        <w:rPr>
          <w:rFonts w:ascii="Garamond" w:eastAsia="Times New Roman" w:hAnsi="Garamond" w:cs="Arial"/>
          <w:lang w:eastAsia="en-GB"/>
        </w:rPr>
        <w:t>per cent</w:t>
      </w:r>
      <w:r w:rsidRPr="00AB5971">
        <w:rPr>
          <w:rFonts w:ascii="Garamond" w:eastAsia="Times New Roman" w:hAnsi="Garamond" w:cs="Arial"/>
          <w:lang w:eastAsia="en-GB"/>
        </w:rPr>
        <w:t xml:space="preserve"> in 2020.</w:t>
      </w:r>
      <w:r>
        <w:rPr>
          <w:rFonts w:ascii="Garamond" w:eastAsia="Times New Roman" w:hAnsi="Garamond" w:cs="Arial"/>
          <w:lang w:eastAsia="en-GB"/>
        </w:rPr>
        <w:t xml:space="preserve">  </w:t>
      </w:r>
      <w:r w:rsidRPr="00A63777">
        <w:rPr>
          <w:rFonts w:ascii="Garamond" w:eastAsia="Times New Roman" w:hAnsi="Garamond" w:cs="Arial"/>
          <w:lang w:eastAsia="en-GB"/>
        </w:rPr>
        <w:t xml:space="preserve">Earlier in January 2019, World Bank also had cut its growth projections for 2019 and 2020 by 0.1 </w:t>
      </w:r>
      <w:r>
        <w:rPr>
          <w:rFonts w:ascii="Garamond" w:eastAsia="Times New Roman" w:hAnsi="Garamond" w:cs="Arial"/>
          <w:lang w:eastAsia="en-GB"/>
        </w:rPr>
        <w:t>percent</w:t>
      </w:r>
      <w:r w:rsidRPr="00A63777">
        <w:rPr>
          <w:rFonts w:ascii="Garamond" w:eastAsia="Times New Roman" w:hAnsi="Garamond" w:cs="Arial"/>
          <w:lang w:eastAsia="en-GB"/>
        </w:rPr>
        <w:t xml:space="preserve">age points to 2.9 </w:t>
      </w:r>
      <w:r>
        <w:rPr>
          <w:rFonts w:ascii="Garamond" w:eastAsia="Times New Roman" w:hAnsi="Garamond" w:cs="Arial"/>
          <w:lang w:eastAsia="en-GB"/>
        </w:rPr>
        <w:t>per cent</w:t>
      </w:r>
      <w:r w:rsidRPr="00A63777">
        <w:rPr>
          <w:rFonts w:ascii="Garamond" w:eastAsia="Times New Roman" w:hAnsi="Garamond" w:cs="Arial"/>
          <w:lang w:eastAsia="en-GB"/>
        </w:rPr>
        <w:t xml:space="preserve"> in 2019 and 2.8 </w:t>
      </w:r>
      <w:r>
        <w:rPr>
          <w:rFonts w:ascii="Garamond" w:eastAsia="Times New Roman" w:hAnsi="Garamond" w:cs="Arial"/>
          <w:lang w:eastAsia="en-GB"/>
        </w:rPr>
        <w:t xml:space="preserve">per cent in 2020 on account of </w:t>
      </w:r>
      <w:r w:rsidRPr="00A63777">
        <w:rPr>
          <w:rFonts w:ascii="Garamond" w:eastAsia="Times New Roman" w:hAnsi="Garamond" w:cs="Arial"/>
          <w:lang w:eastAsia="en-GB"/>
        </w:rPr>
        <w:t xml:space="preserve">softening in </w:t>
      </w:r>
      <w:r>
        <w:rPr>
          <w:rFonts w:ascii="Garamond" w:eastAsia="Times New Roman" w:hAnsi="Garamond" w:cs="Arial"/>
          <w:lang w:eastAsia="en-GB"/>
        </w:rPr>
        <w:t>i</w:t>
      </w:r>
      <w:r w:rsidRPr="00A63777">
        <w:rPr>
          <w:rFonts w:ascii="Garamond" w:eastAsia="Times New Roman" w:hAnsi="Garamond" w:cs="Arial"/>
          <w:lang w:eastAsia="en-GB"/>
        </w:rPr>
        <w:t>nternational trade and manufacturing activity, rising trade tensions, and due to pressure in the financial markets of some of the emerging economies.</w:t>
      </w:r>
    </w:p>
    <w:p w:rsidR="002B2DA3" w:rsidRPr="00A63777" w:rsidRDefault="002B2DA3" w:rsidP="002B2DA3">
      <w:pPr>
        <w:jc w:val="both"/>
        <w:rPr>
          <w:rFonts w:ascii="Garamond" w:eastAsia="Times New Roman" w:hAnsi="Garamond" w:cs="Arial"/>
          <w:lang w:eastAsia="en-GB"/>
        </w:rPr>
      </w:pPr>
    </w:p>
    <w:p w:rsidR="002B2DA3" w:rsidRPr="00F36F7E" w:rsidRDefault="002B2DA3" w:rsidP="002B2DA3">
      <w:pPr>
        <w:jc w:val="both"/>
        <w:rPr>
          <w:rFonts w:ascii="Garamond" w:eastAsia="Times New Roman" w:hAnsi="Garamond" w:cs="Arial"/>
          <w:b/>
          <w:lang w:eastAsia="en-GB"/>
        </w:rPr>
      </w:pPr>
      <w:r>
        <w:rPr>
          <w:rFonts w:ascii="Garamond" w:eastAsia="Times New Roman" w:hAnsi="Garamond" w:cs="Arial"/>
          <w:b/>
          <w:lang w:eastAsia="en-GB"/>
        </w:rPr>
        <w:t xml:space="preserve">Table A1: </w:t>
      </w:r>
      <w:r w:rsidRPr="00F36F7E">
        <w:rPr>
          <w:rFonts w:ascii="Garamond" w:eastAsia="Times New Roman" w:hAnsi="Garamond" w:cs="Arial"/>
          <w:b/>
          <w:lang w:eastAsia="en-GB"/>
        </w:rPr>
        <w:t xml:space="preserve">GDP Growth Rate Forecast (in </w:t>
      </w:r>
      <w:r>
        <w:rPr>
          <w:rFonts w:ascii="Garamond" w:eastAsia="Times New Roman" w:hAnsi="Garamond" w:cs="Arial"/>
          <w:b/>
          <w:lang w:eastAsia="en-GB"/>
        </w:rPr>
        <w:t>per cent</w:t>
      </w:r>
      <w:r w:rsidRPr="00F36F7E">
        <w:rPr>
          <w:rFonts w:ascii="Garamond" w:eastAsia="Times New Roman" w:hAnsi="Garamond" w:cs="Arial"/>
          <w:b/>
          <w:lang w:eastAsia="en-GB"/>
        </w:rPr>
        <w:t>) - India vs Global</w:t>
      </w:r>
    </w:p>
    <w:tbl>
      <w:tblPr>
        <w:tblStyle w:val="TableGrid"/>
        <w:tblW w:w="0" w:type="auto"/>
        <w:tblInd w:w="108" w:type="dxa"/>
        <w:tblLook w:val="04A0" w:firstRow="1" w:lastRow="0" w:firstColumn="1" w:lastColumn="0" w:noHBand="0" w:noVBand="1"/>
      </w:tblPr>
      <w:tblGrid>
        <w:gridCol w:w="1421"/>
        <w:gridCol w:w="1001"/>
        <w:gridCol w:w="1001"/>
        <w:gridCol w:w="1002"/>
        <w:gridCol w:w="1019"/>
        <w:gridCol w:w="1052"/>
        <w:gridCol w:w="1052"/>
      </w:tblGrid>
      <w:tr w:rsidR="002B2DA3" w:rsidRPr="001F4431" w:rsidTr="002B2DA3">
        <w:trPr>
          <w:trHeight w:val="237"/>
        </w:trPr>
        <w:tc>
          <w:tcPr>
            <w:tcW w:w="1421" w:type="dxa"/>
            <w:shd w:val="clear" w:color="auto" w:fill="FBE4D5" w:themeFill="accent2" w:themeFillTint="33"/>
          </w:tcPr>
          <w:p w:rsidR="002B2DA3" w:rsidRPr="001F4431" w:rsidRDefault="002B2DA3" w:rsidP="002B2DA3">
            <w:pPr>
              <w:jc w:val="both"/>
              <w:rPr>
                <w:rFonts w:ascii="Garamond" w:hAnsi="Garamond" w:cs="Arial"/>
                <w:b/>
                <w:sz w:val="24"/>
                <w:szCs w:val="24"/>
                <w:lang w:eastAsia="en-GB"/>
              </w:rPr>
            </w:pPr>
          </w:p>
        </w:tc>
        <w:tc>
          <w:tcPr>
            <w:tcW w:w="3004" w:type="dxa"/>
            <w:gridSpan w:val="3"/>
            <w:shd w:val="clear" w:color="auto" w:fill="FBE4D5" w:themeFill="accent2" w:themeFillTint="33"/>
          </w:tcPr>
          <w:p w:rsidR="002B2DA3" w:rsidRPr="001F4431" w:rsidRDefault="002B2DA3" w:rsidP="002B2DA3">
            <w:pPr>
              <w:jc w:val="center"/>
              <w:rPr>
                <w:rFonts w:ascii="Garamond" w:hAnsi="Garamond" w:cs="Arial"/>
                <w:b/>
                <w:sz w:val="24"/>
                <w:szCs w:val="24"/>
                <w:lang w:eastAsia="en-GB"/>
              </w:rPr>
            </w:pPr>
            <w:r w:rsidRPr="001F4431">
              <w:rPr>
                <w:rFonts w:ascii="Garamond" w:hAnsi="Garamond" w:cs="Arial"/>
                <w:b/>
                <w:sz w:val="24"/>
                <w:szCs w:val="24"/>
                <w:lang w:eastAsia="en-GB"/>
              </w:rPr>
              <w:t>Global</w:t>
            </w:r>
          </w:p>
        </w:tc>
        <w:tc>
          <w:tcPr>
            <w:tcW w:w="3051" w:type="dxa"/>
            <w:gridSpan w:val="3"/>
            <w:shd w:val="clear" w:color="auto" w:fill="FBE4D5" w:themeFill="accent2" w:themeFillTint="33"/>
          </w:tcPr>
          <w:p w:rsidR="002B2DA3" w:rsidRPr="001F4431" w:rsidRDefault="002B2DA3" w:rsidP="002B2DA3">
            <w:pPr>
              <w:jc w:val="center"/>
              <w:rPr>
                <w:rFonts w:ascii="Garamond" w:hAnsi="Garamond" w:cs="Arial"/>
                <w:b/>
                <w:sz w:val="24"/>
                <w:szCs w:val="24"/>
                <w:lang w:eastAsia="en-GB"/>
              </w:rPr>
            </w:pPr>
            <w:r w:rsidRPr="001F4431">
              <w:rPr>
                <w:rFonts w:ascii="Garamond" w:hAnsi="Garamond" w:cs="Arial"/>
                <w:b/>
                <w:sz w:val="24"/>
                <w:szCs w:val="24"/>
                <w:lang w:eastAsia="en-GB"/>
              </w:rPr>
              <w:t>India</w:t>
            </w:r>
          </w:p>
        </w:tc>
      </w:tr>
      <w:tr w:rsidR="002B2DA3" w:rsidRPr="00A63777" w:rsidTr="002B2DA3">
        <w:trPr>
          <w:trHeight w:val="237"/>
        </w:trPr>
        <w:tc>
          <w:tcPr>
            <w:tcW w:w="1421" w:type="dxa"/>
            <w:shd w:val="clear" w:color="auto" w:fill="FBE4D5" w:themeFill="accent2" w:themeFillTint="33"/>
          </w:tcPr>
          <w:p w:rsidR="002B2DA3" w:rsidRPr="00A63777" w:rsidRDefault="002B2DA3" w:rsidP="002B2DA3">
            <w:pPr>
              <w:jc w:val="both"/>
              <w:rPr>
                <w:rFonts w:ascii="Garamond" w:hAnsi="Garamond" w:cs="Arial"/>
                <w:sz w:val="24"/>
                <w:szCs w:val="24"/>
                <w:lang w:eastAsia="en-GB"/>
              </w:rPr>
            </w:pPr>
          </w:p>
        </w:tc>
        <w:tc>
          <w:tcPr>
            <w:tcW w:w="1001" w:type="dxa"/>
            <w:shd w:val="clear" w:color="auto" w:fill="FBE4D5" w:themeFill="accent2" w:themeFillTint="33"/>
          </w:tcPr>
          <w:p w:rsidR="002B2DA3" w:rsidRPr="00A63777" w:rsidRDefault="002B2DA3" w:rsidP="002B2DA3">
            <w:pPr>
              <w:jc w:val="both"/>
              <w:rPr>
                <w:rFonts w:ascii="Garamond" w:hAnsi="Garamond" w:cs="Arial"/>
                <w:sz w:val="24"/>
                <w:szCs w:val="24"/>
                <w:lang w:eastAsia="en-GB"/>
              </w:rPr>
            </w:pPr>
            <w:r w:rsidRPr="00A63777">
              <w:rPr>
                <w:rFonts w:ascii="Garamond" w:hAnsi="Garamond" w:cs="Arial"/>
                <w:sz w:val="24"/>
                <w:szCs w:val="24"/>
                <w:lang w:eastAsia="en-GB"/>
              </w:rPr>
              <w:t>2018</w:t>
            </w:r>
            <w:r w:rsidRPr="00A63777">
              <w:rPr>
                <w:rFonts w:ascii="Garamond" w:hAnsi="Garamond" w:cs="Arial"/>
                <w:sz w:val="24"/>
                <w:szCs w:val="24"/>
                <w:vertAlign w:val="superscript"/>
                <w:lang w:eastAsia="en-GB"/>
              </w:rPr>
              <w:t>*</w:t>
            </w:r>
          </w:p>
        </w:tc>
        <w:tc>
          <w:tcPr>
            <w:tcW w:w="1001" w:type="dxa"/>
            <w:shd w:val="clear" w:color="auto" w:fill="FBE4D5" w:themeFill="accent2" w:themeFillTint="33"/>
          </w:tcPr>
          <w:p w:rsidR="002B2DA3" w:rsidRPr="00A63777" w:rsidRDefault="002B2DA3" w:rsidP="002B2DA3">
            <w:pPr>
              <w:jc w:val="both"/>
              <w:rPr>
                <w:rFonts w:ascii="Garamond" w:hAnsi="Garamond" w:cs="Arial"/>
                <w:sz w:val="24"/>
                <w:szCs w:val="24"/>
                <w:lang w:eastAsia="en-GB"/>
              </w:rPr>
            </w:pPr>
            <w:r w:rsidRPr="00A63777">
              <w:rPr>
                <w:rFonts w:ascii="Garamond" w:hAnsi="Garamond" w:cs="Arial"/>
                <w:sz w:val="24"/>
                <w:szCs w:val="24"/>
                <w:lang w:eastAsia="en-GB"/>
              </w:rPr>
              <w:t>2019</w:t>
            </w:r>
            <w:r w:rsidRPr="00A63777">
              <w:rPr>
                <w:rFonts w:ascii="Garamond" w:hAnsi="Garamond" w:cs="Arial"/>
                <w:sz w:val="24"/>
                <w:szCs w:val="24"/>
                <w:vertAlign w:val="superscript"/>
                <w:lang w:eastAsia="en-GB"/>
              </w:rPr>
              <w:t>#</w:t>
            </w:r>
          </w:p>
        </w:tc>
        <w:tc>
          <w:tcPr>
            <w:tcW w:w="1001" w:type="dxa"/>
            <w:shd w:val="clear" w:color="auto" w:fill="FBE4D5" w:themeFill="accent2" w:themeFillTint="33"/>
          </w:tcPr>
          <w:p w:rsidR="002B2DA3" w:rsidRPr="00A63777" w:rsidRDefault="002B2DA3" w:rsidP="002B2DA3">
            <w:pPr>
              <w:jc w:val="both"/>
              <w:rPr>
                <w:rFonts w:ascii="Garamond" w:hAnsi="Garamond" w:cs="Arial"/>
                <w:sz w:val="24"/>
                <w:szCs w:val="24"/>
                <w:lang w:eastAsia="en-GB"/>
              </w:rPr>
            </w:pPr>
            <w:r w:rsidRPr="00A63777">
              <w:rPr>
                <w:rFonts w:ascii="Garamond" w:hAnsi="Garamond" w:cs="Arial"/>
                <w:sz w:val="24"/>
                <w:szCs w:val="24"/>
                <w:lang w:eastAsia="en-GB"/>
              </w:rPr>
              <w:t>2020</w:t>
            </w:r>
            <w:r w:rsidRPr="00A63777">
              <w:rPr>
                <w:rFonts w:ascii="Garamond" w:hAnsi="Garamond" w:cs="Arial"/>
                <w:sz w:val="24"/>
                <w:szCs w:val="24"/>
                <w:vertAlign w:val="superscript"/>
                <w:lang w:eastAsia="en-GB"/>
              </w:rPr>
              <w:t>#</w:t>
            </w:r>
          </w:p>
        </w:tc>
        <w:tc>
          <w:tcPr>
            <w:tcW w:w="1001" w:type="dxa"/>
            <w:shd w:val="clear" w:color="auto" w:fill="FBE4D5" w:themeFill="accent2" w:themeFillTint="33"/>
          </w:tcPr>
          <w:p w:rsidR="002B2DA3" w:rsidRPr="00A63777" w:rsidRDefault="002B2DA3" w:rsidP="002B2DA3">
            <w:pPr>
              <w:jc w:val="both"/>
              <w:rPr>
                <w:rFonts w:ascii="Garamond" w:hAnsi="Garamond" w:cs="Arial"/>
                <w:sz w:val="24"/>
                <w:szCs w:val="24"/>
                <w:lang w:eastAsia="en-GB"/>
              </w:rPr>
            </w:pPr>
            <w:r w:rsidRPr="00A63777">
              <w:rPr>
                <w:rFonts w:ascii="Garamond" w:hAnsi="Garamond" w:cs="Arial"/>
                <w:sz w:val="24"/>
                <w:szCs w:val="24"/>
                <w:lang w:eastAsia="en-GB"/>
              </w:rPr>
              <w:t>FY2019</w:t>
            </w:r>
            <w:r w:rsidRPr="00A63777">
              <w:rPr>
                <w:rFonts w:ascii="Garamond" w:hAnsi="Garamond" w:cs="Arial"/>
                <w:sz w:val="24"/>
                <w:szCs w:val="24"/>
                <w:vertAlign w:val="superscript"/>
                <w:lang w:eastAsia="en-GB"/>
              </w:rPr>
              <w:t>*</w:t>
            </w:r>
          </w:p>
        </w:tc>
        <w:tc>
          <w:tcPr>
            <w:tcW w:w="1024" w:type="dxa"/>
            <w:shd w:val="clear" w:color="auto" w:fill="FBE4D5" w:themeFill="accent2" w:themeFillTint="33"/>
          </w:tcPr>
          <w:p w:rsidR="002B2DA3" w:rsidRPr="00A63777" w:rsidRDefault="002B2DA3" w:rsidP="002B2DA3">
            <w:pPr>
              <w:jc w:val="both"/>
              <w:rPr>
                <w:rFonts w:ascii="Garamond" w:hAnsi="Garamond" w:cs="Arial"/>
                <w:sz w:val="24"/>
                <w:szCs w:val="24"/>
                <w:lang w:eastAsia="en-GB"/>
              </w:rPr>
            </w:pPr>
            <w:r w:rsidRPr="00A63777">
              <w:rPr>
                <w:rFonts w:ascii="Garamond" w:hAnsi="Garamond" w:cs="Arial"/>
                <w:sz w:val="24"/>
                <w:szCs w:val="24"/>
                <w:lang w:eastAsia="en-GB"/>
              </w:rPr>
              <w:t>FY2020</w:t>
            </w:r>
            <w:r w:rsidRPr="00A63777">
              <w:rPr>
                <w:rFonts w:ascii="Garamond" w:hAnsi="Garamond" w:cs="Arial"/>
                <w:sz w:val="24"/>
                <w:szCs w:val="24"/>
                <w:vertAlign w:val="superscript"/>
                <w:lang w:eastAsia="en-GB"/>
              </w:rPr>
              <w:t>#</w:t>
            </w:r>
          </w:p>
        </w:tc>
        <w:tc>
          <w:tcPr>
            <w:tcW w:w="1024" w:type="dxa"/>
            <w:shd w:val="clear" w:color="auto" w:fill="FBE4D5" w:themeFill="accent2" w:themeFillTint="33"/>
          </w:tcPr>
          <w:p w:rsidR="002B2DA3" w:rsidRPr="00A63777" w:rsidRDefault="002B2DA3" w:rsidP="002B2DA3">
            <w:pPr>
              <w:jc w:val="both"/>
              <w:rPr>
                <w:rFonts w:ascii="Garamond" w:hAnsi="Garamond" w:cs="Arial"/>
                <w:sz w:val="24"/>
                <w:szCs w:val="24"/>
                <w:lang w:eastAsia="en-GB"/>
              </w:rPr>
            </w:pPr>
            <w:r w:rsidRPr="00A63777">
              <w:rPr>
                <w:rFonts w:ascii="Garamond" w:hAnsi="Garamond" w:cs="Arial"/>
                <w:sz w:val="24"/>
                <w:szCs w:val="24"/>
                <w:lang w:eastAsia="en-GB"/>
              </w:rPr>
              <w:t>FY2021</w:t>
            </w:r>
            <w:r w:rsidRPr="00A63777">
              <w:rPr>
                <w:rFonts w:ascii="Garamond" w:hAnsi="Garamond" w:cs="Arial"/>
                <w:sz w:val="24"/>
                <w:szCs w:val="24"/>
                <w:vertAlign w:val="superscript"/>
                <w:lang w:eastAsia="en-GB"/>
              </w:rPr>
              <w:t>#</w:t>
            </w:r>
          </w:p>
        </w:tc>
      </w:tr>
      <w:tr w:rsidR="002B2DA3" w:rsidRPr="00A63777" w:rsidTr="002B2DA3">
        <w:trPr>
          <w:trHeight w:val="248"/>
        </w:trPr>
        <w:tc>
          <w:tcPr>
            <w:tcW w:w="1421" w:type="dxa"/>
          </w:tcPr>
          <w:p w:rsidR="002B2DA3" w:rsidRPr="00A63777" w:rsidRDefault="002B2DA3" w:rsidP="002B2DA3">
            <w:pPr>
              <w:jc w:val="both"/>
              <w:rPr>
                <w:rFonts w:ascii="Garamond" w:hAnsi="Garamond" w:cs="Arial"/>
                <w:sz w:val="24"/>
                <w:szCs w:val="24"/>
                <w:lang w:eastAsia="en-GB"/>
              </w:rPr>
            </w:pPr>
            <w:r w:rsidRPr="00A63777">
              <w:rPr>
                <w:rFonts w:ascii="Garamond" w:hAnsi="Garamond" w:cs="Arial"/>
                <w:sz w:val="24"/>
                <w:szCs w:val="24"/>
                <w:lang w:eastAsia="en-GB"/>
              </w:rPr>
              <w:t>IMF</w:t>
            </w:r>
          </w:p>
        </w:tc>
        <w:tc>
          <w:tcPr>
            <w:tcW w:w="1001"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3.7</w:t>
            </w:r>
          </w:p>
        </w:tc>
        <w:tc>
          <w:tcPr>
            <w:tcW w:w="1001"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3.5</w:t>
            </w:r>
          </w:p>
        </w:tc>
        <w:tc>
          <w:tcPr>
            <w:tcW w:w="1001"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3.6</w:t>
            </w:r>
          </w:p>
        </w:tc>
        <w:tc>
          <w:tcPr>
            <w:tcW w:w="1001"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7.3</w:t>
            </w:r>
          </w:p>
        </w:tc>
        <w:tc>
          <w:tcPr>
            <w:tcW w:w="1024"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7.5</w:t>
            </w:r>
          </w:p>
        </w:tc>
        <w:tc>
          <w:tcPr>
            <w:tcW w:w="1024"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7.7</w:t>
            </w:r>
          </w:p>
        </w:tc>
      </w:tr>
      <w:tr w:rsidR="002B2DA3" w:rsidRPr="00A63777" w:rsidTr="002B2DA3">
        <w:trPr>
          <w:trHeight w:val="237"/>
        </w:trPr>
        <w:tc>
          <w:tcPr>
            <w:tcW w:w="1421" w:type="dxa"/>
          </w:tcPr>
          <w:p w:rsidR="002B2DA3" w:rsidRPr="00A63777" w:rsidRDefault="002B2DA3" w:rsidP="002B2DA3">
            <w:pPr>
              <w:jc w:val="both"/>
              <w:rPr>
                <w:rFonts w:ascii="Garamond" w:hAnsi="Garamond" w:cs="Arial"/>
                <w:sz w:val="24"/>
                <w:szCs w:val="24"/>
                <w:lang w:eastAsia="en-GB"/>
              </w:rPr>
            </w:pPr>
            <w:r w:rsidRPr="00A63777">
              <w:rPr>
                <w:rFonts w:ascii="Garamond" w:hAnsi="Garamond" w:cs="Arial"/>
                <w:sz w:val="24"/>
                <w:szCs w:val="24"/>
                <w:lang w:eastAsia="en-GB"/>
              </w:rPr>
              <w:t>OECD</w:t>
            </w:r>
          </w:p>
        </w:tc>
        <w:tc>
          <w:tcPr>
            <w:tcW w:w="1001"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3.6</w:t>
            </w:r>
          </w:p>
        </w:tc>
        <w:tc>
          <w:tcPr>
            <w:tcW w:w="1001"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3.3</w:t>
            </w:r>
          </w:p>
        </w:tc>
        <w:tc>
          <w:tcPr>
            <w:tcW w:w="1001"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3.4</w:t>
            </w:r>
          </w:p>
        </w:tc>
        <w:tc>
          <w:tcPr>
            <w:tcW w:w="1001"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7.0</w:t>
            </w:r>
          </w:p>
        </w:tc>
        <w:tc>
          <w:tcPr>
            <w:tcW w:w="1024"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7.2</w:t>
            </w:r>
          </w:p>
        </w:tc>
        <w:tc>
          <w:tcPr>
            <w:tcW w:w="1024"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7.3</w:t>
            </w:r>
          </w:p>
        </w:tc>
      </w:tr>
      <w:tr w:rsidR="002B2DA3" w:rsidRPr="00A63777" w:rsidTr="002B2DA3">
        <w:trPr>
          <w:trHeight w:val="237"/>
        </w:trPr>
        <w:tc>
          <w:tcPr>
            <w:tcW w:w="1421" w:type="dxa"/>
          </w:tcPr>
          <w:p w:rsidR="002B2DA3" w:rsidRPr="00A63777" w:rsidRDefault="002B2DA3" w:rsidP="002B2DA3">
            <w:pPr>
              <w:jc w:val="both"/>
              <w:rPr>
                <w:rFonts w:ascii="Garamond" w:hAnsi="Garamond" w:cs="Arial"/>
                <w:sz w:val="24"/>
                <w:szCs w:val="24"/>
                <w:lang w:eastAsia="en-GB"/>
              </w:rPr>
            </w:pPr>
            <w:r w:rsidRPr="00A63777">
              <w:rPr>
                <w:rFonts w:ascii="Garamond" w:hAnsi="Garamond" w:cs="Arial"/>
                <w:sz w:val="24"/>
                <w:szCs w:val="24"/>
                <w:lang w:eastAsia="en-GB"/>
              </w:rPr>
              <w:t>World Bank</w:t>
            </w:r>
          </w:p>
        </w:tc>
        <w:tc>
          <w:tcPr>
            <w:tcW w:w="1001"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3.0</w:t>
            </w:r>
          </w:p>
        </w:tc>
        <w:tc>
          <w:tcPr>
            <w:tcW w:w="1001"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2.9</w:t>
            </w:r>
          </w:p>
        </w:tc>
        <w:tc>
          <w:tcPr>
            <w:tcW w:w="1001"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2.8</w:t>
            </w:r>
          </w:p>
        </w:tc>
        <w:tc>
          <w:tcPr>
            <w:tcW w:w="1001"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7.3</w:t>
            </w:r>
          </w:p>
        </w:tc>
        <w:tc>
          <w:tcPr>
            <w:tcW w:w="1024"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7.5</w:t>
            </w:r>
          </w:p>
        </w:tc>
        <w:tc>
          <w:tcPr>
            <w:tcW w:w="1024"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7.5</w:t>
            </w:r>
          </w:p>
        </w:tc>
      </w:tr>
      <w:tr w:rsidR="002B2DA3" w:rsidRPr="00A63777" w:rsidTr="002B2DA3">
        <w:trPr>
          <w:trHeight w:val="237"/>
        </w:trPr>
        <w:tc>
          <w:tcPr>
            <w:tcW w:w="1421" w:type="dxa"/>
          </w:tcPr>
          <w:p w:rsidR="002B2DA3" w:rsidRPr="00A63777" w:rsidRDefault="002B2DA3" w:rsidP="002B2DA3">
            <w:pPr>
              <w:jc w:val="both"/>
              <w:rPr>
                <w:rFonts w:ascii="Garamond" w:hAnsi="Garamond" w:cs="Arial"/>
                <w:sz w:val="24"/>
                <w:szCs w:val="24"/>
                <w:lang w:eastAsia="en-GB"/>
              </w:rPr>
            </w:pPr>
            <w:r w:rsidRPr="00A63777">
              <w:rPr>
                <w:rFonts w:ascii="Garamond" w:hAnsi="Garamond" w:cs="Arial"/>
                <w:sz w:val="24"/>
                <w:szCs w:val="24"/>
                <w:lang w:eastAsia="en-GB"/>
              </w:rPr>
              <w:t>CSO</w:t>
            </w:r>
          </w:p>
        </w:tc>
        <w:tc>
          <w:tcPr>
            <w:tcW w:w="1001"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w:t>
            </w:r>
          </w:p>
        </w:tc>
        <w:tc>
          <w:tcPr>
            <w:tcW w:w="1001"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w:t>
            </w:r>
          </w:p>
        </w:tc>
        <w:tc>
          <w:tcPr>
            <w:tcW w:w="1001"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w:t>
            </w:r>
          </w:p>
        </w:tc>
        <w:tc>
          <w:tcPr>
            <w:tcW w:w="1001"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7.2</w:t>
            </w:r>
          </w:p>
        </w:tc>
        <w:tc>
          <w:tcPr>
            <w:tcW w:w="1024"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w:t>
            </w:r>
          </w:p>
        </w:tc>
        <w:tc>
          <w:tcPr>
            <w:tcW w:w="1024"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w:t>
            </w:r>
          </w:p>
        </w:tc>
      </w:tr>
      <w:tr w:rsidR="002B2DA3" w:rsidRPr="00A63777" w:rsidTr="002B2DA3">
        <w:trPr>
          <w:trHeight w:val="237"/>
        </w:trPr>
        <w:tc>
          <w:tcPr>
            <w:tcW w:w="1421" w:type="dxa"/>
          </w:tcPr>
          <w:p w:rsidR="002B2DA3" w:rsidRPr="00A63777" w:rsidRDefault="002B2DA3" w:rsidP="002B2DA3">
            <w:pPr>
              <w:jc w:val="both"/>
              <w:rPr>
                <w:rFonts w:ascii="Garamond" w:hAnsi="Garamond" w:cs="Arial"/>
                <w:sz w:val="24"/>
                <w:szCs w:val="24"/>
                <w:lang w:eastAsia="en-GB"/>
              </w:rPr>
            </w:pPr>
            <w:r w:rsidRPr="00A63777">
              <w:rPr>
                <w:rFonts w:ascii="Garamond" w:hAnsi="Garamond" w:cs="Arial"/>
                <w:sz w:val="24"/>
                <w:szCs w:val="24"/>
                <w:lang w:eastAsia="en-GB"/>
              </w:rPr>
              <w:t>RBI</w:t>
            </w:r>
          </w:p>
        </w:tc>
        <w:tc>
          <w:tcPr>
            <w:tcW w:w="1001"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w:t>
            </w:r>
          </w:p>
        </w:tc>
        <w:tc>
          <w:tcPr>
            <w:tcW w:w="1001"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w:t>
            </w:r>
          </w:p>
        </w:tc>
        <w:tc>
          <w:tcPr>
            <w:tcW w:w="1001"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w:t>
            </w:r>
          </w:p>
        </w:tc>
        <w:tc>
          <w:tcPr>
            <w:tcW w:w="1001"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7.4</w:t>
            </w:r>
          </w:p>
        </w:tc>
        <w:tc>
          <w:tcPr>
            <w:tcW w:w="1024"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7.4</w:t>
            </w:r>
          </w:p>
        </w:tc>
        <w:tc>
          <w:tcPr>
            <w:tcW w:w="1024" w:type="dxa"/>
          </w:tcPr>
          <w:p w:rsidR="002B2DA3" w:rsidRPr="00A63777" w:rsidRDefault="002B2DA3" w:rsidP="002B2DA3">
            <w:pPr>
              <w:jc w:val="right"/>
              <w:rPr>
                <w:rFonts w:ascii="Garamond" w:hAnsi="Garamond" w:cs="Arial"/>
                <w:sz w:val="24"/>
                <w:szCs w:val="24"/>
                <w:lang w:eastAsia="en-GB"/>
              </w:rPr>
            </w:pPr>
            <w:r w:rsidRPr="00A63777">
              <w:rPr>
                <w:rFonts w:ascii="Garamond" w:hAnsi="Garamond" w:cs="Arial"/>
                <w:sz w:val="24"/>
                <w:szCs w:val="24"/>
                <w:lang w:eastAsia="en-GB"/>
              </w:rPr>
              <w:t>-</w:t>
            </w:r>
          </w:p>
        </w:tc>
      </w:tr>
    </w:tbl>
    <w:p w:rsidR="002B2DA3" w:rsidRPr="00F36F7E" w:rsidRDefault="002B2DA3" w:rsidP="002B2DA3">
      <w:pPr>
        <w:jc w:val="both"/>
        <w:rPr>
          <w:rFonts w:ascii="Garamond" w:eastAsia="Times New Roman" w:hAnsi="Garamond" w:cs="Arial"/>
          <w:b/>
          <w:sz w:val="22"/>
          <w:lang w:eastAsia="en-GB"/>
        </w:rPr>
      </w:pPr>
      <w:r w:rsidRPr="00F36F7E">
        <w:rPr>
          <w:rFonts w:ascii="Garamond" w:eastAsia="Times New Roman" w:hAnsi="Garamond" w:cs="Arial"/>
          <w:b/>
          <w:sz w:val="22"/>
          <w:lang w:eastAsia="en-GB"/>
        </w:rPr>
        <w:t xml:space="preserve">Note - </w:t>
      </w:r>
      <w:r w:rsidRPr="00F36F7E">
        <w:rPr>
          <w:rFonts w:ascii="Garamond" w:eastAsia="Times New Roman" w:hAnsi="Garamond" w:cs="Arial"/>
          <w:sz w:val="22"/>
          <w:lang w:eastAsia="en-GB"/>
        </w:rPr>
        <w:t>* indicates estimates, # indicates forecasts</w:t>
      </w:r>
    </w:p>
    <w:p w:rsidR="002B2DA3" w:rsidRPr="00F36F7E" w:rsidRDefault="002B2DA3" w:rsidP="002B2DA3">
      <w:pPr>
        <w:jc w:val="both"/>
        <w:rPr>
          <w:rFonts w:ascii="Garamond" w:eastAsia="Times New Roman" w:hAnsi="Garamond" w:cs="Arial"/>
          <w:sz w:val="22"/>
          <w:lang w:eastAsia="en-GB"/>
        </w:rPr>
      </w:pPr>
      <w:r w:rsidRPr="00F36F7E">
        <w:rPr>
          <w:rFonts w:ascii="Garamond" w:eastAsia="Times New Roman" w:hAnsi="Garamond" w:cs="Arial"/>
          <w:b/>
          <w:sz w:val="22"/>
          <w:lang w:eastAsia="en-GB"/>
        </w:rPr>
        <w:t>Source</w:t>
      </w:r>
      <w:r w:rsidRPr="00F36F7E">
        <w:rPr>
          <w:rFonts w:ascii="Garamond" w:eastAsia="Times New Roman" w:hAnsi="Garamond" w:cs="Arial"/>
          <w:sz w:val="22"/>
          <w:lang w:eastAsia="en-GB"/>
        </w:rPr>
        <w:t>: RBI- Minutes of the Monetary Policy Committee, CSO – Press Note, IMF- World Economic Outlook, World Bank – Global Econo0mic Prospects, OECD- Economic Outlook</w:t>
      </w:r>
    </w:p>
    <w:p w:rsidR="002B2DA3" w:rsidRDefault="002B2DA3" w:rsidP="002B2DA3">
      <w:pPr>
        <w:jc w:val="both"/>
        <w:rPr>
          <w:rFonts w:ascii="Garamond" w:eastAsia="Times New Roman" w:hAnsi="Garamond" w:cs="Arial"/>
          <w:lang w:eastAsia="en-GB"/>
        </w:rPr>
      </w:pPr>
    </w:p>
    <w:p w:rsidR="002B2DA3" w:rsidRPr="00A63777" w:rsidRDefault="002B2DA3" w:rsidP="002B2DA3">
      <w:pPr>
        <w:jc w:val="both"/>
        <w:rPr>
          <w:rFonts w:ascii="Garamond" w:eastAsia="Times New Roman" w:hAnsi="Garamond" w:cs="Arial"/>
          <w:lang w:eastAsia="en-GB"/>
        </w:rPr>
      </w:pPr>
      <w:r>
        <w:rPr>
          <w:rFonts w:ascii="Garamond" w:eastAsia="Times New Roman" w:hAnsi="Garamond" w:cs="Arial"/>
          <w:lang w:eastAsia="en-GB"/>
        </w:rPr>
        <w:t>According to IMF, g</w:t>
      </w:r>
      <w:r w:rsidRPr="0023057A">
        <w:rPr>
          <w:rFonts w:ascii="Garamond" w:eastAsia="Times New Roman" w:hAnsi="Garamond" w:cs="Arial"/>
          <w:lang w:eastAsia="en-GB"/>
        </w:rPr>
        <w:t>rowth in the United States is likely to slow to 2.5</w:t>
      </w:r>
      <w:r>
        <w:rPr>
          <w:rFonts w:ascii="Garamond" w:eastAsia="Times New Roman" w:hAnsi="Garamond" w:cs="Arial"/>
          <w:lang w:eastAsia="en-GB"/>
        </w:rPr>
        <w:t xml:space="preserve"> per cent</w:t>
      </w:r>
      <w:r w:rsidRPr="0023057A">
        <w:rPr>
          <w:rFonts w:ascii="Garamond" w:eastAsia="Times New Roman" w:hAnsi="Garamond" w:cs="Arial"/>
          <w:lang w:eastAsia="en-GB"/>
        </w:rPr>
        <w:t xml:space="preserve"> </w:t>
      </w:r>
      <w:r>
        <w:rPr>
          <w:rFonts w:ascii="Garamond" w:eastAsia="Times New Roman" w:hAnsi="Garamond" w:cs="Arial"/>
          <w:lang w:eastAsia="en-GB"/>
        </w:rPr>
        <w:t>in 2019</w:t>
      </w:r>
      <w:r w:rsidRPr="0023057A">
        <w:rPr>
          <w:rFonts w:ascii="Garamond" w:eastAsia="Times New Roman" w:hAnsi="Garamond" w:cs="Arial"/>
          <w:lang w:eastAsia="en-GB"/>
        </w:rPr>
        <w:t xml:space="preserve"> </w:t>
      </w:r>
      <w:r>
        <w:rPr>
          <w:rFonts w:ascii="Garamond" w:eastAsia="Times New Roman" w:hAnsi="Garamond" w:cs="Arial"/>
          <w:lang w:eastAsia="en-GB"/>
        </w:rPr>
        <w:t xml:space="preserve">and 1.8 per cent in 2020, compared to 2.9 per cent in 2018. </w:t>
      </w:r>
      <w:r w:rsidRPr="0023057A">
        <w:rPr>
          <w:rFonts w:ascii="Garamond" w:eastAsia="Times New Roman" w:hAnsi="Garamond" w:cs="Arial"/>
          <w:lang w:eastAsia="en-GB"/>
        </w:rPr>
        <w:t xml:space="preserve"> </w:t>
      </w:r>
      <w:r w:rsidRPr="00A63777">
        <w:rPr>
          <w:rFonts w:ascii="Garamond" w:eastAsia="Times New Roman" w:hAnsi="Garamond" w:cs="Arial"/>
          <w:lang w:eastAsia="en-GB"/>
        </w:rPr>
        <w:t xml:space="preserve">The United States economy growth softened to 2.6 </w:t>
      </w:r>
      <w:r>
        <w:rPr>
          <w:rFonts w:ascii="Garamond" w:eastAsia="Times New Roman" w:hAnsi="Garamond" w:cs="Arial"/>
          <w:lang w:eastAsia="en-GB"/>
        </w:rPr>
        <w:t>per cent</w:t>
      </w:r>
      <w:r w:rsidRPr="00A63777">
        <w:rPr>
          <w:rFonts w:ascii="Garamond" w:eastAsia="Times New Roman" w:hAnsi="Garamond" w:cs="Arial"/>
          <w:lang w:eastAsia="en-GB"/>
        </w:rPr>
        <w:t xml:space="preserve"> (annualized) during the fourth quarter of 2018, compared to 3.4 </w:t>
      </w:r>
      <w:r>
        <w:rPr>
          <w:rFonts w:ascii="Garamond" w:eastAsia="Times New Roman" w:hAnsi="Garamond" w:cs="Arial"/>
          <w:lang w:eastAsia="en-GB"/>
        </w:rPr>
        <w:t>per cent</w:t>
      </w:r>
      <w:r w:rsidRPr="00A63777">
        <w:rPr>
          <w:rFonts w:ascii="Garamond" w:eastAsia="Times New Roman" w:hAnsi="Garamond" w:cs="Arial"/>
          <w:lang w:eastAsia="en-GB"/>
        </w:rPr>
        <w:t xml:space="preserve"> in the previous quarter. However this growth rate of 2.6 </w:t>
      </w:r>
      <w:r>
        <w:rPr>
          <w:rFonts w:ascii="Garamond" w:eastAsia="Times New Roman" w:hAnsi="Garamond" w:cs="Arial"/>
          <w:lang w:eastAsia="en-GB"/>
        </w:rPr>
        <w:t>per cent</w:t>
      </w:r>
      <w:r w:rsidRPr="00A63777">
        <w:rPr>
          <w:rFonts w:ascii="Garamond" w:eastAsia="Times New Roman" w:hAnsi="Garamond" w:cs="Arial"/>
          <w:lang w:eastAsia="en-GB"/>
        </w:rPr>
        <w:t xml:space="preserve"> was better than median expected growth rate of 2.2 </w:t>
      </w:r>
      <w:r>
        <w:rPr>
          <w:rFonts w:ascii="Garamond" w:eastAsia="Times New Roman" w:hAnsi="Garamond" w:cs="Arial"/>
          <w:lang w:eastAsia="en-GB"/>
        </w:rPr>
        <w:t>per cent</w:t>
      </w:r>
      <w:r w:rsidRPr="00A63777">
        <w:rPr>
          <w:rFonts w:ascii="Garamond" w:eastAsia="Times New Roman" w:hAnsi="Garamond" w:cs="Arial"/>
          <w:lang w:eastAsia="en-GB"/>
        </w:rPr>
        <w:t>, as business investment picked up, suggesting growth could be stronger for longer. Fixed investment rose faster (by 3.9</w:t>
      </w:r>
      <w:r>
        <w:rPr>
          <w:rFonts w:ascii="Garamond" w:eastAsia="Times New Roman" w:hAnsi="Garamond" w:cs="Arial"/>
          <w:lang w:eastAsia="en-GB"/>
        </w:rPr>
        <w:t xml:space="preserve"> per cent</w:t>
      </w:r>
      <w:r w:rsidRPr="00A63777">
        <w:rPr>
          <w:rFonts w:ascii="Garamond" w:eastAsia="Times New Roman" w:hAnsi="Garamond" w:cs="Arial"/>
          <w:lang w:eastAsia="en-GB"/>
        </w:rPr>
        <w:t xml:space="preserve"> Q-o-Q), consumer spending remained robust (grew by 2.8</w:t>
      </w:r>
      <w:r>
        <w:rPr>
          <w:rFonts w:ascii="Garamond" w:eastAsia="Times New Roman" w:hAnsi="Garamond" w:cs="Arial"/>
          <w:lang w:eastAsia="en-GB"/>
        </w:rPr>
        <w:t xml:space="preserve"> per cent</w:t>
      </w:r>
      <w:r w:rsidRPr="00A63777">
        <w:rPr>
          <w:rFonts w:ascii="Garamond" w:eastAsia="Times New Roman" w:hAnsi="Garamond" w:cs="Arial"/>
          <w:lang w:eastAsia="en-GB"/>
        </w:rPr>
        <w:t xml:space="preserve"> Q-o-Q) and the drag from net trade was smaller (trade deficit widened by 3.3</w:t>
      </w:r>
      <w:r>
        <w:rPr>
          <w:rFonts w:ascii="Garamond" w:eastAsia="Times New Roman" w:hAnsi="Garamond" w:cs="Arial"/>
          <w:lang w:eastAsia="en-GB"/>
        </w:rPr>
        <w:t xml:space="preserve"> per cent</w:t>
      </w:r>
      <w:r w:rsidRPr="00A63777">
        <w:rPr>
          <w:rFonts w:ascii="Garamond" w:eastAsia="Times New Roman" w:hAnsi="Garamond" w:cs="Arial"/>
          <w:lang w:eastAsia="en-GB"/>
        </w:rPr>
        <w:t xml:space="preserve"> Q-o-Q). The partial shutdown, which began on December 22nd, is estimated to have lowered fourth-quarter GDP growth by about 0.1 </w:t>
      </w:r>
      <w:r>
        <w:rPr>
          <w:rFonts w:ascii="Garamond" w:eastAsia="Times New Roman" w:hAnsi="Garamond" w:cs="Arial"/>
          <w:lang w:eastAsia="en-GB"/>
        </w:rPr>
        <w:t>percent</w:t>
      </w:r>
      <w:r w:rsidRPr="00A63777">
        <w:rPr>
          <w:rFonts w:ascii="Garamond" w:eastAsia="Times New Roman" w:hAnsi="Garamond" w:cs="Arial"/>
          <w:lang w:eastAsia="en-GB"/>
        </w:rPr>
        <w:t xml:space="preserve">age point. Considering full 2018, the economy advanced 2.9 </w:t>
      </w:r>
      <w:r>
        <w:rPr>
          <w:rFonts w:ascii="Garamond" w:eastAsia="Times New Roman" w:hAnsi="Garamond" w:cs="Arial"/>
          <w:lang w:eastAsia="en-GB"/>
        </w:rPr>
        <w:t>per cent</w:t>
      </w:r>
      <w:r w:rsidRPr="00A63777">
        <w:rPr>
          <w:rFonts w:ascii="Garamond" w:eastAsia="Times New Roman" w:hAnsi="Garamond" w:cs="Arial"/>
          <w:lang w:eastAsia="en-GB"/>
        </w:rPr>
        <w:t xml:space="preserve">, above 2.2 </w:t>
      </w:r>
      <w:r>
        <w:rPr>
          <w:rFonts w:ascii="Garamond" w:eastAsia="Times New Roman" w:hAnsi="Garamond" w:cs="Arial"/>
          <w:lang w:eastAsia="en-GB"/>
        </w:rPr>
        <w:t>per cent</w:t>
      </w:r>
      <w:r w:rsidRPr="00A63777">
        <w:rPr>
          <w:rFonts w:ascii="Garamond" w:eastAsia="Times New Roman" w:hAnsi="Garamond" w:cs="Arial"/>
          <w:lang w:eastAsia="en-GB"/>
        </w:rPr>
        <w:t xml:space="preserve"> in 2017 and the highest growth rate since 2015. Meanwhile headline inflation in the US fell to 1.5 </w:t>
      </w:r>
      <w:r>
        <w:rPr>
          <w:rFonts w:ascii="Garamond" w:eastAsia="Times New Roman" w:hAnsi="Garamond" w:cs="Arial"/>
          <w:lang w:eastAsia="en-GB"/>
        </w:rPr>
        <w:t>per cent</w:t>
      </w:r>
      <w:r w:rsidRPr="00A63777">
        <w:rPr>
          <w:rFonts w:ascii="Garamond" w:eastAsia="Times New Roman" w:hAnsi="Garamond" w:cs="Arial"/>
          <w:lang w:eastAsia="en-GB"/>
        </w:rPr>
        <w:t xml:space="preserve"> in February of 2019 (compared to 1.6 </w:t>
      </w:r>
      <w:r>
        <w:rPr>
          <w:rFonts w:ascii="Garamond" w:eastAsia="Times New Roman" w:hAnsi="Garamond" w:cs="Arial"/>
          <w:lang w:eastAsia="en-GB"/>
        </w:rPr>
        <w:t>per cent</w:t>
      </w:r>
      <w:r w:rsidRPr="00A63777">
        <w:rPr>
          <w:rFonts w:ascii="Garamond" w:eastAsia="Times New Roman" w:hAnsi="Garamond" w:cs="Arial"/>
          <w:lang w:eastAsia="en-GB"/>
        </w:rPr>
        <w:t xml:space="preserve"> in the previous month). This was the lowest inflation figure in more than two years and a bit lower than US Federal Reserve long term inflation target of 2 </w:t>
      </w:r>
      <w:r>
        <w:rPr>
          <w:rFonts w:ascii="Garamond" w:eastAsia="Times New Roman" w:hAnsi="Garamond" w:cs="Arial"/>
          <w:lang w:eastAsia="en-GB"/>
        </w:rPr>
        <w:t>per cent</w:t>
      </w:r>
      <w:r w:rsidRPr="00A63777">
        <w:rPr>
          <w:rFonts w:ascii="Garamond" w:eastAsia="Times New Roman" w:hAnsi="Garamond" w:cs="Arial"/>
          <w:lang w:eastAsia="en-GB"/>
        </w:rPr>
        <w:t>.</w:t>
      </w:r>
    </w:p>
    <w:p w:rsidR="002B2DA3" w:rsidRDefault="002B2DA3" w:rsidP="002B2DA3">
      <w:pPr>
        <w:jc w:val="both"/>
        <w:rPr>
          <w:rFonts w:ascii="Garamond" w:eastAsia="Times New Roman" w:hAnsi="Garamond" w:cs="Arial"/>
          <w:lang w:eastAsia="en-GB"/>
        </w:rPr>
      </w:pPr>
    </w:p>
    <w:p w:rsidR="002B2DA3" w:rsidRPr="000B0930" w:rsidRDefault="002B2DA3" w:rsidP="002B2DA3">
      <w:pPr>
        <w:jc w:val="both"/>
        <w:rPr>
          <w:rFonts w:ascii="Garamond" w:eastAsia="Times New Roman" w:hAnsi="Garamond" w:cs="Arial"/>
          <w:lang w:eastAsia="en-GB"/>
        </w:rPr>
      </w:pPr>
      <w:r w:rsidRPr="0001433A">
        <w:rPr>
          <w:rFonts w:ascii="Garamond" w:eastAsia="Times New Roman" w:hAnsi="Garamond" w:cs="Arial"/>
          <w:lang w:eastAsia="en-GB"/>
        </w:rPr>
        <w:t>The Eurozone economic growth</w:t>
      </w:r>
      <w:r>
        <w:rPr>
          <w:rFonts w:ascii="Garamond" w:eastAsia="Times New Roman" w:hAnsi="Garamond" w:cs="Arial"/>
          <w:lang w:eastAsia="en-GB"/>
        </w:rPr>
        <w:t xml:space="preserve"> rate</w:t>
      </w:r>
      <w:r w:rsidRPr="0001433A">
        <w:rPr>
          <w:rFonts w:ascii="Garamond" w:eastAsia="Times New Roman" w:hAnsi="Garamond" w:cs="Arial"/>
          <w:lang w:eastAsia="en-GB"/>
        </w:rPr>
        <w:t xml:space="preserve"> was revised lower to 1.1 </w:t>
      </w:r>
      <w:r>
        <w:rPr>
          <w:rFonts w:ascii="Garamond" w:eastAsia="Times New Roman" w:hAnsi="Garamond" w:cs="Arial"/>
          <w:lang w:eastAsia="en-GB"/>
        </w:rPr>
        <w:t>per cent</w:t>
      </w:r>
      <w:r w:rsidRPr="0001433A">
        <w:rPr>
          <w:rFonts w:ascii="Garamond" w:eastAsia="Times New Roman" w:hAnsi="Garamond" w:cs="Arial"/>
          <w:lang w:eastAsia="en-GB"/>
        </w:rPr>
        <w:t xml:space="preserve"> (annualized) in the fourth quarter of 2018, compared to a preliminary 1.2 </w:t>
      </w:r>
      <w:r>
        <w:rPr>
          <w:rFonts w:ascii="Garamond" w:eastAsia="Times New Roman" w:hAnsi="Garamond" w:cs="Arial"/>
          <w:lang w:eastAsia="en-GB"/>
        </w:rPr>
        <w:t>per cent</w:t>
      </w:r>
      <w:r w:rsidRPr="0001433A">
        <w:rPr>
          <w:rFonts w:ascii="Garamond" w:eastAsia="Times New Roman" w:hAnsi="Garamond" w:cs="Arial"/>
          <w:lang w:eastAsia="en-GB"/>
        </w:rPr>
        <w:t xml:space="preserve"> (annualized)  and below the third-quarter 1.6 </w:t>
      </w:r>
      <w:r>
        <w:rPr>
          <w:rFonts w:ascii="Garamond" w:eastAsia="Times New Roman" w:hAnsi="Garamond" w:cs="Arial"/>
          <w:lang w:eastAsia="en-GB"/>
        </w:rPr>
        <w:t>per cent</w:t>
      </w:r>
      <w:r w:rsidRPr="0001433A">
        <w:rPr>
          <w:rFonts w:ascii="Garamond" w:eastAsia="Times New Roman" w:hAnsi="Garamond" w:cs="Arial"/>
          <w:lang w:eastAsia="en-GB"/>
        </w:rPr>
        <w:t xml:space="preserve"> (annualized) expansion</w:t>
      </w:r>
      <w:r>
        <w:rPr>
          <w:rFonts w:ascii="Garamond" w:eastAsia="Times New Roman" w:hAnsi="Garamond" w:cs="Arial"/>
          <w:lang w:eastAsia="en-GB"/>
        </w:rPr>
        <w:t xml:space="preserve">, </w:t>
      </w:r>
      <w:r w:rsidRPr="00766087">
        <w:rPr>
          <w:rFonts w:ascii="Garamond" w:eastAsia="Times New Roman" w:hAnsi="Garamond" w:cs="Arial"/>
          <w:lang w:eastAsia="en-GB"/>
        </w:rPr>
        <w:t xml:space="preserve">as political turmoil and trade uncertainty weighed on manufacturing and services activity. </w:t>
      </w:r>
      <w:r w:rsidRPr="000B0930">
        <w:rPr>
          <w:rFonts w:ascii="Garamond" w:eastAsia="Times New Roman" w:hAnsi="Garamond" w:cs="Arial"/>
          <w:lang w:eastAsia="en-GB"/>
        </w:rPr>
        <w:t xml:space="preserve">Among Eurozone's largest economies, </w:t>
      </w:r>
      <w:r w:rsidRPr="00745BBB">
        <w:rPr>
          <w:rFonts w:ascii="Garamond" w:eastAsia="Times New Roman" w:hAnsi="Garamond" w:cs="Arial"/>
          <w:lang w:eastAsia="en-GB"/>
        </w:rPr>
        <w:t>while Spain's economy expanded at a faster pace,</w:t>
      </w:r>
      <w:r>
        <w:rPr>
          <w:rFonts w:ascii="Garamond" w:eastAsia="Times New Roman" w:hAnsi="Garamond" w:cs="Arial"/>
          <w:lang w:eastAsia="en-GB"/>
        </w:rPr>
        <w:t xml:space="preserve"> </w:t>
      </w:r>
      <w:r w:rsidRPr="000B0930">
        <w:rPr>
          <w:rFonts w:ascii="Garamond" w:eastAsia="Times New Roman" w:hAnsi="Garamond" w:cs="Arial"/>
          <w:lang w:eastAsia="en-GB"/>
        </w:rPr>
        <w:t xml:space="preserve">Italy fell into recession for the first time since early 2013 and France's </w:t>
      </w:r>
      <w:r>
        <w:rPr>
          <w:rFonts w:ascii="Garamond" w:eastAsia="Times New Roman" w:hAnsi="Garamond" w:cs="Arial"/>
          <w:lang w:eastAsia="en-GB"/>
        </w:rPr>
        <w:t>GDP growth remained unchanged</w:t>
      </w:r>
      <w:r w:rsidRPr="000B0930">
        <w:rPr>
          <w:rFonts w:ascii="Garamond" w:eastAsia="Times New Roman" w:hAnsi="Garamond" w:cs="Arial"/>
          <w:lang w:eastAsia="en-GB"/>
        </w:rPr>
        <w:t>. </w:t>
      </w:r>
      <w:r>
        <w:rPr>
          <w:rFonts w:ascii="Garamond" w:eastAsia="Times New Roman" w:hAnsi="Garamond" w:cs="Arial"/>
          <w:lang w:eastAsia="en-GB"/>
        </w:rPr>
        <w:t xml:space="preserve"> Europe’s biggest economy, Germany, </w:t>
      </w:r>
      <w:r w:rsidRPr="000B0930">
        <w:rPr>
          <w:rFonts w:ascii="Garamond" w:eastAsia="Times New Roman" w:hAnsi="Garamond" w:cs="Arial"/>
          <w:lang w:eastAsia="en-GB"/>
        </w:rPr>
        <w:t xml:space="preserve">suffered an unexpected contraction in the third quarter largely due to changes in emissions standards that snarled auto sales. </w:t>
      </w:r>
      <w:r>
        <w:rPr>
          <w:rFonts w:ascii="Garamond" w:eastAsia="Times New Roman" w:hAnsi="Garamond" w:cs="Arial"/>
          <w:lang w:eastAsia="en-GB"/>
        </w:rPr>
        <w:t>Further, g</w:t>
      </w:r>
      <w:r w:rsidRPr="000B0930">
        <w:rPr>
          <w:rFonts w:ascii="Garamond" w:eastAsia="Times New Roman" w:hAnsi="Garamond" w:cs="Arial"/>
          <w:lang w:eastAsia="en-GB"/>
        </w:rPr>
        <w:t xml:space="preserve">lobal </w:t>
      </w:r>
      <w:r w:rsidRPr="000B0930">
        <w:rPr>
          <w:rFonts w:ascii="Garamond" w:eastAsia="Times New Roman" w:hAnsi="Garamond" w:cs="Arial"/>
          <w:lang w:eastAsia="en-GB"/>
        </w:rPr>
        <w:lastRenderedPageBreak/>
        <w:t xml:space="preserve">trade uncertainty also continued to negatively impact Germany’s export sector and business confidence.  </w:t>
      </w:r>
      <w:r>
        <w:rPr>
          <w:rFonts w:ascii="Garamond" w:eastAsia="Times New Roman" w:hAnsi="Garamond" w:cs="Arial"/>
          <w:lang w:eastAsia="en-GB"/>
        </w:rPr>
        <w:t>According to IMF, growth in the Euro A</w:t>
      </w:r>
      <w:r w:rsidRPr="004459EB">
        <w:rPr>
          <w:rFonts w:ascii="Garamond" w:eastAsia="Times New Roman" w:hAnsi="Garamond" w:cs="Arial"/>
          <w:lang w:eastAsia="en-GB"/>
        </w:rPr>
        <w:t>rea is set to moderate from 1.8 per cent in 2018 to 1.6 per cent in 2019 and 1.7 per cent in 2020. </w:t>
      </w:r>
    </w:p>
    <w:p w:rsidR="002B2DA3" w:rsidRDefault="002B2DA3" w:rsidP="002B2DA3">
      <w:pPr>
        <w:jc w:val="both"/>
        <w:rPr>
          <w:rFonts w:ascii="Garamond" w:eastAsia="Times New Roman" w:hAnsi="Garamond" w:cs="Arial"/>
          <w:lang w:eastAsia="en-GB"/>
        </w:rPr>
      </w:pPr>
    </w:p>
    <w:p w:rsidR="002B2DA3" w:rsidRPr="00511A40" w:rsidRDefault="002B2DA3" w:rsidP="002B2DA3">
      <w:pPr>
        <w:autoSpaceDE w:val="0"/>
        <w:autoSpaceDN w:val="0"/>
        <w:adjustRightInd w:val="0"/>
        <w:jc w:val="both"/>
        <w:rPr>
          <w:rFonts w:ascii="Garamond" w:eastAsia="Times New Roman" w:hAnsi="Garamond" w:cs="Arial"/>
          <w:lang w:eastAsia="en-GB"/>
        </w:rPr>
      </w:pPr>
      <w:r w:rsidRPr="003C11E9">
        <w:rPr>
          <w:rFonts w:ascii="Garamond" w:eastAsia="Times New Roman" w:hAnsi="Garamond" w:cs="Arial"/>
          <w:lang w:eastAsia="en-GB"/>
        </w:rPr>
        <w:t xml:space="preserve">In the UK, tensions over Brexit continue with </w:t>
      </w:r>
      <w:r w:rsidRPr="00511A40">
        <w:rPr>
          <w:rFonts w:ascii="Garamond" w:eastAsia="Times New Roman" w:hAnsi="Garamond" w:cs="Arial"/>
          <w:lang w:eastAsia="en-GB"/>
        </w:rPr>
        <w:t xml:space="preserve">Theresa May’s </w:t>
      </w:r>
      <w:r>
        <w:rPr>
          <w:rFonts w:ascii="Garamond" w:eastAsia="Times New Roman" w:hAnsi="Garamond" w:cs="Arial"/>
          <w:lang w:eastAsia="en-GB"/>
        </w:rPr>
        <w:t xml:space="preserve">new </w:t>
      </w:r>
      <w:r w:rsidRPr="00511A40">
        <w:rPr>
          <w:rFonts w:ascii="Garamond" w:eastAsia="Times New Roman" w:hAnsi="Garamond" w:cs="Arial"/>
          <w:lang w:eastAsia="en-GB"/>
        </w:rPr>
        <w:t xml:space="preserve">Brexit plan was rejected </w:t>
      </w:r>
      <w:r>
        <w:rPr>
          <w:rFonts w:ascii="Garamond" w:eastAsia="Times New Roman" w:hAnsi="Garamond" w:cs="Arial"/>
          <w:lang w:eastAsia="en-GB"/>
        </w:rPr>
        <w:t xml:space="preserve">second time </w:t>
      </w:r>
      <w:r w:rsidRPr="00511A40">
        <w:rPr>
          <w:rFonts w:ascii="Garamond" w:eastAsia="Times New Roman" w:hAnsi="Garamond" w:cs="Arial"/>
          <w:lang w:eastAsia="en-GB"/>
        </w:rPr>
        <w:t xml:space="preserve">in the UK parliament </w:t>
      </w:r>
      <w:r>
        <w:rPr>
          <w:rFonts w:ascii="Garamond" w:eastAsia="Times New Roman" w:hAnsi="Garamond" w:cs="Arial"/>
          <w:lang w:eastAsia="en-GB"/>
        </w:rPr>
        <w:t>by 149 votes, a smaller margin compared to 230 votes defeat in the January</w:t>
      </w:r>
      <w:r w:rsidRPr="00511A40">
        <w:rPr>
          <w:rFonts w:ascii="Garamond" w:eastAsia="Times New Roman" w:hAnsi="Garamond" w:cs="Arial"/>
          <w:lang w:eastAsia="en-GB"/>
        </w:rPr>
        <w:t>.</w:t>
      </w:r>
      <w:r w:rsidRPr="003C11E9">
        <w:rPr>
          <w:rFonts w:ascii="Garamond" w:eastAsia="Times New Roman" w:hAnsi="Garamond" w:cs="Arial"/>
          <w:lang w:eastAsia="en-GB"/>
        </w:rPr>
        <w:t xml:space="preserve"> If the deal is not passed, the prospect of the UK </w:t>
      </w:r>
      <w:r>
        <w:rPr>
          <w:rFonts w:ascii="Garamond" w:eastAsia="Times New Roman" w:hAnsi="Garamond" w:cs="Arial"/>
          <w:lang w:eastAsia="en-GB"/>
        </w:rPr>
        <w:t>having no-deal Brexit</w:t>
      </w:r>
      <w:r w:rsidRPr="003C11E9">
        <w:rPr>
          <w:rFonts w:ascii="Garamond" w:eastAsia="Times New Roman" w:hAnsi="Garamond" w:cs="Arial"/>
          <w:lang w:eastAsia="en-GB"/>
        </w:rPr>
        <w:t xml:space="preserve"> in March</w:t>
      </w:r>
      <w:r>
        <w:rPr>
          <w:rFonts w:ascii="Garamond" w:eastAsia="Times New Roman" w:hAnsi="Garamond" w:cs="Arial"/>
          <w:lang w:eastAsia="en-GB"/>
        </w:rPr>
        <w:t xml:space="preserve"> 2019</w:t>
      </w:r>
      <w:r w:rsidRPr="003C11E9">
        <w:rPr>
          <w:rFonts w:ascii="Garamond" w:eastAsia="Times New Roman" w:hAnsi="Garamond" w:cs="Arial"/>
          <w:lang w:eastAsia="en-GB"/>
        </w:rPr>
        <w:t xml:space="preserve"> and facing a </w:t>
      </w:r>
      <w:r>
        <w:rPr>
          <w:rFonts w:ascii="Garamond" w:eastAsia="Times New Roman" w:hAnsi="Garamond" w:cs="Arial"/>
          <w:lang w:eastAsia="en-GB"/>
        </w:rPr>
        <w:t>risk of long</w:t>
      </w:r>
      <w:r w:rsidRPr="003C11E9">
        <w:rPr>
          <w:rFonts w:ascii="Garamond" w:eastAsia="Times New Roman" w:hAnsi="Garamond" w:cs="Arial"/>
          <w:lang w:eastAsia="en-GB"/>
        </w:rPr>
        <w:t xml:space="preserve"> period of economic</w:t>
      </w:r>
      <w:r>
        <w:rPr>
          <w:rFonts w:ascii="Garamond" w:eastAsia="Times New Roman" w:hAnsi="Garamond" w:cs="Arial"/>
          <w:lang w:eastAsia="en-GB"/>
        </w:rPr>
        <w:t xml:space="preserve"> slowdown</w:t>
      </w:r>
      <w:r w:rsidRPr="003C11E9">
        <w:rPr>
          <w:rFonts w:ascii="Garamond" w:eastAsia="Times New Roman" w:hAnsi="Garamond" w:cs="Arial"/>
          <w:lang w:eastAsia="en-GB"/>
        </w:rPr>
        <w:t xml:space="preserve"> and financial disruption</w:t>
      </w:r>
      <w:r>
        <w:rPr>
          <w:rFonts w:ascii="Garamond" w:eastAsia="Times New Roman" w:hAnsi="Garamond" w:cs="Arial"/>
          <w:lang w:eastAsia="en-GB"/>
        </w:rPr>
        <w:t xml:space="preserve"> is growing bigger</w:t>
      </w:r>
      <w:r w:rsidRPr="003C11E9">
        <w:rPr>
          <w:rFonts w:ascii="Garamond" w:eastAsia="Times New Roman" w:hAnsi="Garamond" w:cs="Arial"/>
          <w:lang w:eastAsia="en-GB"/>
        </w:rPr>
        <w:t>.</w:t>
      </w:r>
      <w:r w:rsidRPr="00511A40">
        <w:rPr>
          <w:rFonts w:ascii="Garamond" w:eastAsia="Times New Roman" w:hAnsi="Garamond" w:cs="Arial"/>
          <w:lang w:eastAsia="en-GB"/>
        </w:rPr>
        <w:t xml:space="preserve"> Meanwhile, as popular support for a no-deal Brexit has dipped, Norway</w:t>
      </w:r>
      <w:r>
        <w:rPr>
          <w:rFonts w:ascii="Garamond" w:eastAsia="Times New Roman" w:hAnsi="Garamond" w:cs="Arial"/>
          <w:lang w:eastAsia="en-GB"/>
        </w:rPr>
        <w:t>-style deal, where the UK exits</w:t>
      </w:r>
      <w:r w:rsidRPr="00511A40">
        <w:rPr>
          <w:rFonts w:ascii="Garamond" w:eastAsia="Times New Roman" w:hAnsi="Garamond" w:cs="Arial"/>
          <w:lang w:eastAsia="en-GB"/>
        </w:rPr>
        <w:t xml:space="preserve"> but rem</w:t>
      </w:r>
      <w:r>
        <w:rPr>
          <w:rFonts w:ascii="Garamond" w:eastAsia="Times New Roman" w:hAnsi="Garamond" w:cs="Arial"/>
          <w:lang w:eastAsia="en-GB"/>
        </w:rPr>
        <w:t>ains in a customs union with EU</w:t>
      </w:r>
      <w:r w:rsidRPr="00511A40">
        <w:rPr>
          <w:rFonts w:ascii="Garamond" w:eastAsia="Times New Roman" w:hAnsi="Garamond" w:cs="Arial"/>
          <w:lang w:eastAsia="en-GB"/>
        </w:rPr>
        <w:t xml:space="preserve"> enjoying the benefits of single market</w:t>
      </w:r>
      <w:r>
        <w:rPr>
          <w:rFonts w:ascii="Garamond" w:eastAsia="Times New Roman" w:hAnsi="Garamond" w:cs="Arial"/>
          <w:lang w:eastAsia="en-GB"/>
        </w:rPr>
        <w:t>, is gaining support in UK</w:t>
      </w:r>
      <w:r w:rsidRPr="00511A40">
        <w:rPr>
          <w:rFonts w:ascii="Garamond" w:eastAsia="Times New Roman" w:hAnsi="Garamond" w:cs="Arial"/>
          <w:lang w:eastAsia="en-GB"/>
        </w:rPr>
        <w:t>.</w:t>
      </w:r>
    </w:p>
    <w:p w:rsidR="002B2DA3" w:rsidRDefault="002B2DA3" w:rsidP="002B2DA3">
      <w:pPr>
        <w:jc w:val="both"/>
        <w:rPr>
          <w:rFonts w:ascii="Garamond" w:eastAsia="Times New Roman" w:hAnsi="Garamond" w:cs="Arial"/>
          <w:lang w:eastAsia="en-GB"/>
        </w:rPr>
      </w:pPr>
    </w:p>
    <w:p w:rsidR="002B2DA3" w:rsidRPr="004459EB" w:rsidRDefault="002B2DA3" w:rsidP="002B2DA3">
      <w:pPr>
        <w:autoSpaceDE w:val="0"/>
        <w:autoSpaceDN w:val="0"/>
        <w:adjustRightInd w:val="0"/>
        <w:jc w:val="both"/>
        <w:rPr>
          <w:rFonts w:ascii="Garamond" w:eastAsia="Times New Roman" w:hAnsi="Garamond" w:cs="Arial"/>
          <w:lang w:eastAsia="en-GB"/>
        </w:rPr>
      </w:pPr>
      <w:r w:rsidRPr="00B86D87">
        <w:rPr>
          <w:rFonts w:ascii="Garamond" w:eastAsia="Times New Roman" w:hAnsi="Garamond" w:cs="Arial"/>
          <w:lang w:eastAsia="en-GB"/>
        </w:rPr>
        <w:t xml:space="preserve">The Chinese economy expanded by 6.4 </w:t>
      </w:r>
      <w:r>
        <w:rPr>
          <w:rFonts w:ascii="Garamond" w:eastAsia="Times New Roman" w:hAnsi="Garamond" w:cs="Arial"/>
          <w:lang w:eastAsia="en-GB"/>
        </w:rPr>
        <w:t>per cent</w:t>
      </w:r>
      <w:r w:rsidRPr="00B86D87">
        <w:rPr>
          <w:rFonts w:ascii="Garamond" w:eastAsia="Times New Roman" w:hAnsi="Garamond" w:cs="Arial"/>
          <w:lang w:eastAsia="en-GB"/>
        </w:rPr>
        <w:t xml:space="preserve"> in the fourth quarter of 2018 (vs 6.5 per cent in the third quarter of 2018).  It was the lowest growth rate since the global financial crisis, amid intense trade dispute with the US, weakening domestic demand and alarming off-balance-sheet borrowings by local governments. Considering full 2018, the economy expanded by 6.6 </w:t>
      </w:r>
      <w:r>
        <w:rPr>
          <w:rFonts w:ascii="Garamond" w:eastAsia="Times New Roman" w:hAnsi="Garamond" w:cs="Arial"/>
          <w:lang w:eastAsia="en-GB"/>
        </w:rPr>
        <w:t>per cent</w:t>
      </w:r>
      <w:r w:rsidRPr="00B86D87">
        <w:rPr>
          <w:rFonts w:ascii="Garamond" w:eastAsia="Times New Roman" w:hAnsi="Garamond" w:cs="Arial"/>
          <w:lang w:eastAsia="en-GB"/>
        </w:rPr>
        <w:t xml:space="preserve">, the weakest pace since 1990. </w:t>
      </w:r>
      <w:hyperlink r:id="rId28" w:history="1">
        <w:r w:rsidRPr="00B86D87">
          <w:rPr>
            <w:rFonts w:ascii="Garamond" w:eastAsia="Times New Roman" w:hAnsi="Garamond" w:cs="Arial"/>
            <w:lang w:eastAsia="en-GB"/>
          </w:rPr>
          <w:t>IMF forecasts China to grow at 6.2 per cent in 2019 and also in 2020</w:t>
        </w:r>
      </w:hyperlink>
      <w:r w:rsidRPr="00B86D87">
        <w:rPr>
          <w:rFonts w:ascii="Garamond" w:eastAsia="Times New Roman" w:hAnsi="Garamond" w:cs="Arial"/>
          <w:lang w:eastAsia="en-GB"/>
        </w:rPr>
        <w:t>. Chinese central bank has left policy interest rate unchanged at 4.35</w:t>
      </w:r>
      <w:r>
        <w:rPr>
          <w:rFonts w:ascii="Garamond" w:eastAsia="Times New Roman" w:hAnsi="Garamond" w:cs="Arial"/>
          <w:lang w:eastAsia="en-GB"/>
        </w:rPr>
        <w:t>per cent</w:t>
      </w:r>
      <w:r w:rsidRPr="00B86D87">
        <w:rPr>
          <w:rFonts w:ascii="Garamond" w:eastAsia="Times New Roman" w:hAnsi="Garamond" w:cs="Arial"/>
          <w:lang w:eastAsia="en-GB"/>
        </w:rPr>
        <w:t xml:space="preserve"> since September 2015, even though inflation fell to pick up. Headline inflation in China was 1.5</w:t>
      </w:r>
      <w:r>
        <w:rPr>
          <w:rFonts w:ascii="Garamond" w:eastAsia="Times New Roman" w:hAnsi="Garamond" w:cs="Arial"/>
          <w:lang w:eastAsia="en-GB"/>
        </w:rPr>
        <w:t>per cent</w:t>
      </w:r>
      <w:r w:rsidRPr="00B86D87">
        <w:rPr>
          <w:rFonts w:ascii="Garamond" w:eastAsia="Times New Roman" w:hAnsi="Garamond" w:cs="Arial"/>
          <w:lang w:eastAsia="en-GB"/>
        </w:rPr>
        <w:t xml:space="preserve"> in February 2019 (vs 1.7</w:t>
      </w:r>
      <w:r>
        <w:rPr>
          <w:rFonts w:ascii="Garamond" w:eastAsia="Times New Roman" w:hAnsi="Garamond" w:cs="Arial"/>
          <w:lang w:eastAsia="en-GB"/>
        </w:rPr>
        <w:t>per cent</w:t>
      </w:r>
      <w:r w:rsidRPr="00B86D87">
        <w:rPr>
          <w:rFonts w:ascii="Garamond" w:eastAsia="Times New Roman" w:hAnsi="Garamond" w:cs="Arial"/>
          <w:lang w:eastAsia="en-GB"/>
        </w:rPr>
        <w:t xml:space="preserve"> in previous month).</w:t>
      </w:r>
      <w:r>
        <w:rPr>
          <w:rFonts w:ascii="Garamond" w:eastAsia="Times New Roman" w:hAnsi="Garamond" w:cs="Arial"/>
          <w:lang w:eastAsia="en-GB"/>
        </w:rPr>
        <w:t xml:space="preserve"> According to IMF, while c</w:t>
      </w:r>
      <w:r w:rsidRPr="004459EB">
        <w:rPr>
          <w:rFonts w:ascii="Garamond" w:eastAsia="Times New Roman" w:hAnsi="Garamond" w:cs="Arial"/>
          <w:lang w:eastAsia="en-GB"/>
        </w:rPr>
        <w:t>hina’s economy will slow</w:t>
      </w:r>
      <w:r>
        <w:rPr>
          <w:rFonts w:ascii="Garamond" w:eastAsia="Times New Roman" w:hAnsi="Garamond" w:cs="Arial"/>
          <w:lang w:eastAsia="en-GB"/>
        </w:rPr>
        <w:t xml:space="preserve"> down</w:t>
      </w:r>
      <w:r w:rsidRPr="004459EB">
        <w:rPr>
          <w:rFonts w:ascii="Garamond" w:eastAsia="Times New Roman" w:hAnsi="Garamond" w:cs="Arial"/>
          <w:lang w:eastAsia="en-GB"/>
        </w:rPr>
        <w:t xml:space="preserve"> due to the combined influence of needed financial regulatory tightening and trade tensions with the US, India’s economy is expected to </w:t>
      </w:r>
      <w:r>
        <w:rPr>
          <w:rFonts w:ascii="Garamond" w:eastAsia="Times New Roman" w:hAnsi="Garamond" w:cs="Arial"/>
          <w:lang w:eastAsia="en-GB"/>
        </w:rPr>
        <w:t>grow strongly</w:t>
      </w:r>
      <w:r w:rsidRPr="004459EB">
        <w:rPr>
          <w:rFonts w:ascii="Garamond" w:eastAsia="Times New Roman" w:hAnsi="Garamond" w:cs="Arial"/>
          <w:lang w:eastAsia="en-GB"/>
        </w:rPr>
        <w:t xml:space="preserve"> in 2019, benefiting from lower oil prices and a slower pace of monetary tightening than previously expected. </w:t>
      </w:r>
    </w:p>
    <w:p w:rsidR="002B2DA3" w:rsidRPr="00B86D87" w:rsidRDefault="002B2DA3" w:rsidP="002B2DA3">
      <w:pPr>
        <w:autoSpaceDE w:val="0"/>
        <w:autoSpaceDN w:val="0"/>
        <w:adjustRightInd w:val="0"/>
        <w:jc w:val="both"/>
        <w:rPr>
          <w:rFonts w:ascii="Garamond" w:eastAsia="Times New Roman" w:hAnsi="Garamond" w:cs="Arial"/>
          <w:lang w:eastAsia="en-GB"/>
        </w:rPr>
      </w:pPr>
    </w:p>
    <w:p w:rsidR="002B2DA3" w:rsidRDefault="002B2DA3" w:rsidP="002B2DA3">
      <w:pPr>
        <w:jc w:val="both"/>
        <w:rPr>
          <w:rFonts w:ascii="Garamond" w:eastAsia="Times New Roman" w:hAnsi="Garamond" w:cs="Arial"/>
          <w:lang w:eastAsia="en-GB"/>
        </w:rPr>
      </w:pPr>
      <w:r w:rsidRPr="009E01CB">
        <w:rPr>
          <w:rFonts w:ascii="Garamond" w:eastAsia="Times New Roman" w:hAnsi="Garamond" w:cs="Arial"/>
          <w:lang w:eastAsia="en-GB"/>
        </w:rPr>
        <w:t xml:space="preserve">The economic outlook in India remains favorable, underpinned by robust private consumption, </w:t>
      </w:r>
      <w:r>
        <w:rPr>
          <w:rFonts w:ascii="Garamond" w:eastAsia="Times New Roman" w:hAnsi="Garamond" w:cs="Arial"/>
          <w:lang w:eastAsia="en-GB"/>
        </w:rPr>
        <w:t xml:space="preserve">strong government spending, </w:t>
      </w:r>
      <w:r w:rsidRPr="009E01CB">
        <w:rPr>
          <w:rFonts w:ascii="Garamond" w:eastAsia="Times New Roman" w:hAnsi="Garamond" w:cs="Arial"/>
          <w:lang w:eastAsia="en-GB"/>
        </w:rPr>
        <w:t>benefits from previous reforms</w:t>
      </w:r>
      <w:r>
        <w:rPr>
          <w:rFonts w:ascii="Garamond" w:eastAsia="Times New Roman" w:hAnsi="Garamond" w:cs="Arial"/>
          <w:lang w:eastAsia="en-GB"/>
        </w:rPr>
        <w:t xml:space="preserve"> and </w:t>
      </w:r>
      <w:r w:rsidRPr="00C710F3">
        <w:rPr>
          <w:rFonts w:ascii="Garamond" w:eastAsia="Times New Roman" w:hAnsi="Garamond" w:cs="Arial"/>
          <w:lang w:eastAsia="en-GB"/>
        </w:rPr>
        <w:t>lower oil prices</w:t>
      </w:r>
      <w:r>
        <w:rPr>
          <w:rFonts w:ascii="Garamond" w:eastAsia="Times New Roman" w:hAnsi="Garamond" w:cs="Arial"/>
          <w:lang w:eastAsia="en-GB"/>
        </w:rPr>
        <w:t xml:space="preserve">, </w:t>
      </w:r>
      <w:r w:rsidRPr="00FB66FC">
        <w:rPr>
          <w:rFonts w:ascii="Garamond" w:eastAsia="Times New Roman" w:hAnsi="Garamond" w:cs="Arial"/>
          <w:lang w:eastAsia="en-GB"/>
        </w:rPr>
        <w:t>although weak public finances and global trade protectionism could weigh on prospects</w:t>
      </w:r>
      <w:r w:rsidRPr="009E01CB">
        <w:rPr>
          <w:rFonts w:ascii="Garamond" w:eastAsia="Times New Roman" w:hAnsi="Garamond" w:cs="Arial"/>
          <w:lang w:eastAsia="en-GB"/>
        </w:rPr>
        <w:t>.</w:t>
      </w:r>
      <w:r>
        <w:rPr>
          <w:rFonts w:ascii="Garamond" w:eastAsia="Times New Roman" w:hAnsi="Garamond" w:cs="Arial"/>
          <w:lang w:eastAsia="en-GB"/>
        </w:rPr>
        <w:t xml:space="preserve"> </w:t>
      </w:r>
      <w:r w:rsidRPr="00C710F3">
        <w:rPr>
          <w:rFonts w:ascii="Garamond" w:eastAsia="Times New Roman" w:hAnsi="Garamond" w:cs="Arial"/>
          <w:lang w:eastAsia="en-GB"/>
        </w:rPr>
        <w:t xml:space="preserve">India's GDP growth slowed unexpectedly to 6.6 per cent in the fourth quarter of 2018, lower than consensus estimate of 6.9 </w:t>
      </w:r>
      <w:r>
        <w:rPr>
          <w:rFonts w:ascii="Garamond" w:eastAsia="Times New Roman" w:hAnsi="Garamond" w:cs="Arial"/>
          <w:lang w:eastAsia="en-GB"/>
        </w:rPr>
        <w:t>per cent</w:t>
      </w:r>
      <w:r w:rsidRPr="00C710F3">
        <w:rPr>
          <w:rFonts w:ascii="Garamond" w:eastAsia="Times New Roman" w:hAnsi="Garamond" w:cs="Arial"/>
          <w:lang w:eastAsia="en-GB"/>
        </w:rPr>
        <w:t xml:space="preserve"> and previous quarter growth rate of 7 </w:t>
      </w:r>
      <w:r>
        <w:rPr>
          <w:rFonts w:ascii="Garamond" w:eastAsia="Times New Roman" w:hAnsi="Garamond" w:cs="Arial"/>
          <w:lang w:eastAsia="en-GB"/>
        </w:rPr>
        <w:t>per cent</w:t>
      </w:r>
      <w:r w:rsidRPr="00C710F3">
        <w:rPr>
          <w:rFonts w:ascii="Garamond" w:eastAsia="Times New Roman" w:hAnsi="Garamond" w:cs="Arial"/>
          <w:lang w:eastAsia="en-GB"/>
        </w:rPr>
        <w:t xml:space="preserve">. </w:t>
      </w:r>
      <w:r>
        <w:rPr>
          <w:rFonts w:ascii="Garamond" w:eastAsia="Times New Roman" w:hAnsi="Garamond" w:cs="Arial"/>
          <w:lang w:eastAsia="en-GB"/>
        </w:rPr>
        <w:t>Despite this drop in growth rate, India surpassed</w:t>
      </w:r>
      <w:r w:rsidRPr="00C710F3">
        <w:rPr>
          <w:rFonts w:ascii="Garamond" w:eastAsia="Times New Roman" w:hAnsi="Garamond" w:cs="Arial"/>
          <w:lang w:eastAsia="en-GB"/>
        </w:rPr>
        <w:t xml:space="preserve"> China to retain the tag of the world's fastest growing large economy. The Chinese economy grew at 6.4 per cent in the December 2018 quarter. The growth in GDP during 2018-19 is estimated at 7 per cent as compared to the growth rate of 7.2 per cent in 2017- 18.</w:t>
      </w:r>
      <w:r>
        <w:rPr>
          <w:rFonts w:ascii="Garamond" w:eastAsia="Times New Roman" w:hAnsi="Garamond" w:cs="Arial"/>
          <w:lang w:eastAsia="en-GB"/>
        </w:rPr>
        <w:t xml:space="preserve"> While </w:t>
      </w:r>
      <w:hyperlink r:id="rId29" w:history="1">
        <w:r w:rsidRPr="00310253">
          <w:rPr>
            <w:rFonts w:ascii="Garamond" w:eastAsia="Times New Roman" w:hAnsi="Garamond" w:cs="Arial"/>
            <w:lang w:eastAsia="en-GB"/>
          </w:rPr>
          <w:t xml:space="preserve">IMF forecasts India to </w:t>
        </w:r>
        <w:r>
          <w:rPr>
            <w:rFonts w:ascii="Garamond" w:eastAsia="Times New Roman" w:hAnsi="Garamond" w:cs="Arial"/>
            <w:lang w:eastAsia="en-GB"/>
          </w:rPr>
          <w:t>grow at 7.5 per cent in FY 2019 and</w:t>
        </w:r>
        <w:r w:rsidRPr="00310253">
          <w:rPr>
            <w:rFonts w:ascii="Garamond" w:eastAsia="Times New Roman" w:hAnsi="Garamond" w:cs="Arial"/>
            <w:lang w:eastAsia="en-GB"/>
          </w:rPr>
          <w:t xml:space="preserve"> 7.7 per cent in FY 2020</w:t>
        </w:r>
      </w:hyperlink>
      <w:r>
        <w:rPr>
          <w:rFonts w:ascii="Garamond" w:eastAsia="Times New Roman" w:hAnsi="Garamond" w:cs="Arial"/>
          <w:lang w:eastAsia="en-GB"/>
        </w:rPr>
        <w:t xml:space="preserve">, </w:t>
      </w:r>
      <w:r w:rsidRPr="00C710F3">
        <w:rPr>
          <w:rFonts w:ascii="Garamond" w:eastAsia="Times New Roman" w:hAnsi="Garamond" w:cs="Arial"/>
          <w:lang w:eastAsia="en-GB"/>
        </w:rPr>
        <w:t>Reserve Bank of India has pegged</w:t>
      </w:r>
      <w:r>
        <w:rPr>
          <w:rFonts w:ascii="Garamond" w:eastAsia="Times New Roman" w:hAnsi="Garamond" w:cs="Arial"/>
          <w:lang w:eastAsia="en-GB"/>
        </w:rPr>
        <w:t xml:space="preserve"> robust</w:t>
      </w:r>
      <w:r w:rsidRPr="00C710F3">
        <w:rPr>
          <w:rFonts w:ascii="Garamond" w:eastAsia="Times New Roman" w:hAnsi="Garamond" w:cs="Arial"/>
          <w:lang w:eastAsia="en-GB"/>
        </w:rPr>
        <w:t xml:space="preserve"> GDP growth at 7.4 per cent in </w:t>
      </w:r>
      <w:r>
        <w:rPr>
          <w:rFonts w:ascii="Garamond" w:eastAsia="Times New Roman" w:hAnsi="Garamond" w:cs="Arial"/>
          <w:lang w:eastAsia="en-GB"/>
        </w:rPr>
        <w:t xml:space="preserve">both </w:t>
      </w:r>
      <w:r w:rsidRPr="00C710F3">
        <w:rPr>
          <w:rFonts w:ascii="Garamond" w:eastAsia="Times New Roman" w:hAnsi="Garamond" w:cs="Arial"/>
          <w:lang w:eastAsia="en-GB"/>
        </w:rPr>
        <w:t>2018-19</w:t>
      </w:r>
      <w:r>
        <w:rPr>
          <w:rFonts w:ascii="Garamond" w:eastAsia="Times New Roman" w:hAnsi="Garamond" w:cs="Arial"/>
          <w:lang w:eastAsia="en-GB"/>
        </w:rPr>
        <w:t xml:space="preserve"> and 2019-20</w:t>
      </w:r>
      <w:r w:rsidRPr="00C710F3">
        <w:rPr>
          <w:rFonts w:ascii="Garamond" w:eastAsia="Times New Roman" w:hAnsi="Garamond" w:cs="Arial"/>
          <w:lang w:eastAsia="en-GB"/>
        </w:rPr>
        <w:t xml:space="preserve">. </w:t>
      </w:r>
      <w:r>
        <w:rPr>
          <w:rFonts w:ascii="Garamond" w:eastAsia="Times New Roman" w:hAnsi="Garamond" w:cs="Arial"/>
          <w:lang w:eastAsia="en-GB"/>
        </w:rPr>
        <w:t xml:space="preserve">Meanwhile, </w:t>
      </w:r>
      <w:r w:rsidRPr="00C710F3">
        <w:rPr>
          <w:rFonts w:ascii="Garamond" w:eastAsia="Times New Roman" w:hAnsi="Garamond" w:cs="Arial"/>
          <w:lang w:eastAsia="en-GB"/>
        </w:rPr>
        <w:t xml:space="preserve">Inflation in India rose to 2.57 </w:t>
      </w:r>
      <w:r>
        <w:rPr>
          <w:rFonts w:ascii="Garamond" w:eastAsia="Times New Roman" w:hAnsi="Garamond" w:cs="Arial"/>
          <w:lang w:eastAsia="en-GB"/>
        </w:rPr>
        <w:t>per cent</w:t>
      </w:r>
      <w:r w:rsidRPr="00C710F3">
        <w:rPr>
          <w:rFonts w:ascii="Garamond" w:eastAsia="Times New Roman" w:hAnsi="Garamond" w:cs="Arial"/>
          <w:lang w:eastAsia="en-GB"/>
        </w:rPr>
        <w:t xml:space="preserve"> in February of 2019 (vs 1.97 </w:t>
      </w:r>
      <w:r>
        <w:rPr>
          <w:rFonts w:ascii="Garamond" w:eastAsia="Times New Roman" w:hAnsi="Garamond" w:cs="Arial"/>
          <w:lang w:eastAsia="en-GB"/>
        </w:rPr>
        <w:t>per cent</w:t>
      </w:r>
      <w:r w:rsidRPr="00C710F3">
        <w:rPr>
          <w:rFonts w:ascii="Garamond" w:eastAsia="Times New Roman" w:hAnsi="Garamond" w:cs="Arial"/>
          <w:lang w:eastAsia="en-GB"/>
        </w:rPr>
        <w:t xml:space="preserve"> in January 2019). In its February meeting, the Reserve Bank of India lowered its inflation forecasts to 2.8 </w:t>
      </w:r>
      <w:r>
        <w:rPr>
          <w:rFonts w:ascii="Garamond" w:eastAsia="Times New Roman" w:hAnsi="Garamond" w:cs="Arial"/>
          <w:lang w:eastAsia="en-GB"/>
        </w:rPr>
        <w:t>per cent</w:t>
      </w:r>
      <w:r w:rsidRPr="00C710F3">
        <w:rPr>
          <w:rFonts w:ascii="Garamond" w:eastAsia="Times New Roman" w:hAnsi="Garamond" w:cs="Arial"/>
          <w:lang w:eastAsia="en-GB"/>
        </w:rPr>
        <w:t xml:space="preserve"> for January-March 2019, giving rise to market expectation of another rate hike of 25bps from 6.25</w:t>
      </w:r>
      <w:r>
        <w:rPr>
          <w:rFonts w:ascii="Garamond" w:eastAsia="Times New Roman" w:hAnsi="Garamond" w:cs="Arial"/>
          <w:lang w:eastAsia="en-GB"/>
        </w:rPr>
        <w:t xml:space="preserve"> per cent</w:t>
      </w:r>
      <w:r w:rsidRPr="00C710F3">
        <w:rPr>
          <w:rFonts w:ascii="Garamond" w:eastAsia="Times New Roman" w:hAnsi="Garamond" w:cs="Arial"/>
          <w:lang w:eastAsia="en-GB"/>
        </w:rPr>
        <w:t xml:space="preserve"> to 6</w:t>
      </w:r>
      <w:r>
        <w:rPr>
          <w:rFonts w:ascii="Garamond" w:eastAsia="Times New Roman" w:hAnsi="Garamond" w:cs="Arial"/>
          <w:lang w:eastAsia="en-GB"/>
        </w:rPr>
        <w:t xml:space="preserve"> per cent</w:t>
      </w:r>
      <w:r w:rsidRPr="00C710F3">
        <w:rPr>
          <w:rFonts w:ascii="Garamond" w:eastAsia="Times New Roman" w:hAnsi="Garamond" w:cs="Arial"/>
          <w:lang w:eastAsia="en-GB"/>
        </w:rPr>
        <w:t xml:space="preserve"> in its monetary policy meeting in April 2019.</w:t>
      </w:r>
      <w:r>
        <w:rPr>
          <w:rFonts w:ascii="Garamond" w:eastAsia="Times New Roman" w:hAnsi="Garamond" w:cs="Arial"/>
          <w:lang w:eastAsia="en-GB"/>
        </w:rPr>
        <w:t xml:space="preserve"> Meanwhile, the financial markets remain on the tenterhooks as investors await the results of general election scheduled in late April 2018 to early May 2019.</w:t>
      </w:r>
    </w:p>
    <w:p w:rsidR="002B2DA3" w:rsidRDefault="002B2DA3" w:rsidP="002B2DA3">
      <w:pPr>
        <w:jc w:val="both"/>
        <w:rPr>
          <w:rFonts w:ascii="Garamond" w:eastAsia="Times New Roman" w:hAnsi="Garamond" w:cs="Arial"/>
          <w:lang w:eastAsia="en-GB"/>
        </w:rPr>
      </w:pPr>
    </w:p>
    <w:p w:rsidR="002B2DA3" w:rsidRPr="00F36F7E" w:rsidRDefault="002B2DA3" w:rsidP="002B2DA3">
      <w:pPr>
        <w:jc w:val="both"/>
        <w:rPr>
          <w:rFonts w:ascii="Garamond" w:eastAsia="Times New Roman" w:hAnsi="Garamond" w:cs="Arial"/>
          <w:lang w:eastAsia="en-GB"/>
        </w:rPr>
      </w:pPr>
      <w:r>
        <w:rPr>
          <w:rFonts w:ascii="Garamond" w:eastAsia="Times New Roman" w:hAnsi="Garamond" w:cs="Arial"/>
          <w:lang w:eastAsia="en-GB"/>
        </w:rPr>
        <w:t xml:space="preserve">As prospects of global economic growth dimmed, the </w:t>
      </w:r>
      <w:r w:rsidRPr="00F36F7E">
        <w:rPr>
          <w:rFonts w:ascii="Garamond" w:eastAsia="Times New Roman" w:hAnsi="Garamond" w:cs="Arial"/>
          <w:lang w:eastAsia="en-GB"/>
        </w:rPr>
        <w:t>Central Banks around the globe rushed to provide monetary stimulus</w:t>
      </w:r>
      <w:r>
        <w:rPr>
          <w:rFonts w:ascii="Garamond" w:eastAsia="Times New Roman" w:hAnsi="Garamond" w:cs="Arial"/>
          <w:lang w:eastAsia="en-GB"/>
        </w:rPr>
        <w:t xml:space="preserve"> to support growth and stimulate low inflation. </w:t>
      </w:r>
      <w:r w:rsidRPr="00F36F7E">
        <w:rPr>
          <w:rFonts w:ascii="Garamond" w:eastAsia="Times New Roman" w:hAnsi="Garamond" w:cs="Arial"/>
          <w:lang w:eastAsia="en-GB"/>
        </w:rPr>
        <w:t>The US Federal Reserve held the target range for the federal funds rate at 2.25-2.5</w:t>
      </w:r>
      <w:r>
        <w:rPr>
          <w:rFonts w:ascii="Garamond" w:eastAsia="Times New Roman" w:hAnsi="Garamond" w:cs="Arial"/>
          <w:lang w:eastAsia="en-GB"/>
        </w:rPr>
        <w:t xml:space="preserve"> per cent</w:t>
      </w:r>
      <w:r w:rsidRPr="00F36F7E">
        <w:rPr>
          <w:rFonts w:ascii="Garamond" w:eastAsia="Times New Roman" w:hAnsi="Garamond" w:cs="Arial"/>
          <w:lang w:eastAsia="en-GB"/>
        </w:rPr>
        <w:t xml:space="preserve"> on January 30th 2019. The Committee said it “would be patient as it determines what future adjustments to the target range for the federal funds rate may be appropriate” and that a pause in its hiking cycle posed “few risks” at this point. The FOMC attributed the greater volatility at year end to the weaker global outlook, perception of increased policy risks and the partial shutdown of US government and said it would be flexible in its approach to normalize its balance sheet. In its meeting in December 2018, the Fed had indicated that there would be no change to its plans to slow or reverse its program of bond sales (‘quantitative tightening’) during 2019. </w:t>
      </w:r>
    </w:p>
    <w:p w:rsidR="002B2DA3" w:rsidRPr="00F36F7E" w:rsidRDefault="002B2DA3" w:rsidP="002B2DA3">
      <w:pPr>
        <w:jc w:val="both"/>
        <w:rPr>
          <w:rFonts w:ascii="Garamond" w:eastAsia="Times New Roman" w:hAnsi="Garamond" w:cs="Arial"/>
          <w:lang w:eastAsia="en-GB"/>
        </w:rPr>
      </w:pPr>
    </w:p>
    <w:p w:rsidR="002B2DA3" w:rsidRPr="00F36F7E" w:rsidRDefault="002B2DA3" w:rsidP="002B2DA3">
      <w:pPr>
        <w:jc w:val="both"/>
        <w:rPr>
          <w:rFonts w:ascii="Garamond" w:eastAsia="Times New Roman" w:hAnsi="Garamond" w:cs="Arial"/>
          <w:lang w:eastAsia="en-GB"/>
        </w:rPr>
      </w:pPr>
      <w:r w:rsidRPr="00F36F7E">
        <w:rPr>
          <w:rFonts w:ascii="Garamond" w:eastAsia="Times New Roman" w:hAnsi="Garamond" w:cs="Arial"/>
          <w:lang w:eastAsia="en-GB"/>
        </w:rPr>
        <w:t xml:space="preserve">The European Central Bank (ECB), on March 7, 2019, held its benchmark refinancing rate at zero </w:t>
      </w:r>
      <w:r>
        <w:rPr>
          <w:rFonts w:ascii="Garamond" w:eastAsia="Times New Roman" w:hAnsi="Garamond" w:cs="Arial"/>
          <w:lang w:eastAsia="en-GB"/>
        </w:rPr>
        <w:t>per cent</w:t>
      </w:r>
      <w:r w:rsidRPr="00F36F7E">
        <w:rPr>
          <w:rFonts w:ascii="Garamond" w:eastAsia="Times New Roman" w:hAnsi="Garamond" w:cs="Arial"/>
          <w:lang w:eastAsia="en-GB"/>
        </w:rPr>
        <w:t xml:space="preserve"> and pushed out the timing of its first rate hike in nearly eight years to 2020 at the earliest. </w:t>
      </w:r>
      <w:r w:rsidRPr="00F36F7E">
        <w:rPr>
          <w:rFonts w:ascii="Garamond" w:eastAsia="Times New Roman" w:hAnsi="Garamond" w:cs="Arial"/>
          <w:lang w:eastAsia="en-GB"/>
        </w:rPr>
        <w:lastRenderedPageBreak/>
        <w:t xml:space="preserve">Surprisingly, ECB also announced new quantitative easing program in the form of third Targeted Long-Term Refinancing Operation (TLTRO III) consisting of two-year loans at low interest rates in order to avoid a credit squeeze that could worsen the economic slowdown and boost the fragile economic growth by stimulating aggregate demand. Under TLTRO-III, counterparties will be entitled to borrow up to 30 </w:t>
      </w:r>
      <w:r>
        <w:rPr>
          <w:rFonts w:ascii="Garamond" w:eastAsia="Times New Roman" w:hAnsi="Garamond" w:cs="Arial"/>
          <w:lang w:eastAsia="en-GB"/>
        </w:rPr>
        <w:t>per cent</w:t>
      </w:r>
      <w:r w:rsidRPr="00F36F7E">
        <w:rPr>
          <w:rFonts w:ascii="Garamond" w:eastAsia="Times New Roman" w:hAnsi="Garamond" w:cs="Arial"/>
          <w:lang w:eastAsia="en-GB"/>
        </w:rPr>
        <w:t xml:space="preserve"> of the stock of eligible loans as at 28 February 2019 at a rate indexed to the interest rate on the main refinancing operations. ECB also postponed wind up of its ongoing asset purchase program (purchasing $ 17 billion of bonds a month) for an extended period of time. ECB announced that it would re-invest the principal payments from maturing securities purchased under the asset purchase program. So this new monetary stimulus is expected to achieve inflation target of 2</w:t>
      </w:r>
      <w:r>
        <w:rPr>
          <w:rFonts w:ascii="Garamond" w:eastAsia="Times New Roman" w:hAnsi="Garamond" w:cs="Arial"/>
          <w:lang w:eastAsia="en-GB"/>
        </w:rPr>
        <w:t>per cent</w:t>
      </w:r>
      <w:r w:rsidRPr="00F36F7E">
        <w:rPr>
          <w:rFonts w:ascii="Garamond" w:eastAsia="Times New Roman" w:hAnsi="Garamond" w:cs="Arial"/>
          <w:lang w:eastAsia="en-GB"/>
        </w:rPr>
        <w:t xml:space="preserve"> over medium term and to support fragile economic growth in the Eurozone. Meanwhile, ECB has cut its GDP growth forecast for 2019 to 1.1 </w:t>
      </w:r>
      <w:r>
        <w:rPr>
          <w:rFonts w:ascii="Garamond" w:eastAsia="Times New Roman" w:hAnsi="Garamond" w:cs="Arial"/>
          <w:lang w:eastAsia="en-GB"/>
        </w:rPr>
        <w:t>per cent</w:t>
      </w:r>
      <w:r w:rsidRPr="00F36F7E">
        <w:rPr>
          <w:rFonts w:ascii="Garamond" w:eastAsia="Times New Roman" w:hAnsi="Garamond" w:cs="Arial"/>
          <w:lang w:eastAsia="en-GB"/>
        </w:rPr>
        <w:t xml:space="preserve"> (vs 1.7 </w:t>
      </w:r>
      <w:r>
        <w:rPr>
          <w:rFonts w:ascii="Garamond" w:eastAsia="Times New Roman" w:hAnsi="Garamond" w:cs="Arial"/>
          <w:lang w:eastAsia="en-GB"/>
        </w:rPr>
        <w:t>per cent</w:t>
      </w:r>
      <w:r w:rsidRPr="00F36F7E">
        <w:rPr>
          <w:rFonts w:ascii="Garamond" w:eastAsia="Times New Roman" w:hAnsi="Garamond" w:cs="Arial"/>
          <w:lang w:eastAsia="en-GB"/>
        </w:rPr>
        <w:t xml:space="preserve"> previously estimated) and inflation rate for 2019 at 1.2 </w:t>
      </w:r>
      <w:r>
        <w:rPr>
          <w:rFonts w:ascii="Garamond" w:eastAsia="Times New Roman" w:hAnsi="Garamond" w:cs="Arial"/>
          <w:lang w:eastAsia="en-GB"/>
        </w:rPr>
        <w:t>per cent</w:t>
      </w:r>
      <w:r w:rsidRPr="00F36F7E">
        <w:rPr>
          <w:rFonts w:ascii="Garamond" w:eastAsia="Times New Roman" w:hAnsi="Garamond" w:cs="Arial"/>
          <w:lang w:eastAsia="en-GB"/>
        </w:rPr>
        <w:t xml:space="preserve"> (vs 1.8 </w:t>
      </w:r>
      <w:r>
        <w:rPr>
          <w:rFonts w:ascii="Garamond" w:eastAsia="Times New Roman" w:hAnsi="Garamond" w:cs="Arial"/>
          <w:lang w:eastAsia="en-GB"/>
        </w:rPr>
        <w:t>per cent</w:t>
      </w:r>
      <w:r w:rsidRPr="00F36F7E">
        <w:rPr>
          <w:rFonts w:ascii="Garamond" w:eastAsia="Times New Roman" w:hAnsi="Garamond" w:cs="Arial"/>
          <w:lang w:eastAsia="en-GB"/>
        </w:rPr>
        <w:t xml:space="preserve"> previously estimated).</w:t>
      </w:r>
    </w:p>
    <w:p w:rsidR="002B2DA3" w:rsidRPr="00F36F7E" w:rsidRDefault="002B2DA3" w:rsidP="002B2DA3">
      <w:pPr>
        <w:jc w:val="both"/>
        <w:rPr>
          <w:rFonts w:ascii="Garamond" w:eastAsia="Times New Roman" w:hAnsi="Garamond" w:cs="Arial"/>
          <w:lang w:eastAsia="en-GB"/>
        </w:rPr>
      </w:pPr>
    </w:p>
    <w:p w:rsidR="002B2DA3" w:rsidRPr="00F36F7E" w:rsidRDefault="002B2DA3" w:rsidP="002B2DA3">
      <w:pPr>
        <w:jc w:val="both"/>
        <w:rPr>
          <w:rFonts w:ascii="Garamond" w:eastAsia="Times New Roman" w:hAnsi="Garamond" w:cs="Arial"/>
          <w:lang w:eastAsia="en-GB"/>
        </w:rPr>
      </w:pPr>
      <w:r w:rsidRPr="00F36F7E">
        <w:rPr>
          <w:rFonts w:ascii="Garamond" w:eastAsia="Times New Roman" w:hAnsi="Garamond" w:cs="Arial"/>
          <w:lang w:eastAsia="en-GB"/>
        </w:rPr>
        <w:t xml:space="preserve">The Bank of Japan left its key short-term interest rate unchanged at -0.1 </w:t>
      </w:r>
      <w:r>
        <w:rPr>
          <w:rFonts w:ascii="Garamond" w:eastAsia="Times New Roman" w:hAnsi="Garamond" w:cs="Arial"/>
          <w:lang w:eastAsia="en-GB"/>
        </w:rPr>
        <w:t>per cent</w:t>
      </w:r>
      <w:r w:rsidRPr="00F36F7E">
        <w:rPr>
          <w:rFonts w:ascii="Garamond" w:eastAsia="Times New Roman" w:hAnsi="Garamond" w:cs="Arial"/>
          <w:lang w:eastAsia="en-GB"/>
        </w:rPr>
        <w:t xml:space="preserve"> at its January meeting and kept the target for the 10-year government bond yield at around zero </w:t>
      </w:r>
      <w:r>
        <w:rPr>
          <w:rFonts w:ascii="Garamond" w:eastAsia="Times New Roman" w:hAnsi="Garamond" w:cs="Arial"/>
          <w:lang w:eastAsia="en-GB"/>
        </w:rPr>
        <w:t>per cent</w:t>
      </w:r>
      <w:r w:rsidRPr="00F36F7E">
        <w:rPr>
          <w:rFonts w:ascii="Garamond" w:eastAsia="Times New Roman" w:hAnsi="Garamond" w:cs="Arial"/>
          <w:lang w:eastAsia="en-GB"/>
        </w:rPr>
        <w:t xml:space="preserve">. At the same time, the central bank revised down inflation forecast for fiscal 2019 to average 1.1 </w:t>
      </w:r>
      <w:r>
        <w:rPr>
          <w:rFonts w:ascii="Garamond" w:eastAsia="Times New Roman" w:hAnsi="Garamond" w:cs="Arial"/>
          <w:lang w:eastAsia="en-GB"/>
        </w:rPr>
        <w:t>per cent</w:t>
      </w:r>
      <w:r w:rsidRPr="00F36F7E">
        <w:rPr>
          <w:rFonts w:ascii="Garamond" w:eastAsia="Times New Roman" w:hAnsi="Garamond" w:cs="Arial"/>
          <w:lang w:eastAsia="en-GB"/>
        </w:rPr>
        <w:t xml:space="preserve"> from an earlier projection of 1.6 </w:t>
      </w:r>
      <w:r>
        <w:rPr>
          <w:rFonts w:ascii="Garamond" w:eastAsia="Times New Roman" w:hAnsi="Garamond" w:cs="Arial"/>
          <w:lang w:eastAsia="en-GB"/>
        </w:rPr>
        <w:t>per cent</w:t>
      </w:r>
      <w:r w:rsidRPr="00F36F7E">
        <w:rPr>
          <w:rFonts w:ascii="Garamond" w:eastAsia="Times New Roman" w:hAnsi="Garamond" w:cs="Arial"/>
          <w:lang w:eastAsia="en-GB"/>
        </w:rPr>
        <w:t xml:space="preserve">, mainly due to a decline in crude oil prices and worries over global economic outlook. The BoJ also decided to continue its annual asset purchase program to the tune of  JPY 80 trillion yen ($720 billion) in Japanese Government Bonds,  JPY 6 trillion yen ($ 54 billion) in ETFs and JPY 90 billion ($ 0.8 billion) in REITs. In the meantime, Japanese government cut its GDP growth forecast for 2019 to 1.3 </w:t>
      </w:r>
      <w:r>
        <w:rPr>
          <w:rFonts w:ascii="Garamond" w:eastAsia="Times New Roman" w:hAnsi="Garamond" w:cs="Arial"/>
          <w:lang w:eastAsia="en-GB"/>
        </w:rPr>
        <w:t>per cent</w:t>
      </w:r>
      <w:r w:rsidRPr="00F36F7E">
        <w:rPr>
          <w:rFonts w:ascii="Garamond" w:eastAsia="Times New Roman" w:hAnsi="Garamond" w:cs="Arial"/>
          <w:lang w:eastAsia="en-GB"/>
        </w:rPr>
        <w:t xml:space="preserve"> (vs 1.5 </w:t>
      </w:r>
      <w:r>
        <w:rPr>
          <w:rFonts w:ascii="Garamond" w:eastAsia="Times New Roman" w:hAnsi="Garamond" w:cs="Arial"/>
          <w:lang w:eastAsia="en-GB"/>
        </w:rPr>
        <w:t>per cent</w:t>
      </w:r>
      <w:r w:rsidRPr="00F36F7E">
        <w:rPr>
          <w:rFonts w:ascii="Garamond" w:eastAsia="Times New Roman" w:hAnsi="Garamond" w:cs="Arial"/>
          <w:lang w:eastAsia="en-GB"/>
        </w:rPr>
        <w:t xml:space="preserve"> previously forecasted). </w:t>
      </w:r>
    </w:p>
    <w:p w:rsidR="002B2DA3" w:rsidRPr="00F36F7E" w:rsidRDefault="002B2DA3" w:rsidP="002B2DA3">
      <w:pPr>
        <w:outlineLvl w:val="0"/>
        <w:rPr>
          <w:rFonts w:ascii="Garamond" w:hAnsi="Garamond"/>
          <w:b/>
        </w:rPr>
      </w:pPr>
    </w:p>
    <w:p w:rsidR="002B2DA3" w:rsidRDefault="002B2DA3" w:rsidP="002B2DA3">
      <w:pPr>
        <w:outlineLvl w:val="0"/>
        <w:rPr>
          <w:rFonts w:ascii="Garamond" w:hAnsi="Garamond"/>
          <w:b/>
        </w:rPr>
      </w:pPr>
    </w:p>
    <w:p w:rsidR="002B2DA3" w:rsidRDefault="002B2DA3" w:rsidP="002B2DA3">
      <w:pPr>
        <w:outlineLvl w:val="0"/>
        <w:rPr>
          <w:rFonts w:ascii="Garamond" w:hAnsi="Garamond"/>
          <w:b/>
        </w:rPr>
      </w:pPr>
    </w:p>
    <w:p w:rsidR="002B2DA3" w:rsidRPr="00A422FC" w:rsidRDefault="002B2DA3" w:rsidP="002B2DA3">
      <w:pPr>
        <w:outlineLvl w:val="0"/>
        <w:rPr>
          <w:rFonts w:ascii="Garamond" w:hAnsi="Garamond"/>
          <w:b/>
        </w:rPr>
      </w:pPr>
      <w:r w:rsidRPr="00A422FC">
        <w:rPr>
          <w:rFonts w:ascii="Garamond" w:hAnsi="Garamond"/>
          <w:b/>
        </w:rPr>
        <w:t>Equity Markets:</w:t>
      </w:r>
    </w:p>
    <w:p w:rsidR="002B2DA3" w:rsidRDefault="002B2DA3" w:rsidP="002B2DA3">
      <w:pPr>
        <w:jc w:val="both"/>
        <w:rPr>
          <w:rFonts w:ascii="Garamond" w:eastAsia="Times New Roman" w:hAnsi="Garamond" w:cs="Arial"/>
          <w:lang w:eastAsia="en-GB"/>
        </w:rPr>
      </w:pPr>
    </w:p>
    <w:p w:rsidR="002B2DA3" w:rsidRDefault="002B2DA3" w:rsidP="002B2DA3">
      <w:pPr>
        <w:jc w:val="both"/>
        <w:rPr>
          <w:rFonts w:ascii="Garamond" w:eastAsia="Times New Roman" w:hAnsi="Garamond" w:cs="Arial"/>
          <w:lang w:eastAsia="en-GB"/>
        </w:rPr>
      </w:pPr>
      <w:r w:rsidRPr="002355EF">
        <w:rPr>
          <w:rFonts w:ascii="Garamond" w:eastAsia="Times New Roman" w:hAnsi="Garamond" w:cs="Arial"/>
          <w:lang w:eastAsia="en-GB"/>
        </w:rPr>
        <w:t xml:space="preserve">Global stocks advanced on signs of progress in U.S.-China trade negotiations and hints that monetary tightening may be on hold in the U.S. and Europe. </w:t>
      </w:r>
      <w:r w:rsidRPr="00784313">
        <w:rPr>
          <w:rFonts w:ascii="Garamond" w:eastAsia="Times New Roman" w:hAnsi="Garamond" w:cs="Arial"/>
          <w:lang w:eastAsia="en-GB"/>
        </w:rPr>
        <w:t>Both developed and emerging market equities gained over 7</w:t>
      </w:r>
      <w:r>
        <w:rPr>
          <w:rFonts w:ascii="Garamond" w:eastAsia="Times New Roman" w:hAnsi="Garamond" w:cs="Arial"/>
          <w:lang w:eastAsia="en-GB"/>
        </w:rPr>
        <w:t xml:space="preserve"> per cent</w:t>
      </w:r>
      <w:r w:rsidRPr="00784313">
        <w:rPr>
          <w:rFonts w:ascii="Garamond" w:eastAsia="Times New Roman" w:hAnsi="Garamond" w:cs="Arial"/>
          <w:lang w:eastAsia="en-GB"/>
        </w:rPr>
        <w:t xml:space="preserve"> in January 2019, buoyed by the signals from the US Federal Reserve that it would be more patient with further rate rises, as well as by the growing optimism over end of trade-war between US and China, as both countries held talks in January. Risk assets recovered some of the losses they made in the December 2018. Even so, political uncertainty remains a headwind, while recent macroeconomic data releases continue to send mixed signals about the outlook for the global economy.</w:t>
      </w:r>
    </w:p>
    <w:p w:rsidR="002B2DA3" w:rsidRDefault="002B2DA3" w:rsidP="002B2DA3">
      <w:pPr>
        <w:jc w:val="both"/>
        <w:rPr>
          <w:rFonts w:ascii="Garamond" w:eastAsia="Times New Roman" w:hAnsi="Garamond" w:cs="Arial"/>
          <w:lang w:eastAsia="en-GB"/>
        </w:rPr>
      </w:pPr>
    </w:p>
    <w:p w:rsidR="002B2DA3" w:rsidRPr="00734571" w:rsidRDefault="002B2DA3" w:rsidP="002B2DA3">
      <w:pPr>
        <w:jc w:val="both"/>
        <w:rPr>
          <w:rFonts w:ascii="Garamond" w:eastAsia="Times New Roman" w:hAnsi="Garamond" w:cs="Arial"/>
          <w:lang w:eastAsia="en-GB"/>
        </w:rPr>
      </w:pPr>
      <w:r w:rsidRPr="00D5070B">
        <w:rPr>
          <w:rFonts w:ascii="Garamond" w:eastAsia="Times New Roman" w:hAnsi="Garamond" w:cs="Arial"/>
          <w:lang w:eastAsia="en-GB"/>
        </w:rPr>
        <w:t>The developed markets</w:t>
      </w:r>
      <w:r>
        <w:rPr>
          <w:rFonts w:ascii="Garamond" w:eastAsia="Times New Roman" w:hAnsi="Garamond" w:cs="Arial"/>
          <w:lang w:eastAsia="en-GB"/>
        </w:rPr>
        <w:t xml:space="preserve"> equity</w:t>
      </w:r>
      <w:r w:rsidRPr="00D5070B">
        <w:rPr>
          <w:rFonts w:ascii="Garamond" w:eastAsia="Times New Roman" w:hAnsi="Garamond" w:cs="Arial"/>
          <w:lang w:eastAsia="en-GB"/>
        </w:rPr>
        <w:t xml:space="preserve">, as measured by MSCI World Index, </w:t>
      </w:r>
      <w:r>
        <w:rPr>
          <w:rFonts w:ascii="Garamond" w:eastAsia="Times New Roman" w:hAnsi="Garamond" w:cs="Arial"/>
          <w:lang w:eastAsia="en-GB"/>
        </w:rPr>
        <w:t xml:space="preserve">rose by 2.8 per cent in February 2019 following 7.7 per cent jump in the previous month. </w:t>
      </w:r>
      <w:r w:rsidRPr="00930477">
        <w:rPr>
          <w:rFonts w:ascii="Garamond" w:eastAsia="Times New Roman" w:hAnsi="Garamond" w:cs="Arial"/>
          <w:lang w:eastAsia="en-GB"/>
        </w:rPr>
        <w:t xml:space="preserve">Developed markets equity excluding US </w:t>
      </w:r>
      <w:r>
        <w:rPr>
          <w:rFonts w:ascii="Garamond" w:eastAsia="Times New Roman" w:hAnsi="Garamond" w:cs="Arial"/>
          <w:lang w:eastAsia="en-GB"/>
        </w:rPr>
        <w:t xml:space="preserve">also </w:t>
      </w:r>
      <w:r w:rsidRPr="00930477">
        <w:rPr>
          <w:rFonts w:ascii="Garamond" w:eastAsia="Times New Roman" w:hAnsi="Garamond" w:cs="Arial"/>
          <w:lang w:eastAsia="en-GB"/>
        </w:rPr>
        <w:t xml:space="preserve">rose </w:t>
      </w:r>
      <w:r>
        <w:rPr>
          <w:rFonts w:ascii="Garamond" w:eastAsia="Times New Roman" w:hAnsi="Garamond" w:cs="Arial"/>
          <w:lang w:eastAsia="en-GB"/>
        </w:rPr>
        <w:t>by 2.4 per cent in line with that of USA</w:t>
      </w:r>
      <w:r w:rsidRPr="00930477">
        <w:rPr>
          <w:rFonts w:ascii="Garamond" w:eastAsia="Times New Roman" w:hAnsi="Garamond" w:cs="Arial"/>
          <w:lang w:eastAsia="en-GB"/>
        </w:rPr>
        <w:t>.</w:t>
      </w:r>
      <w:r>
        <w:rPr>
          <w:rFonts w:ascii="Garamond" w:eastAsia="Times New Roman" w:hAnsi="Garamond" w:cs="Arial"/>
          <w:lang w:eastAsia="en-GB"/>
        </w:rPr>
        <w:t xml:space="preserve"> </w:t>
      </w:r>
      <w:r w:rsidRPr="00734571">
        <w:rPr>
          <w:rFonts w:ascii="Garamond" w:eastAsia="Times New Roman" w:hAnsi="Garamond" w:cs="Arial"/>
          <w:lang w:eastAsia="en-GB"/>
        </w:rPr>
        <w:t xml:space="preserve">The European equity markets grew by </w:t>
      </w:r>
      <w:r>
        <w:rPr>
          <w:rFonts w:ascii="Garamond" w:eastAsia="Times New Roman" w:hAnsi="Garamond" w:cs="Arial"/>
          <w:lang w:eastAsia="en-GB"/>
        </w:rPr>
        <w:t>3.9</w:t>
      </w:r>
      <w:r w:rsidRPr="00734571">
        <w:rPr>
          <w:rFonts w:ascii="Garamond" w:eastAsia="Times New Roman" w:hAnsi="Garamond" w:cs="Arial"/>
          <w:lang w:eastAsia="en-GB"/>
        </w:rPr>
        <w:t xml:space="preserve"> per cent</w:t>
      </w:r>
      <w:r>
        <w:rPr>
          <w:rFonts w:ascii="Garamond" w:eastAsia="Times New Roman" w:hAnsi="Garamond" w:cs="Arial"/>
          <w:lang w:eastAsia="en-GB"/>
        </w:rPr>
        <w:t>,</w:t>
      </w:r>
      <w:r w:rsidRPr="00734571">
        <w:rPr>
          <w:rFonts w:ascii="Garamond" w:eastAsia="Times New Roman" w:hAnsi="Garamond" w:cs="Arial"/>
          <w:lang w:eastAsia="en-GB"/>
        </w:rPr>
        <w:t xml:space="preserve"> following </w:t>
      </w:r>
      <w:r>
        <w:rPr>
          <w:rFonts w:ascii="Garamond" w:eastAsia="Times New Roman" w:hAnsi="Garamond" w:cs="Arial"/>
          <w:lang w:eastAsia="en-GB"/>
        </w:rPr>
        <w:t>6.1</w:t>
      </w:r>
      <w:r w:rsidRPr="00734571">
        <w:rPr>
          <w:rFonts w:ascii="Garamond" w:eastAsia="Times New Roman" w:hAnsi="Garamond" w:cs="Arial"/>
          <w:lang w:eastAsia="en-GB"/>
        </w:rPr>
        <w:t xml:space="preserve"> </w:t>
      </w:r>
      <w:r>
        <w:rPr>
          <w:rFonts w:ascii="Garamond" w:eastAsia="Times New Roman" w:hAnsi="Garamond" w:cs="Arial"/>
          <w:lang w:eastAsia="en-GB"/>
        </w:rPr>
        <w:t>per cent</w:t>
      </w:r>
      <w:r w:rsidRPr="00734571">
        <w:rPr>
          <w:rFonts w:ascii="Garamond" w:eastAsia="Times New Roman" w:hAnsi="Garamond" w:cs="Arial"/>
          <w:lang w:eastAsia="en-GB"/>
        </w:rPr>
        <w:t xml:space="preserve"> jump in the previous month. Emerging markets, as measured by the MSCI Emerging Markets Index, </w:t>
      </w:r>
      <w:r>
        <w:rPr>
          <w:rFonts w:ascii="Garamond" w:eastAsia="Times New Roman" w:hAnsi="Garamond" w:cs="Arial"/>
          <w:lang w:eastAsia="en-GB"/>
        </w:rPr>
        <w:t xml:space="preserve">remained flat (gain of 0.1 per cent), following 8.7 per cent gain the previous month. </w:t>
      </w:r>
    </w:p>
    <w:p w:rsidR="002B2DA3" w:rsidRDefault="002B2DA3" w:rsidP="002B2DA3">
      <w:pPr>
        <w:jc w:val="both"/>
        <w:rPr>
          <w:rFonts w:ascii="Garamond" w:eastAsia="Times New Roman" w:hAnsi="Garamond" w:cs="Arial"/>
          <w:lang w:eastAsia="en-GB"/>
        </w:rPr>
      </w:pPr>
    </w:p>
    <w:p w:rsidR="002B2DA3" w:rsidRPr="00E22BC6" w:rsidRDefault="002B2DA3" w:rsidP="002B2DA3">
      <w:pPr>
        <w:pStyle w:val="NormalWeb"/>
        <w:spacing w:after="0"/>
        <w:jc w:val="both"/>
        <w:rPr>
          <w:rFonts w:ascii="Garamond" w:hAnsi="Garamond" w:cs="Arial"/>
        </w:rPr>
      </w:pPr>
      <w:r w:rsidRPr="00F62DEE">
        <w:rPr>
          <w:rFonts w:ascii="Garamond" w:hAnsi="Garamond" w:cs="Arial"/>
        </w:rPr>
        <w:t xml:space="preserve">In the USA, the Dow Jones Industrial Average index </w:t>
      </w:r>
      <w:r>
        <w:rPr>
          <w:rFonts w:ascii="Garamond" w:hAnsi="Garamond" w:cs="Arial"/>
        </w:rPr>
        <w:t>and S&amp;P500 index rose</w:t>
      </w:r>
      <w:r w:rsidRPr="00F62DEE">
        <w:rPr>
          <w:rFonts w:ascii="Garamond" w:hAnsi="Garamond" w:cs="Arial"/>
        </w:rPr>
        <w:t xml:space="preserve"> by</w:t>
      </w:r>
      <w:r>
        <w:rPr>
          <w:rFonts w:ascii="Garamond" w:hAnsi="Garamond" w:cs="Arial"/>
        </w:rPr>
        <w:t xml:space="preserve"> 3.7 per cent and 3.0 per cent respectively </w:t>
      </w:r>
      <w:r w:rsidRPr="00734571">
        <w:rPr>
          <w:rFonts w:ascii="Garamond" w:hAnsi="Garamond" w:cs="Arial"/>
        </w:rPr>
        <w:t>during February 2019</w:t>
      </w:r>
      <w:r w:rsidRPr="00F62DEE">
        <w:rPr>
          <w:rFonts w:ascii="Garamond" w:hAnsi="Garamond" w:cs="Arial"/>
        </w:rPr>
        <w:t xml:space="preserve">, while technology heavyweight Nasdaq composite index </w:t>
      </w:r>
      <w:r>
        <w:rPr>
          <w:rFonts w:ascii="Garamond" w:hAnsi="Garamond" w:cs="Arial"/>
        </w:rPr>
        <w:t>rose by 3.4 per cent</w:t>
      </w:r>
      <w:r w:rsidRPr="00F62DEE">
        <w:rPr>
          <w:rFonts w:ascii="Garamond" w:hAnsi="Garamond" w:cs="Arial"/>
        </w:rPr>
        <w:t>.</w:t>
      </w:r>
      <w:r>
        <w:rPr>
          <w:rFonts w:ascii="Garamond" w:hAnsi="Garamond" w:cs="Arial"/>
        </w:rPr>
        <w:t xml:space="preserve"> </w:t>
      </w:r>
      <w:r w:rsidRPr="00F62DEE">
        <w:rPr>
          <w:rFonts w:ascii="Garamond" w:hAnsi="Garamond" w:cs="Arial"/>
        </w:rPr>
        <w:t xml:space="preserve">Amongst </w:t>
      </w:r>
      <w:r>
        <w:rPr>
          <w:rFonts w:ascii="Garamond" w:hAnsi="Garamond" w:cs="Arial"/>
        </w:rPr>
        <w:t xml:space="preserve">other </w:t>
      </w:r>
      <w:r w:rsidRPr="00F62DEE">
        <w:rPr>
          <w:rFonts w:ascii="Garamond" w:hAnsi="Garamond" w:cs="Arial"/>
        </w:rPr>
        <w:t>developed markets,</w:t>
      </w:r>
      <w:r>
        <w:rPr>
          <w:rFonts w:ascii="Garamond" w:hAnsi="Garamond" w:cs="Arial"/>
        </w:rPr>
        <w:t xml:space="preserve"> France’s CAC40 index rose by 5 per cent followed by </w:t>
      </w:r>
      <w:r w:rsidRPr="00E22BC6">
        <w:rPr>
          <w:rFonts w:ascii="Garamond" w:hAnsi="Garamond" w:cs="Arial"/>
        </w:rPr>
        <w:t>Germany’s DAX index (</w:t>
      </w:r>
      <w:r>
        <w:rPr>
          <w:rFonts w:ascii="Garamond" w:hAnsi="Garamond" w:cs="Arial"/>
        </w:rPr>
        <w:t>3.1</w:t>
      </w:r>
      <w:r w:rsidRPr="00E22BC6">
        <w:rPr>
          <w:rFonts w:ascii="Garamond" w:hAnsi="Garamond" w:cs="Arial"/>
        </w:rPr>
        <w:t xml:space="preserve"> per cent),</w:t>
      </w:r>
      <w:r>
        <w:rPr>
          <w:rFonts w:ascii="Garamond" w:hAnsi="Garamond" w:cs="Arial"/>
        </w:rPr>
        <w:t xml:space="preserve"> </w:t>
      </w:r>
      <w:r w:rsidRPr="00E22BC6">
        <w:rPr>
          <w:rFonts w:ascii="Garamond" w:hAnsi="Garamond" w:cs="Arial"/>
        </w:rPr>
        <w:t>Japan’s Nikkei Index (</w:t>
      </w:r>
      <w:r>
        <w:rPr>
          <w:rFonts w:ascii="Garamond" w:hAnsi="Garamond" w:cs="Arial"/>
        </w:rPr>
        <w:t>2.9</w:t>
      </w:r>
      <w:r w:rsidRPr="00E22BC6">
        <w:rPr>
          <w:rFonts w:ascii="Garamond" w:hAnsi="Garamond" w:cs="Arial"/>
        </w:rPr>
        <w:t xml:space="preserve"> per cent), Hong Kong’s Hang Seng index</w:t>
      </w:r>
      <w:r>
        <w:rPr>
          <w:rFonts w:ascii="Garamond" w:hAnsi="Garamond" w:cs="Arial"/>
        </w:rPr>
        <w:t xml:space="preserve"> (2.5 per cent) </w:t>
      </w:r>
      <w:r w:rsidRPr="00E22BC6">
        <w:rPr>
          <w:rFonts w:ascii="Garamond" w:hAnsi="Garamond" w:cs="Arial"/>
        </w:rPr>
        <w:t>and UK’s FTSE100 index (</w:t>
      </w:r>
      <w:r>
        <w:rPr>
          <w:rFonts w:ascii="Garamond" w:hAnsi="Garamond" w:cs="Arial"/>
        </w:rPr>
        <w:t>1.5</w:t>
      </w:r>
      <w:r w:rsidRPr="00E22BC6">
        <w:rPr>
          <w:rFonts w:ascii="Garamond" w:hAnsi="Garamond" w:cs="Arial"/>
        </w:rPr>
        <w:t xml:space="preserve"> per cent).</w:t>
      </w:r>
    </w:p>
    <w:p w:rsidR="002B2DA3" w:rsidRDefault="002B2DA3" w:rsidP="002B2DA3">
      <w:pPr>
        <w:pStyle w:val="NormalWeb"/>
        <w:spacing w:after="0"/>
        <w:jc w:val="both"/>
        <w:rPr>
          <w:rFonts w:ascii="Garamond" w:hAnsi="Garamond" w:cs="Arial"/>
        </w:rPr>
      </w:pPr>
    </w:p>
    <w:p w:rsidR="002B2DA3" w:rsidRPr="002E354D" w:rsidRDefault="002B2DA3" w:rsidP="002B2DA3">
      <w:pPr>
        <w:pStyle w:val="NormalWeb"/>
        <w:spacing w:after="0"/>
        <w:jc w:val="both"/>
        <w:rPr>
          <w:rFonts w:ascii="Garamond" w:hAnsi="Garamond" w:cs="Arial"/>
        </w:rPr>
      </w:pPr>
      <w:r w:rsidRPr="00784052">
        <w:rPr>
          <w:rFonts w:ascii="Garamond" w:hAnsi="Garamond" w:cs="Arial"/>
        </w:rPr>
        <w:lastRenderedPageBreak/>
        <w:t>Among</w:t>
      </w:r>
      <w:r>
        <w:rPr>
          <w:rFonts w:ascii="Garamond" w:hAnsi="Garamond" w:cs="Arial"/>
        </w:rPr>
        <w:t>st</w:t>
      </w:r>
      <w:r w:rsidRPr="00784052">
        <w:rPr>
          <w:rFonts w:ascii="Garamond" w:hAnsi="Garamond" w:cs="Arial"/>
        </w:rPr>
        <w:t xml:space="preserve"> the major emerging </w:t>
      </w:r>
      <w:r>
        <w:rPr>
          <w:rFonts w:ascii="Garamond" w:hAnsi="Garamond" w:cs="Arial"/>
        </w:rPr>
        <w:t>economies</w:t>
      </w:r>
      <w:r w:rsidRPr="00784052">
        <w:rPr>
          <w:rFonts w:ascii="Garamond" w:hAnsi="Garamond" w:cs="Arial"/>
        </w:rPr>
        <w:t>,</w:t>
      </w:r>
      <w:r>
        <w:rPr>
          <w:rFonts w:ascii="Garamond" w:hAnsi="Garamond" w:cs="Arial"/>
        </w:rPr>
        <w:t xml:space="preserve"> </w:t>
      </w:r>
      <w:r w:rsidRPr="00E22BC6">
        <w:rPr>
          <w:rFonts w:ascii="Garamond" w:hAnsi="Garamond" w:cs="Arial"/>
        </w:rPr>
        <w:t xml:space="preserve">China’s Shanghai Composite index </w:t>
      </w:r>
      <w:r>
        <w:rPr>
          <w:rFonts w:ascii="Garamond" w:hAnsi="Garamond" w:cs="Arial"/>
        </w:rPr>
        <w:t xml:space="preserve">rose sharply by </w:t>
      </w:r>
      <w:r w:rsidRPr="00E22BC6">
        <w:rPr>
          <w:rFonts w:ascii="Garamond" w:hAnsi="Garamond" w:cs="Arial"/>
        </w:rPr>
        <w:t>(</w:t>
      </w:r>
      <w:r>
        <w:rPr>
          <w:rFonts w:ascii="Garamond" w:hAnsi="Garamond" w:cs="Arial"/>
        </w:rPr>
        <w:t xml:space="preserve">13.8 per cent) followed by </w:t>
      </w:r>
      <w:r w:rsidRPr="00E22BC6">
        <w:rPr>
          <w:rFonts w:ascii="Garamond" w:hAnsi="Garamond" w:cs="Arial"/>
        </w:rPr>
        <w:t>South Africa’s JSE all share index (</w:t>
      </w:r>
      <w:r>
        <w:rPr>
          <w:rFonts w:ascii="Garamond" w:hAnsi="Garamond" w:cs="Arial"/>
        </w:rPr>
        <w:t>3.6</w:t>
      </w:r>
      <w:r w:rsidRPr="00E22BC6">
        <w:rPr>
          <w:rFonts w:ascii="Garamond" w:hAnsi="Garamond" w:cs="Arial"/>
        </w:rPr>
        <w:t xml:space="preserve"> per cent</w:t>
      </w:r>
      <w:r>
        <w:rPr>
          <w:rFonts w:ascii="Garamond" w:hAnsi="Garamond" w:cs="Arial"/>
        </w:rPr>
        <w:t xml:space="preserve">). On the contrary, the major equity indices of Russia, Brazil and India declined by 2.4 per cent, 1.9 per cent and 1.1 per cent respectively </w:t>
      </w:r>
      <w:r w:rsidRPr="00784052">
        <w:rPr>
          <w:rFonts w:ascii="Garamond" w:hAnsi="Garamond" w:cs="Arial"/>
          <w:b/>
          <w:i/>
        </w:rPr>
        <w:t>(</w:t>
      </w:r>
      <w:r>
        <w:rPr>
          <w:rFonts w:ascii="Garamond" w:hAnsi="Garamond" w:cs="Arial"/>
          <w:b/>
          <w:i/>
        </w:rPr>
        <w:t>Table A2</w:t>
      </w:r>
      <w:r w:rsidRPr="00784052">
        <w:rPr>
          <w:rFonts w:ascii="Garamond" w:hAnsi="Garamond" w:cs="Arial"/>
          <w:b/>
          <w:i/>
        </w:rPr>
        <w:t>)</w:t>
      </w:r>
      <w:r w:rsidRPr="00784052">
        <w:rPr>
          <w:rFonts w:ascii="Garamond" w:hAnsi="Garamond" w:cs="Arial"/>
        </w:rPr>
        <w:t>.</w:t>
      </w:r>
    </w:p>
    <w:p w:rsidR="002B2DA3" w:rsidRDefault="002B2DA3" w:rsidP="002B2DA3">
      <w:pPr>
        <w:pStyle w:val="NormalWeb"/>
        <w:spacing w:after="0"/>
        <w:jc w:val="both"/>
        <w:rPr>
          <w:rFonts w:ascii="Garamond" w:hAnsi="Garamond" w:cs="Arial"/>
        </w:rPr>
      </w:pPr>
    </w:p>
    <w:p w:rsidR="002B2DA3" w:rsidRDefault="002B2DA3" w:rsidP="002B2DA3">
      <w:pPr>
        <w:pStyle w:val="NormalWeb"/>
        <w:spacing w:after="0"/>
        <w:jc w:val="both"/>
        <w:outlineLvl w:val="0"/>
        <w:rPr>
          <w:rFonts w:ascii="Garamond" w:hAnsi="Garamond" w:cs="Arial"/>
          <w:b/>
          <w:bCs/>
        </w:rPr>
      </w:pPr>
      <w:r>
        <w:rPr>
          <w:rFonts w:ascii="Garamond" w:hAnsi="Garamond" w:cs="Arial"/>
          <w:b/>
          <w:bCs/>
        </w:rPr>
        <w:t>Table A2</w:t>
      </w:r>
      <w:r w:rsidRPr="00600AE3">
        <w:rPr>
          <w:rFonts w:ascii="Garamond" w:hAnsi="Garamond" w:cs="Arial"/>
          <w:b/>
          <w:bCs/>
        </w:rPr>
        <w:t>: Performance of Stock Indices</w:t>
      </w:r>
    </w:p>
    <w:tbl>
      <w:tblPr>
        <w:tblW w:w="9734" w:type="dxa"/>
        <w:tblInd w:w="-252" w:type="dxa"/>
        <w:tblLayout w:type="fixed"/>
        <w:tblCellMar>
          <w:left w:w="43" w:type="dxa"/>
          <w:right w:w="43" w:type="dxa"/>
        </w:tblCellMar>
        <w:tblLook w:val="04A0" w:firstRow="1" w:lastRow="0" w:firstColumn="1" w:lastColumn="0" w:noHBand="0" w:noVBand="1"/>
      </w:tblPr>
      <w:tblGrid>
        <w:gridCol w:w="1107"/>
        <w:gridCol w:w="2611"/>
        <w:gridCol w:w="1424"/>
        <w:gridCol w:w="748"/>
        <w:gridCol w:w="761"/>
        <w:gridCol w:w="761"/>
        <w:gridCol w:w="581"/>
        <w:gridCol w:w="993"/>
        <w:gridCol w:w="748"/>
      </w:tblGrid>
      <w:tr w:rsidR="002B2DA3" w:rsidRPr="0008532E" w:rsidTr="002B2DA3">
        <w:trPr>
          <w:trHeight w:val="454"/>
        </w:trPr>
        <w:tc>
          <w:tcPr>
            <w:tcW w:w="1107" w:type="dxa"/>
            <w:vMerge w:val="restart"/>
            <w:tcBorders>
              <w:top w:val="single" w:sz="4" w:space="0" w:color="auto"/>
              <w:left w:val="single" w:sz="4" w:space="0" w:color="auto"/>
              <w:bottom w:val="single" w:sz="4" w:space="0" w:color="000000"/>
              <w:right w:val="single" w:sz="4" w:space="0" w:color="auto"/>
            </w:tcBorders>
            <w:shd w:val="clear" w:color="000000" w:fill="99CCFF"/>
            <w:vAlign w:val="center"/>
            <w:hideMark/>
          </w:tcPr>
          <w:p w:rsidR="002B2DA3" w:rsidRPr="0008532E" w:rsidRDefault="002B2DA3" w:rsidP="002B2DA3">
            <w:pPr>
              <w:jc w:val="center"/>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Country</w:t>
            </w:r>
          </w:p>
        </w:tc>
        <w:tc>
          <w:tcPr>
            <w:tcW w:w="2611" w:type="dxa"/>
            <w:vMerge w:val="restart"/>
            <w:tcBorders>
              <w:top w:val="single" w:sz="4" w:space="0" w:color="auto"/>
              <w:left w:val="single" w:sz="4" w:space="0" w:color="auto"/>
              <w:bottom w:val="single" w:sz="4" w:space="0" w:color="000000"/>
              <w:right w:val="single" w:sz="4" w:space="0" w:color="auto"/>
            </w:tcBorders>
            <w:shd w:val="clear" w:color="000000" w:fill="99CCFF"/>
            <w:vAlign w:val="center"/>
            <w:hideMark/>
          </w:tcPr>
          <w:p w:rsidR="002B2DA3" w:rsidRPr="0008532E" w:rsidRDefault="002B2DA3" w:rsidP="002B2DA3">
            <w:pPr>
              <w:jc w:val="center"/>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Name of the Index</w:t>
            </w:r>
          </w:p>
        </w:tc>
        <w:tc>
          <w:tcPr>
            <w:tcW w:w="1424" w:type="dxa"/>
            <w:tcBorders>
              <w:top w:val="single" w:sz="4" w:space="0" w:color="auto"/>
              <w:left w:val="nil"/>
              <w:bottom w:val="single" w:sz="4" w:space="0" w:color="auto"/>
              <w:right w:val="single" w:sz="4" w:space="0" w:color="auto"/>
            </w:tcBorders>
            <w:shd w:val="clear" w:color="000000" w:fill="99CCFF"/>
            <w:vAlign w:val="center"/>
            <w:hideMark/>
          </w:tcPr>
          <w:p w:rsidR="002B2DA3" w:rsidRPr="0008532E" w:rsidRDefault="002B2DA3" w:rsidP="002B2DA3">
            <w:pPr>
              <w:jc w:val="center"/>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Closing Value as on</w:t>
            </w:r>
          </w:p>
        </w:tc>
        <w:tc>
          <w:tcPr>
            <w:tcW w:w="2851" w:type="dxa"/>
            <w:gridSpan w:val="4"/>
            <w:tcBorders>
              <w:top w:val="single" w:sz="4" w:space="0" w:color="auto"/>
              <w:left w:val="nil"/>
              <w:bottom w:val="single" w:sz="4" w:space="0" w:color="auto"/>
              <w:right w:val="single" w:sz="4" w:space="0" w:color="auto"/>
            </w:tcBorders>
            <w:shd w:val="clear" w:color="000000" w:fill="99CCFF"/>
            <w:vAlign w:val="center"/>
            <w:hideMark/>
          </w:tcPr>
          <w:p w:rsidR="002B2DA3" w:rsidRPr="0008532E" w:rsidRDefault="002B2DA3" w:rsidP="002B2DA3">
            <w:pPr>
              <w:jc w:val="center"/>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Return ( per cent)</w:t>
            </w:r>
          </w:p>
        </w:tc>
        <w:tc>
          <w:tcPr>
            <w:tcW w:w="993" w:type="dxa"/>
            <w:vMerge w:val="restart"/>
            <w:tcBorders>
              <w:top w:val="single" w:sz="4" w:space="0" w:color="auto"/>
              <w:left w:val="single" w:sz="4" w:space="0" w:color="auto"/>
              <w:bottom w:val="single" w:sz="4" w:space="0" w:color="000000"/>
              <w:right w:val="single" w:sz="4" w:space="0" w:color="auto"/>
            </w:tcBorders>
            <w:shd w:val="clear" w:color="000000" w:fill="99CCFF"/>
            <w:vAlign w:val="center"/>
            <w:hideMark/>
          </w:tcPr>
          <w:p w:rsidR="002B2DA3" w:rsidRPr="0008532E" w:rsidRDefault="002B2DA3" w:rsidP="002B2DA3">
            <w:pPr>
              <w:jc w:val="center"/>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Annualised Volatility ( per cent)</w:t>
            </w:r>
          </w:p>
        </w:tc>
        <w:tc>
          <w:tcPr>
            <w:tcW w:w="748" w:type="dxa"/>
            <w:vMerge w:val="restart"/>
            <w:tcBorders>
              <w:top w:val="single" w:sz="4" w:space="0" w:color="auto"/>
              <w:left w:val="single" w:sz="4" w:space="0" w:color="auto"/>
              <w:bottom w:val="single" w:sz="4" w:space="0" w:color="000000"/>
              <w:right w:val="single" w:sz="4" w:space="0" w:color="auto"/>
            </w:tcBorders>
            <w:shd w:val="clear" w:color="000000" w:fill="99CCFF"/>
            <w:vAlign w:val="center"/>
            <w:hideMark/>
          </w:tcPr>
          <w:p w:rsidR="002B2DA3" w:rsidRPr="0008532E" w:rsidRDefault="002B2DA3" w:rsidP="002B2DA3">
            <w:pPr>
              <w:jc w:val="center"/>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P/E Ratio</w:t>
            </w:r>
          </w:p>
        </w:tc>
      </w:tr>
      <w:tr w:rsidR="002B2DA3" w:rsidRPr="0008532E" w:rsidTr="002B2DA3">
        <w:trPr>
          <w:trHeight w:val="306"/>
        </w:trPr>
        <w:tc>
          <w:tcPr>
            <w:tcW w:w="1107" w:type="dxa"/>
            <w:vMerge/>
            <w:tcBorders>
              <w:top w:val="single" w:sz="4" w:space="0" w:color="auto"/>
              <w:left w:val="single" w:sz="4" w:space="0" w:color="auto"/>
              <w:bottom w:val="single" w:sz="4" w:space="0" w:color="000000"/>
              <w:right w:val="single" w:sz="4" w:space="0" w:color="auto"/>
            </w:tcBorders>
            <w:vAlign w:val="center"/>
            <w:hideMark/>
          </w:tcPr>
          <w:p w:rsidR="002B2DA3" w:rsidRPr="0008532E" w:rsidRDefault="002B2DA3" w:rsidP="002B2DA3">
            <w:pPr>
              <w:rPr>
                <w:rFonts w:ascii="Garamond" w:eastAsia="Times New Roman" w:hAnsi="Garamond" w:cs="Calibri"/>
                <w:b/>
                <w:bCs/>
                <w:color w:val="000000"/>
                <w:sz w:val="16"/>
                <w:szCs w:val="20"/>
              </w:rPr>
            </w:pPr>
          </w:p>
        </w:tc>
        <w:tc>
          <w:tcPr>
            <w:tcW w:w="2611" w:type="dxa"/>
            <w:vMerge/>
            <w:tcBorders>
              <w:top w:val="single" w:sz="4" w:space="0" w:color="auto"/>
              <w:left w:val="single" w:sz="4" w:space="0" w:color="auto"/>
              <w:bottom w:val="single" w:sz="4" w:space="0" w:color="000000"/>
              <w:right w:val="single" w:sz="4" w:space="0" w:color="auto"/>
            </w:tcBorders>
            <w:vAlign w:val="center"/>
            <w:hideMark/>
          </w:tcPr>
          <w:p w:rsidR="002B2DA3" w:rsidRPr="0008532E" w:rsidRDefault="002B2DA3" w:rsidP="002B2DA3">
            <w:pPr>
              <w:rPr>
                <w:rFonts w:ascii="Garamond" w:eastAsia="Times New Roman" w:hAnsi="Garamond" w:cs="Calibri"/>
                <w:b/>
                <w:bCs/>
                <w:color w:val="000000"/>
                <w:sz w:val="16"/>
                <w:szCs w:val="20"/>
              </w:rPr>
            </w:pPr>
          </w:p>
        </w:tc>
        <w:tc>
          <w:tcPr>
            <w:tcW w:w="1424" w:type="dxa"/>
            <w:tcBorders>
              <w:top w:val="nil"/>
              <w:left w:val="nil"/>
              <w:bottom w:val="single" w:sz="4" w:space="0" w:color="auto"/>
              <w:right w:val="single" w:sz="4" w:space="0" w:color="auto"/>
            </w:tcBorders>
            <w:shd w:val="clear" w:color="000000" w:fill="99CCFF"/>
            <w:noWrap/>
            <w:vAlign w:val="center"/>
            <w:hideMark/>
          </w:tcPr>
          <w:p w:rsidR="002B2DA3" w:rsidRPr="0008532E" w:rsidRDefault="002B2DA3" w:rsidP="002B2DA3">
            <w:pPr>
              <w:jc w:val="right"/>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February 28, 2019</w:t>
            </w:r>
          </w:p>
        </w:tc>
        <w:tc>
          <w:tcPr>
            <w:tcW w:w="748" w:type="dxa"/>
            <w:tcBorders>
              <w:top w:val="nil"/>
              <w:left w:val="nil"/>
              <w:bottom w:val="single" w:sz="4" w:space="0" w:color="auto"/>
              <w:right w:val="single" w:sz="4" w:space="0" w:color="auto"/>
            </w:tcBorders>
            <w:shd w:val="clear" w:color="000000" w:fill="99CCFF"/>
            <w:noWrap/>
            <w:vAlign w:val="center"/>
            <w:hideMark/>
          </w:tcPr>
          <w:p w:rsidR="002B2DA3" w:rsidRPr="0008532E" w:rsidRDefault="002B2DA3" w:rsidP="002B2DA3">
            <w:pPr>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1-Month</w:t>
            </w:r>
          </w:p>
        </w:tc>
        <w:tc>
          <w:tcPr>
            <w:tcW w:w="761" w:type="dxa"/>
            <w:tcBorders>
              <w:top w:val="nil"/>
              <w:left w:val="nil"/>
              <w:bottom w:val="single" w:sz="4" w:space="0" w:color="auto"/>
              <w:right w:val="single" w:sz="4" w:space="0" w:color="auto"/>
            </w:tcBorders>
            <w:shd w:val="clear" w:color="000000" w:fill="99CCFF"/>
            <w:noWrap/>
            <w:vAlign w:val="center"/>
            <w:hideMark/>
          </w:tcPr>
          <w:p w:rsidR="002B2DA3" w:rsidRPr="0008532E" w:rsidRDefault="002B2DA3" w:rsidP="002B2DA3">
            <w:pPr>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3-Month</w:t>
            </w:r>
          </w:p>
        </w:tc>
        <w:tc>
          <w:tcPr>
            <w:tcW w:w="761" w:type="dxa"/>
            <w:tcBorders>
              <w:top w:val="nil"/>
              <w:left w:val="nil"/>
              <w:bottom w:val="single" w:sz="4" w:space="0" w:color="auto"/>
              <w:right w:val="single" w:sz="4" w:space="0" w:color="auto"/>
            </w:tcBorders>
            <w:shd w:val="clear" w:color="000000" w:fill="99CCFF"/>
            <w:noWrap/>
            <w:vAlign w:val="center"/>
            <w:hideMark/>
          </w:tcPr>
          <w:p w:rsidR="002B2DA3" w:rsidRPr="0008532E" w:rsidRDefault="002B2DA3" w:rsidP="002B2DA3">
            <w:pPr>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6-Month</w:t>
            </w:r>
          </w:p>
        </w:tc>
        <w:tc>
          <w:tcPr>
            <w:tcW w:w="581" w:type="dxa"/>
            <w:tcBorders>
              <w:top w:val="nil"/>
              <w:left w:val="nil"/>
              <w:bottom w:val="single" w:sz="4" w:space="0" w:color="auto"/>
              <w:right w:val="single" w:sz="4" w:space="0" w:color="auto"/>
            </w:tcBorders>
            <w:shd w:val="clear" w:color="000000" w:fill="99CCFF"/>
            <w:noWrap/>
            <w:vAlign w:val="center"/>
            <w:hideMark/>
          </w:tcPr>
          <w:p w:rsidR="002B2DA3" w:rsidRPr="0008532E" w:rsidRDefault="002B2DA3" w:rsidP="002B2DA3">
            <w:pPr>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1-Year</w:t>
            </w:r>
          </w:p>
        </w:tc>
        <w:tc>
          <w:tcPr>
            <w:tcW w:w="993" w:type="dxa"/>
            <w:vMerge/>
            <w:tcBorders>
              <w:top w:val="single" w:sz="4" w:space="0" w:color="auto"/>
              <w:left w:val="single" w:sz="4" w:space="0" w:color="auto"/>
              <w:bottom w:val="single" w:sz="4" w:space="0" w:color="000000"/>
              <w:right w:val="single" w:sz="4" w:space="0" w:color="auto"/>
            </w:tcBorders>
            <w:vAlign w:val="center"/>
            <w:hideMark/>
          </w:tcPr>
          <w:p w:rsidR="002B2DA3" w:rsidRPr="0008532E" w:rsidRDefault="002B2DA3" w:rsidP="002B2DA3">
            <w:pPr>
              <w:rPr>
                <w:rFonts w:ascii="Garamond" w:eastAsia="Times New Roman" w:hAnsi="Garamond" w:cs="Calibri"/>
                <w:b/>
                <w:bCs/>
                <w:color w:val="000000"/>
                <w:sz w:val="16"/>
                <w:szCs w:val="20"/>
              </w:rPr>
            </w:pPr>
          </w:p>
        </w:tc>
        <w:tc>
          <w:tcPr>
            <w:tcW w:w="748" w:type="dxa"/>
            <w:vMerge/>
            <w:tcBorders>
              <w:top w:val="single" w:sz="4" w:space="0" w:color="auto"/>
              <w:left w:val="single" w:sz="4" w:space="0" w:color="auto"/>
              <w:bottom w:val="single" w:sz="4" w:space="0" w:color="000000"/>
              <w:right w:val="single" w:sz="4" w:space="0" w:color="auto"/>
            </w:tcBorders>
            <w:vAlign w:val="center"/>
            <w:hideMark/>
          </w:tcPr>
          <w:p w:rsidR="002B2DA3" w:rsidRPr="0008532E" w:rsidRDefault="002B2DA3" w:rsidP="002B2DA3">
            <w:pPr>
              <w:rPr>
                <w:rFonts w:ascii="Garamond" w:eastAsia="Times New Roman" w:hAnsi="Garamond" w:cs="Calibri"/>
                <w:b/>
                <w:bCs/>
                <w:color w:val="000000"/>
                <w:sz w:val="16"/>
                <w:szCs w:val="20"/>
              </w:rPr>
            </w:pPr>
          </w:p>
        </w:tc>
      </w:tr>
      <w:tr w:rsidR="002B2DA3" w:rsidRPr="00C43F8B" w:rsidTr="002B2DA3">
        <w:trPr>
          <w:trHeight w:val="239"/>
        </w:trPr>
        <w:tc>
          <w:tcPr>
            <w:tcW w:w="9734" w:type="dxa"/>
            <w:gridSpan w:val="9"/>
            <w:tcBorders>
              <w:top w:val="single" w:sz="4" w:space="0" w:color="auto"/>
              <w:left w:val="single" w:sz="4" w:space="0" w:color="auto"/>
              <w:bottom w:val="single" w:sz="4" w:space="0" w:color="auto"/>
              <w:right w:val="single" w:sz="4" w:space="0" w:color="000000"/>
            </w:tcBorders>
            <w:shd w:val="clear" w:color="000000" w:fill="CCECFF"/>
            <w:vAlign w:val="center"/>
            <w:hideMark/>
          </w:tcPr>
          <w:p w:rsidR="002B2DA3" w:rsidRPr="00C43F8B" w:rsidRDefault="002B2DA3" w:rsidP="002B2DA3">
            <w:pPr>
              <w:jc w:val="center"/>
              <w:rPr>
                <w:rFonts w:ascii="Garamond" w:eastAsia="Times New Roman" w:hAnsi="Garamond" w:cs="Calibri"/>
                <w:b/>
                <w:bCs/>
                <w:color w:val="000000"/>
                <w:sz w:val="16"/>
                <w:szCs w:val="20"/>
              </w:rPr>
            </w:pPr>
            <w:r w:rsidRPr="00C43F8B">
              <w:rPr>
                <w:rFonts w:ascii="Garamond" w:eastAsia="Times New Roman" w:hAnsi="Garamond" w:cs="Calibri"/>
                <w:b/>
                <w:bCs/>
                <w:color w:val="000000"/>
                <w:sz w:val="16"/>
                <w:szCs w:val="20"/>
              </w:rPr>
              <w:t>BRICS Nations</w:t>
            </w:r>
          </w:p>
        </w:tc>
      </w:tr>
      <w:tr w:rsidR="002B2DA3" w:rsidRPr="00C43F8B" w:rsidTr="002B2DA3">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8"/>
                <w:szCs w:val="20"/>
              </w:rPr>
            </w:pPr>
            <w:r w:rsidRPr="00601A27">
              <w:rPr>
                <w:rFonts w:ascii="Garamond" w:eastAsia="Times New Roman" w:hAnsi="Garamond" w:cs="Calibri"/>
                <w:color w:val="000000"/>
                <w:sz w:val="18"/>
                <w:szCs w:val="20"/>
              </w:rPr>
              <w:t>Brazil</w:t>
            </w:r>
          </w:p>
        </w:tc>
        <w:tc>
          <w:tcPr>
            <w:tcW w:w="2611" w:type="dxa"/>
            <w:tcBorders>
              <w:top w:val="nil"/>
              <w:left w:val="nil"/>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BRAZIL IBOVESPA INDEX</w:t>
            </w:r>
          </w:p>
        </w:tc>
        <w:tc>
          <w:tcPr>
            <w:tcW w:w="1424"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 xml:space="preserve">                 95,584 </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-1.9</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6.8</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24.7</w:t>
            </w:r>
          </w:p>
        </w:tc>
        <w:tc>
          <w:tcPr>
            <w:tcW w:w="58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12.0</w:t>
            </w:r>
          </w:p>
        </w:tc>
        <w:tc>
          <w:tcPr>
            <w:tcW w:w="993"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21.3</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18.8</w:t>
            </w:r>
          </w:p>
        </w:tc>
      </w:tr>
      <w:tr w:rsidR="002B2DA3" w:rsidRPr="00C43F8B" w:rsidTr="002B2DA3">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8"/>
                <w:szCs w:val="20"/>
              </w:rPr>
            </w:pPr>
            <w:r w:rsidRPr="00601A27">
              <w:rPr>
                <w:rFonts w:ascii="Garamond" w:eastAsia="Times New Roman" w:hAnsi="Garamond" w:cs="Calibri"/>
                <w:color w:val="000000"/>
                <w:sz w:val="18"/>
                <w:szCs w:val="20"/>
              </w:rPr>
              <w:t>Russia</w:t>
            </w:r>
          </w:p>
        </w:tc>
        <w:tc>
          <w:tcPr>
            <w:tcW w:w="2611" w:type="dxa"/>
            <w:tcBorders>
              <w:top w:val="nil"/>
              <w:left w:val="nil"/>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RUSSIAN TRADED INDEX</w:t>
            </w:r>
          </w:p>
        </w:tc>
        <w:tc>
          <w:tcPr>
            <w:tcW w:w="1424"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 xml:space="preserve">                   1,742 </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-2.4</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6.0</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9.0</w:t>
            </w:r>
          </w:p>
        </w:tc>
        <w:tc>
          <w:tcPr>
            <w:tcW w:w="58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-4.2</w:t>
            </w:r>
          </w:p>
        </w:tc>
        <w:tc>
          <w:tcPr>
            <w:tcW w:w="993"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24.2</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5.6</w:t>
            </w:r>
          </w:p>
        </w:tc>
      </w:tr>
      <w:tr w:rsidR="002B2DA3" w:rsidRPr="00C43F8B" w:rsidTr="002B2DA3">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8"/>
                <w:szCs w:val="20"/>
              </w:rPr>
            </w:pPr>
            <w:r w:rsidRPr="00601A27">
              <w:rPr>
                <w:rFonts w:ascii="Garamond" w:eastAsia="Times New Roman" w:hAnsi="Garamond" w:cs="Calibri"/>
                <w:color w:val="000000"/>
                <w:sz w:val="18"/>
                <w:szCs w:val="20"/>
              </w:rPr>
              <w:t>India</w:t>
            </w:r>
          </w:p>
        </w:tc>
        <w:tc>
          <w:tcPr>
            <w:tcW w:w="2611" w:type="dxa"/>
            <w:tcBorders>
              <w:top w:val="nil"/>
              <w:left w:val="nil"/>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Nifty 50</w:t>
            </w:r>
          </w:p>
        </w:tc>
        <w:tc>
          <w:tcPr>
            <w:tcW w:w="1424"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 xml:space="preserve">                 10,793 </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-0.4</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-0.8</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-7.6</w:t>
            </w:r>
          </w:p>
        </w:tc>
        <w:tc>
          <w:tcPr>
            <w:tcW w:w="58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2.9</w:t>
            </w:r>
          </w:p>
        </w:tc>
        <w:tc>
          <w:tcPr>
            <w:tcW w:w="993"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12.2</w:t>
            </w:r>
          </w:p>
        </w:tc>
        <w:tc>
          <w:tcPr>
            <w:tcW w:w="748" w:type="dxa"/>
            <w:tcBorders>
              <w:top w:val="nil"/>
              <w:left w:val="nil"/>
              <w:bottom w:val="single" w:sz="4" w:space="0" w:color="auto"/>
              <w:right w:val="single" w:sz="4" w:space="0" w:color="auto"/>
            </w:tcBorders>
            <w:shd w:val="clear" w:color="auto" w:fill="auto"/>
            <w:noWrap/>
            <w:vAlign w:val="center"/>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24.3</w:t>
            </w:r>
          </w:p>
        </w:tc>
      </w:tr>
      <w:tr w:rsidR="002B2DA3" w:rsidRPr="00C43F8B" w:rsidTr="002B2DA3">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8"/>
                <w:szCs w:val="20"/>
              </w:rPr>
            </w:pPr>
            <w:r w:rsidRPr="00601A27">
              <w:rPr>
                <w:rFonts w:ascii="Garamond" w:eastAsia="Times New Roman" w:hAnsi="Garamond" w:cs="Calibri"/>
                <w:color w:val="000000"/>
                <w:sz w:val="18"/>
                <w:szCs w:val="20"/>
              </w:rPr>
              <w:t>India</w:t>
            </w:r>
          </w:p>
        </w:tc>
        <w:tc>
          <w:tcPr>
            <w:tcW w:w="2611" w:type="dxa"/>
            <w:tcBorders>
              <w:top w:val="nil"/>
              <w:left w:val="nil"/>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S&amp;P BSE SENSEX INDEX</w:t>
            </w:r>
          </w:p>
        </w:tc>
        <w:tc>
          <w:tcPr>
            <w:tcW w:w="1424"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 xml:space="preserve">                 35,867 </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-1.1</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-0.9</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-7.2</w:t>
            </w:r>
          </w:p>
        </w:tc>
        <w:tc>
          <w:tcPr>
            <w:tcW w:w="58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4.9</w:t>
            </w:r>
          </w:p>
        </w:tc>
        <w:tc>
          <w:tcPr>
            <w:tcW w:w="993"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12.0</w:t>
            </w:r>
          </w:p>
        </w:tc>
        <w:tc>
          <w:tcPr>
            <w:tcW w:w="748" w:type="dxa"/>
            <w:tcBorders>
              <w:top w:val="nil"/>
              <w:left w:val="nil"/>
              <w:bottom w:val="single" w:sz="4" w:space="0" w:color="auto"/>
              <w:right w:val="single" w:sz="4" w:space="0" w:color="auto"/>
            </w:tcBorders>
            <w:shd w:val="clear" w:color="auto" w:fill="auto"/>
            <w:noWrap/>
            <w:vAlign w:val="center"/>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27.0</w:t>
            </w:r>
          </w:p>
        </w:tc>
      </w:tr>
      <w:tr w:rsidR="002B2DA3" w:rsidRPr="00C43F8B" w:rsidTr="002B2DA3">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8"/>
                <w:szCs w:val="20"/>
              </w:rPr>
            </w:pPr>
            <w:r w:rsidRPr="00601A27">
              <w:rPr>
                <w:rFonts w:ascii="Garamond" w:eastAsia="Times New Roman" w:hAnsi="Garamond" w:cs="Calibri"/>
                <w:color w:val="000000"/>
                <w:sz w:val="18"/>
                <w:szCs w:val="20"/>
              </w:rPr>
              <w:t>China</w:t>
            </w:r>
          </w:p>
        </w:tc>
        <w:tc>
          <w:tcPr>
            <w:tcW w:w="2611" w:type="dxa"/>
            <w:tcBorders>
              <w:top w:val="nil"/>
              <w:left w:val="nil"/>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SHANGHAI SE COMPOSITE</w:t>
            </w:r>
          </w:p>
        </w:tc>
        <w:tc>
          <w:tcPr>
            <w:tcW w:w="1424"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 xml:space="preserve">                   2,941 </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13.8</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13.6</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7.9</w:t>
            </w:r>
          </w:p>
        </w:tc>
        <w:tc>
          <w:tcPr>
            <w:tcW w:w="58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-9.8</w:t>
            </w:r>
          </w:p>
        </w:tc>
        <w:tc>
          <w:tcPr>
            <w:tcW w:w="993"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18.4</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13.9</w:t>
            </w:r>
          </w:p>
        </w:tc>
      </w:tr>
      <w:tr w:rsidR="002B2DA3" w:rsidRPr="00C43F8B" w:rsidTr="002B2DA3">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8"/>
                <w:szCs w:val="20"/>
              </w:rPr>
            </w:pPr>
            <w:r w:rsidRPr="00601A27">
              <w:rPr>
                <w:rFonts w:ascii="Garamond" w:eastAsia="Times New Roman" w:hAnsi="Garamond" w:cs="Calibri"/>
                <w:color w:val="000000"/>
                <w:sz w:val="18"/>
                <w:szCs w:val="20"/>
              </w:rPr>
              <w:t>South Africa</w:t>
            </w:r>
          </w:p>
        </w:tc>
        <w:tc>
          <w:tcPr>
            <w:tcW w:w="2611" w:type="dxa"/>
            <w:tcBorders>
              <w:top w:val="nil"/>
              <w:left w:val="nil"/>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FTSE/JSE AFRICA ALL SHR</w:t>
            </w:r>
          </w:p>
        </w:tc>
        <w:tc>
          <w:tcPr>
            <w:tcW w:w="1424"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 xml:space="preserve">                 56,002 </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3.4</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10.5</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-4.5</w:t>
            </w:r>
          </w:p>
        </w:tc>
        <w:tc>
          <w:tcPr>
            <w:tcW w:w="58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-4.0</w:t>
            </w:r>
          </w:p>
        </w:tc>
        <w:tc>
          <w:tcPr>
            <w:tcW w:w="993"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15.9</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18.2</w:t>
            </w:r>
          </w:p>
        </w:tc>
      </w:tr>
      <w:tr w:rsidR="002B2DA3" w:rsidRPr="00C43F8B" w:rsidTr="002B2DA3">
        <w:trPr>
          <w:trHeight w:val="239"/>
        </w:trPr>
        <w:tc>
          <w:tcPr>
            <w:tcW w:w="9734" w:type="dxa"/>
            <w:gridSpan w:val="9"/>
            <w:tcBorders>
              <w:top w:val="single" w:sz="4" w:space="0" w:color="auto"/>
              <w:left w:val="single" w:sz="4" w:space="0" w:color="auto"/>
              <w:bottom w:val="single" w:sz="4" w:space="0" w:color="auto"/>
              <w:right w:val="single" w:sz="4" w:space="0" w:color="000000"/>
            </w:tcBorders>
            <w:shd w:val="clear" w:color="000000" w:fill="CCECFF"/>
            <w:vAlign w:val="center"/>
            <w:hideMark/>
          </w:tcPr>
          <w:p w:rsidR="002B2DA3" w:rsidRPr="00C43F8B" w:rsidRDefault="002B2DA3" w:rsidP="002B2DA3">
            <w:pPr>
              <w:jc w:val="center"/>
              <w:rPr>
                <w:rFonts w:ascii="Garamond" w:eastAsia="Times New Roman" w:hAnsi="Garamond" w:cs="Calibri"/>
                <w:b/>
                <w:bCs/>
                <w:color w:val="000000"/>
                <w:sz w:val="16"/>
                <w:szCs w:val="20"/>
              </w:rPr>
            </w:pPr>
            <w:r w:rsidRPr="00C43F8B">
              <w:rPr>
                <w:rFonts w:ascii="Garamond" w:eastAsia="Times New Roman" w:hAnsi="Garamond" w:cs="Calibri"/>
                <w:b/>
                <w:bCs/>
                <w:color w:val="000000"/>
                <w:sz w:val="16"/>
                <w:szCs w:val="20"/>
              </w:rPr>
              <w:t>Developed Markets</w:t>
            </w:r>
          </w:p>
        </w:tc>
      </w:tr>
      <w:tr w:rsidR="002B2DA3" w:rsidRPr="00C43F8B" w:rsidTr="002B2DA3">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8"/>
                <w:szCs w:val="20"/>
              </w:rPr>
            </w:pPr>
            <w:r w:rsidRPr="00601A27">
              <w:rPr>
                <w:rFonts w:ascii="Garamond" w:eastAsia="Times New Roman" w:hAnsi="Garamond" w:cs="Calibri"/>
                <w:color w:val="000000"/>
                <w:sz w:val="18"/>
                <w:szCs w:val="20"/>
              </w:rPr>
              <w:t>USA</w:t>
            </w:r>
          </w:p>
        </w:tc>
        <w:tc>
          <w:tcPr>
            <w:tcW w:w="2611" w:type="dxa"/>
            <w:tcBorders>
              <w:top w:val="nil"/>
              <w:left w:val="nil"/>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NASDAQ COMPOSITE INDEX</w:t>
            </w:r>
          </w:p>
        </w:tc>
        <w:tc>
          <w:tcPr>
            <w:tcW w:w="1424"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 xml:space="preserve">                   7,533 </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3.4</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2.8</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-7.1</w:t>
            </w:r>
          </w:p>
        </w:tc>
        <w:tc>
          <w:tcPr>
            <w:tcW w:w="58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3.6</w:t>
            </w:r>
          </w:p>
        </w:tc>
        <w:tc>
          <w:tcPr>
            <w:tcW w:w="993"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19.3</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34.5</w:t>
            </w:r>
          </w:p>
        </w:tc>
      </w:tr>
      <w:tr w:rsidR="002B2DA3" w:rsidRPr="00C43F8B" w:rsidTr="002B2DA3">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8"/>
                <w:szCs w:val="20"/>
              </w:rPr>
            </w:pPr>
            <w:r w:rsidRPr="00601A27">
              <w:rPr>
                <w:rFonts w:ascii="Garamond" w:eastAsia="Times New Roman" w:hAnsi="Garamond" w:cs="Calibri"/>
                <w:color w:val="000000"/>
                <w:sz w:val="18"/>
                <w:szCs w:val="20"/>
              </w:rPr>
              <w:t>USA</w:t>
            </w:r>
          </w:p>
        </w:tc>
        <w:tc>
          <w:tcPr>
            <w:tcW w:w="2611" w:type="dxa"/>
            <w:tcBorders>
              <w:top w:val="nil"/>
              <w:left w:val="nil"/>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DOW JONES INDUS. AVG</w:t>
            </w:r>
          </w:p>
        </w:tc>
        <w:tc>
          <w:tcPr>
            <w:tcW w:w="1424"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 xml:space="preserve">                 25,916 </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3.7</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1.5</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-0.2</w:t>
            </w:r>
          </w:p>
        </w:tc>
        <w:tc>
          <w:tcPr>
            <w:tcW w:w="58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3.5</w:t>
            </w:r>
          </w:p>
        </w:tc>
        <w:tc>
          <w:tcPr>
            <w:tcW w:w="993"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16.4</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16.5</w:t>
            </w:r>
          </w:p>
        </w:tc>
      </w:tr>
      <w:tr w:rsidR="002B2DA3" w:rsidRPr="00C43F8B" w:rsidTr="002B2DA3">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8"/>
                <w:szCs w:val="20"/>
              </w:rPr>
            </w:pPr>
            <w:r w:rsidRPr="00601A27">
              <w:rPr>
                <w:rFonts w:ascii="Garamond" w:eastAsia="Times New Roman" w:hAnsi="Garamond" w:cs="Calibri"/>
                <w:color w:val="000000"/>
                <w:sz w:val="18"/>
                <w:szCs w:val="20"/>
              </w:rPr>
              <w:t>France</w:t>
            </w:r>
          </w:p>
        </w:tc>
        <w:tc>
          <w:tcPr>
            <w:tcW w:w="2611" w:type="dxa"/>
            <w:tcBorders>
              <w:top w:val="nil"/>
              <w:left w:val="nil"/>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CAC 40 INDEX</w:t>
            </w:r>
          </w:p>
        </w:tc>
        <w:tc>
          <w:tcPr>
            <w:tcW w:w="1424"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 xml:space="preserve">                   5,241 </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5.0</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4.7</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-3.1</w:t>
            </w:r>
          </w:p>
        </w:tc>
        <w:tc>
          <w:tcPr>
            <w:tcW w:w="58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-1.5</w:t>
            </w:r>
          </w:p>
        </w:tc>
        <w:tc>
          <w:tcPr>
            <w:tcW w:w="993"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13.3</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17.6</w:t>
            </w:r>
          </w:p>
        </w:tc>
      </w:tr>
      <w:tr w:rsidR="002B2DA3" w:rsidRPr="00C43F8B" w:rsidTr="002B2DA3">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8"/>
                <w:szCs w:val="20"/>
              </w:rPr>
            </w:pPr>
            <w:r w:rsidRPr="00601A27">
              <w:rPr>
                <w:rFonts w:ascii="Garamond" w:eastAsia="Times New Roman" w:hAnsi="Garamond" w:cs="Calibri"/>
                <w:color w:val="000000"/>
                <w:sz w:val="18"/>
                <w:szCs w:val="20"/>
              </w:rPr>
              <w:t>Germany</w:t>
            </w:r>
          </w:p>
        </w:tc>
        <w:tc>
          <w:tcPr>
            <w:tcW w:w="2611" w:type="dxa"/>
            <w:tcBorders>
              <w:top w:val="nil"/>
              <w:left w:val="nil"/>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DAX INDEX</w:t>
            </w:r>
          </w:p>
        </w:tc>
        <w:tc>
          <w:tcPr>
            <w:tcW w:w="1424"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 xml:space="preserve">                 11,516 </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3.1</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2.3</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-6.9</w:t>
            </w:r>
          </w:p>
        </w:tc>
        <w:tc>
          <w:tcPr>
            <w:tcW w:w="58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-7.4</w:t>
            </w:r>
          </w:p>
        </w:tc>
        <w:tc>
          <w:tcPr>
            <w:tcW w:w="993"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15.0</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14.3</w:t>
            </w:r>
          </w:p>
        </w:tc>
      </w:tr>
      <w:tr w:rsidR="002B2DA3" w:rsidRPr="00C43F8B" w:rsidTr="002B2DA3">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8"/>
                <w:szCs w:val="20"/>
              </w:rPr>
            </w:pPr>
            <w:r w:rsidRPr="00601A27">
              <w:rPr>
                <w:rFonts w:ascii="Garamond" w:eastAsia="Times New Roman" w:hAnsi="Garamond" w:cs="Calibri"/>
                <w:color w:val="000000"/>
                <w:sz w:val="18"/>
                <w:szCs w:val="20"/>
              </w:rPr>
              <w:t>UK</w:t>
            </w:r>
          </w:p>
        </w:tc>
        <w:tc>
          <w:tcPr>
            <w:tcW w:w="2611" w:type="dxa"/>
            <w:tcBorders>
              <w:top w:val="nil"/>
              <w:left w:val="nil"/>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FTSE 100 INDEX</w:t>
            </w:r>
          </w:p>
        </w:tc>
        <w:tc>
          <w:tcPr>
            <w:tcW w:w="1424"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 xml:space="preserve">                   7,075 </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1.5</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1.4</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-4.8</w:t>
            </w:r>
          </w:p>
        </w:tc>
        <w:tc>
          <w:tcPr>
            <w:tcW w:w="58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-2.2</w:t>
            </w:r>
          </w:p>
        </w:tc>
        <w:tc>
          <w:tcPr>
            <w:tcW w:w="993"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12.2</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16.7</w:t>
            </w:r>
          </w:p>
        </w:tc>
      </w:tr>
      <w:tr w:rsidR="002B2DA3" w:rsidRPr="00C43F8B" w:rsidTr="002B2DA3">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8"/>
                <w:szCs w:val="20"/>
              </w:rPr>
            </w:pPr>
            <w:r w:rsidRPr="00601A27">
              <w:rPr>
                <w:rFonts w:ascii="Garamond" w:eastAsia="Times New Roman" w:hAnsi="Garamond" w:cs="Calibri"/>
                <w:color w:val="000000"/>
                <w:sz w:val="18"/>
                <w:szCs w:val="20"/>
              </w:rPr>
              <w:t>Hong Kong</w:t>
            </w:r>
          </w:p>
        </w:tc>
        <w:tc>
          <w:tcPr>
            <w:tcW w:w="2611" w:type="dxa"/>
            <w:tcBorders>
              <w:top w:val="nil"/>
              <w:left w:val="nil"/>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HANG SENG INDEX</w:t>
            </w:r>
          </w:p>
        </w:tc>
        <w:tc>
          <w:tcPr>
            <w:tcW w:w="1424"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 xml:space="preserve">                 28,633 </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2.5</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8.0</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2.7</w:t>
            </w:r>
          </w:p>
        </w:tc>
        <w:tc>
          <w:tcPr>
            <w:tcW w:w="58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-7.2</w:t>
            </w:r>
          </w:p>
        </w:tc>
        <w:tc>
          <w:tcPr>
            <w:tcW w:w="993"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18.5</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10.9</w:t>
            </w:r>
          </w:p>
        </w:tc>
      </w:tr>
      <w:tr w:rsidR="002B2DA3" w:rsidRPr="00C43F8B" w:rsidTr="002B2DA3">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8"/>
                <w:szCs w:val="20"/>
              </w:rPr>
            </w:pPr>
            <w:r w:rsidRPr="00601A27">
              <w:rPr>
                <w:rFonts w:ascii="Garamond" w:eastAsia="Times New Roman" w:hAnsi="Garamond" w:cs="Calibri"/>
                <w:color w:val="000000"/>
                <w:sz w:val="18"/>
                <w:szCs w:val="20"/>
              </w:rPr>
              <w:t>South Korea</w:t>
            </w:r>
          </w:p>
        </w:tc>
        <w:tc>
          <w:tcPr>
            <w:tcW w:w="2611" w:type="dxa"/>
            <w:tcBorders>
              <w:top w:val="nil"/>
              <w:left w:val="nil"/>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KOSPI INDEX</w:t>
            </w:r>
          </w:p>
        </w:tc>
        <w:tc>
          <w:tcPr>
            <w:tcW w:w="1424"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 xml:space="preserve">                   2,195 </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-0.4</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4.7</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-5.5</w:t>
            </w:r>
          </w:p>
        </w:tc>
        <w:tc>
          <w:tcPr>
            <w:tcW w:w="58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-9.6</w:t>
            </w:r>
          </w:p>
        </w:tc>
        <w:tc>
          <w:tcPr>
            <w:tcW w:w="993"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13.7</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10.7</w:t>
            </w:r>
          </w:p>
        </w:tc>
      </w:tr>
      <w:tr w:rsidR="002B2DA3" w:rsidRPr="00C43F8B" w:rsidTr="002B2DA3">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8"/>
                <w:szCs w:val="20"/>
              </w:rPr>
            </w:pPr>
            <w:r w:rsidRPr="00601A27">
              <w:rPr>
                <w:rFonts w:ascii="Garamond" w:eastAsia="Times New Roman" w:hAnsi="Garamond" w:cs="Calibri"/>
                <w:color w:val="000000"/>
                <w:sz w:val="18"/>
                <w:szCs w:val="20"/>
              </w:rPr>
              <w:t>Japan</w:t>
            </w:r>
          </w:p>
        </w:tc>
        <w:tc>
          <w:tcPr>
            <w:tcW w:w="2611" w:type="dxa"/>
            <w:tcBorders>
              <w:top w:val="nil"/>
              <w:left w:val="nil"/>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NIKKEI 225</w:t>
            </w:r>
          </w:p>
        </w:tc>
        <w:tc>
          <w:tcPr>
            <w:tcW w:w="1424"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 xml:space="preserve">                 21,385 </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2.9</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-4.3</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-6.5</w:t>
            </w:r>
          </w:p>
        </w:tc>
        <w:tc>
          <w:tcPr>
            <w:tcW w:w="58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-3.1</w:t>
            </w:r>
          </w:p>
        </w:tc>
        <w:tc>
          <w:tcPr>
            <w:tcW w:w="993"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18.0</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15.8</w:t>
            </w:r>
          </w:p>
        </w:tc>
      </w:tr>
      <w:tr w:rsidR="002B2DA3" w:rsidRPr="00C43F8B" w:rsidTr="002B2DA3">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8"/>
                <w:szCs w:val="20"/>
              </w:rPr>
            </w:pPr>
            <w:r w:rsidRPr="00601A27">
              <w:rPr>
                <w:rFonts w:ascii="Garamond" w:eastAsia="Times New Roman" w:hAnsi="Garamond" w:cs="Calibri"/>
                <w:color w:val="000000"/>
                <w:sz w:val="18"/>
                <w:szCs w:val="20"/>
              </w:rPr>
              <w:t>Singapore</w:t>
            </w:r>
          </w:p>
        </w:tc>
        <w:tc>
          <w:tcPr>
            <w:tcW w:w="2611" w:type="dxa"/>
            <w:tcBorders>
              <w:top w:val="nil"/>
              <w:left w:val="nil"/>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Straits Times Index STI</w:t>
            </w:r>
          </w:p>
        </w:tc>
        <w:tc>
          <w:tcPr>
            <w:tcW w:w="1424"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 xml:space="preserve">                   3,213 </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0.7</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3.0</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0.0</w:t>
            </w:r>
          </w:p>
        </w:tc>
        <w:tc>
          <w:tcPr>
            <w:tcW w:w="58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-8.7</w:t>
            </w:r>
          </w:p>
        </w:tc>
        <w:tc>
          <w:tcPr>
            <w:tcW w:w="993"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12.6</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13.2</w:t>
            </w:r>
          </w:p>
        </w:tc>
      </w:tr>
      <w:tr w:rsidR="002B2DA3" w:rsidRPr="00C43F8B" w:rsidTr="002B2DA3">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8"/>
                <w:szCs w:val="20"/>
              </w:rPr>
            </w:pPr>
            <w:r w:rsidRPr="00601A27">
              <w:rPr>
                <w:rFonts w:ascii="Garamond" w:eastAsia="Times New Roman" w:hAnsi="Garamond" w:cs="Calibri"/>
                <w:color w:val="000000"/>
                <w:sz w:val="18"/>
                <w:szCs w:val="20"/>
              </w:rPr>
              <w:t>Taiwan</w:t>
            </w:r>
          </w:p>
        </w:tc>
        <w:tc>
          <w:tcPr>
            <w:tcW w:w="2611" w:type="dxa"/>
            <w:tcBorders>
              <w:top w:val="nil"/>
              <w:left w:val="nil"/>
              <w:bottom w:val="single" w:sz="4" w:space="0" w:color="auto"/>
              <w:right w:val="single" w:sz="4" w:space="0" w:color="auto"/>
            </w:tcBorders>
            <w:shd w:val="clear" w:color="000000" w:fill="CCECFF"/>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TAIWAN TAIEX INDEX</w:t>
            </w:r>
          </w:p>
        </w:tc>
        <w:tc>
          <w:tcPr>
            <w:tcW w:w="1424"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 xml:space="preserve">                 10,389 </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4.6</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5.1</w:t>
            </w:r>
          </w:p>
        </w:tc>
        <w:tc>
          <w:tcPr>
            <w:tcW w:w="76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-6.1</w:t>
            </w:r>
          </w:p>
        </w:tc>
        <w:tc>
          <w:tcPr>
            <w:tcW w:w="581"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-3.9</w:t>
            </w:r>
          </w:p>
        </w:tc>
        <w:tc>
          <w:tcPr>
            <w:tcW w:w="993"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14.4</w:t>
            </w:r>
          </w:p>
        </w:tc>
        <w:tc>
          <w:tcPr>
            <w:tcW w:w="748" w:type="dxa"/>
            <w:tcBorders>
              <w:top w:val="nil"/>
              <w:left w:val="nil"/>
              <w:bottom w:val="single" w:sz="4" w:space="0" w:color="auto"/>
              <w:right w:val="single" w:sz="4" w:space="0" w:color="auto"/>
            </w:tcBorders>
            <w:shd w:val="clear" w:color="auto" w:fill="auto"/>
            <w:noWrap/>
            <w:vAlign w:val="center"/>
            <w:hideMark/>
          </w:tcPr>
          <w:p w:rsidR="002B2DA3" w:rsidRPr="00601A27" w:rsidRDefault="002B2DA3" w:rsidP="002B2DA3">
            <w:pPr>
              <w:jc w:val="right"/>
              <w:rPr>
                <w:rFonts w:ascii="Garamond" w:eastAsia="Times New Roman" w:hAnsi="Garamond" w:cs="Calibri"/>
                <w:color w:val="000000"/>
                <w:sz w:val="16"/>
                <w:szCs w:val="20"/>
              </w:rPr>
            </w:pPr>
            <w:r w:rsidRPr="00601A27">
              <w:rPr>
                <w:rFonts w:ascii="Garamond" w:eastAsia="Times New Roman" w:hAnsi="Garamond" w:cs="Calibri"/>
                <w:color w:val="000000"/>
                <w:sz w:val="16"/>
                <w:szCs w:val="20"/>
              </w:rPr>
              <w:t>14.1</w:t>
            </w:r>
          </w:p>
        </w:tc>
      </w:tr>
    </w:tbl>
    <w:p w:rsidR="002B2DA3" w:rsidRDefault="002B2DA3" w:rsidP="002B2DA3">
      <w:pPr>
        <w:pStyle w:val="NormalWeb"/>
        <w:spacing w:after="0"/>
        <w:jc w:val="both"/>
        <w:rPr>
          <w:rFonts w:ascii="Garamond" w:hAnsi="Garamond" w:cs="Arial"/>
          <w:b/>
          <w:bCs/>
          <w:sz w:val="20"/>
          <w:szCs w:val="26"/>
        </w:rPr>
      </w:pPr>
    </w:p>
    <w:p w:rsidR="002B2DA3" w:rsidRPr="00600AE3" w:rsidRDefault="002B2DA3" w:rsidP="002B2DA3">
      <w:pPr>
        <w:pStyle w:val="NormalWeb"/>
        <w:spacing w:after="0"/>
        <w:jc w:val="both"/>
        <w:rPr>
          <w:rFonts w:ascii="Garamond" w:hAnsi="Garamond" w:cs="Arial"/>
          <w:sz w:val="20"/>
          <w:szCs w:val="26"/>
        </w:rPr>
      </w:pPr>
      <w:r w:rsidRPr="00600AE3">
        <w:rPr>
          <w:rFonts w:ascii="Garamond" w:hAnsi="Garamond" w:cs="Arial"/>
          <w:b/>
          <w:bCs/>
          <w:sz w:val="20"/>
          <w:szCs w:val="26"/>
        </w:rPr>
        <w:t>Source:</w:t>
      </w:r>
      <w:r w:rsidRPr="00600AE3">
        <w:rPr>
          <w:rFonts w:ascii="Garamond" w:hAnsi="Garamond" w:cs="Arial"/>
          <w:sz w:val="20"/>
          <w:szCs w:val="26"/>
        </w:rPr>
        <w:t xml:space="preserve"> Bloomberg</w:t>
      </w:r>
      <w:r>
        <w:rPr>
          <w:rFonts w:ascii="Garamond" w:hAnsi="Garamond" w:cs="Arial"/>
          <w:sz w:val="20"/>
          <w:szCs w:val="26"/>
        </w:rPr>
        <w:t>, BSE and NSE</w:t>
      </w:r>
    </w:p>
    <w:p w:rsidR="002B2DA3" w:rsidRDefault="002B2DA3" w:rsidP="002B2DA3">
      <w:pPr>
        <w:pStyle w:val="NormalWeb"/>
        <w:spacing w:after="0"/>
        <w:jc w:val="both"/>
        <w:rPr>
          <w:rFonts w:ascii="Garamond" w:hAnsi="Garamond" w:cs="Arial"/>
          <w:color w:val="0000FF"/>
        </w:rPr>
      </w:pPr>
    </w:p>
    <w:p w:rsidR="002B2DA3" w:rsidRPr="00440919" w:rsidRDefault="002B2DA3" w:rsidP="002B2DA3">
      <w:pPr>
        <w:pStyle w:val="NormalWeb"/>
        <w:spacing w:after="0"/>
        <w:jc w:val="both"/>
        <w:rPr>
          <w:rFonts w:ascii="Garamond" w:hAnsi="Garamond" w:cs="Arial"/>
          <w:color w:val="0000FF"/>
        </w:rPr>
      </w:pPr>
    </w:p>
    <w:p w:rsidR="00AD7686" w:rsidRDefault="00AD7686">
      <w:pPr>
        <w:rPr>
          <w:rFonts w:ascii="Garamond" w:eastAsia="Times New Roman" w:hAnsi="Garamond" w:cs="Arial"/>
          <w:b/>
          <w:lang w:val="en-US"/>
        </w:rPr>
      </w:pPr>
      <w:r>
        <w:rPr>
          <w:rFonts w:ascii="Garamond" w:hAnsi="Garamond" w:cs="Arial"/>
          <w:b/>
        </w:rPr>
        <w:br w:type="page"/>
      </w:r>
    </w:p>
    <w:p w:rsidR="002B2DA3" w:rsidRDefault="002B2DA3" w:rsidP="002B2DA3">
      <w:pPr>
        <w:pStyle w:val="NormalWeb"/>
        <w:spacing w:after="0"/>
        <w:jc w:val="both"/>
        <w:outlineLvl w:val="0"/>
        <w:rPr>
          <w:rFonts w:ascii="Garamond" w:hAnsi="Garamond" w:cs="Arial"/>
          <w:b/>
        </w:rPr>
      </w:pPr>
      <w:r w:rsidRPr="003A1C75">
        <w:rPr>
          <w:rFonts w:ascii="Garamond" w:hAnsi="Garamond" w:cs="Arial"/>
          <w:b/>
        </w:rPr>
        <w:lastRenderedPageBreak/>
        <w:t>Chart 1: Stock Market Trend in Select Developed Markets</w:t>
      </w:r>
    </w:p>
    <w:p w:rsidR="002B2DA3" w:rsidRDefault="002B2DA3" w:rsidP="002B2DA3">
      <w:pPr>
        <w:pStyle w:val="NormalWeb"/>
        <w:spacing w:after="0"/>
        <w:jc w:val="both"/>
        <w:outlineLvl w:val="0"/>
        <w:rPr>
          <w:rFonts w:ascii="Garamond" w:hAnsi="Garamond" w:cs="Arial"/>
          <w:b/>
        </w:rPr>
      </w:pPr>
      <w:r>
        <w:rPr>
          <w:noProof/>
          <w:lang w:val="en-IN" w:eastAsia="en-IN"/>
        </w:rPr>
        <w:drawing>
          <wp:inline distT="0" distB="0" distL="0" distR="0" wp14:anchorId="4A68AE5F" wp14:editId="2CF6575E">
            <wp:extent cx="5463822" cy="2348089"/>
            <wp:effectExtent l="0" t="0" r="0" b="0"/>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2B2DA3" w:rsidRPr="00E62F11" w:rsidRDefault="002B2DA3" w:rsidP="002B2DA3">
      <w:pPr>
        <w:pStyle w:val="NormalWeb"/>
        <w:spacing w:after="0"/>
        <w:jc w:val="both"/>
        <w:outlineLvl w:val="0"/>
        <w:rPr>
          <w:rFonts w:ascii="Garamond" w:hAnsi="Garamond" w:cs="Arial"/>
          <w:b/>
        </w:rPr>
      </w:pPr>
      <w:r w:rsidRPr="003A1C75">
        <w:rPr>
          <w:rFonts w:ascii="Garamond" w:hAnsi="Garamond"/>
          <w:b/>
          <w:sz w:val="20"/>
        </w:rPr>
        <w:t>Source:</w:t>
      </w:r>
      <w:r w:rsidRPr="003A1C75">
        <w:rPr>
          <w:rFonts w:ascii="Garamond" w:hAnsi="Garamond"/>
          <w:sz w:val="20"/>
        </w:rPr>
        <w:t xml:space="preserve"> Bloomberg</w:t>
      </w:r>
    </w:p>
    <w:p w:rsidR="002B2DA3" w:rsidRPr="003A1C75" w:rsidRDefault="002B2DA3" w:rsidP="002B2DA3">
      <w:pPr>
        <w:jc w:val="both"/>
        <w:outlineLvl w:val="0"/>
        <w:rPr>
          <w:rFonts w:ascii="Garamond" w:hAnsi="Garamond"/>
          <w:sz w:val="20"/>
        </w:rPr>
      </w:pPr>
      <w:r w:rsidRPr="003A1C75">
        <w:rPr>
          <w:rFonts w:ascii="Garamond" w:hAnsi="Garamond"/>
          <w:b/>
          <w:sz w:val="20"/>
        </w:rPr>
        <w:t>Note:</w:t>
      </w:r>
      <w:r w:rsidRPr="003A1C75">
        <w:rPr>
          <w:rFonts w:ascii="Garamond" w:hAnsi="Garamond"/>
          <w:sz w:val="20"/>
        </w:rPr>
        <w:t xml:space="preserve"> All indices have been </w:t>
      </w:r>
      <w:r>
        <w:rPr>
          <w:rFonts w:ascii="Garamond" w:hAnsi="Garamond" w:cs="Arial"/>
          <w:sz w:val="20"/>
        </w:rPr>
        <w:t>indexed</w:t>
      </w:r>
      <w:r w:rsidRPr="003A1C75">
        <w:rPr>
          <w:rFonts w:ascii="Garamond" w:hAnsi="Garamond" w:cs="Arial"/>
          <w:sz w:val="20"/>
        </w:rPr>
        <w:t xml:space="preserve"> with base as </w:t>
      </w:r>
      <w:r>
        <w:rPr>
          <w:rFonts w:ascii="Garamond" w:hAnsi="Garamond" w:cs="Arial"/>
          <w:sz w:val="20"/>
        </w:rPr>
        <w:t>April 1</w:t>
      </w:r>
      <w:r w:rsidRPr="003A1C75">
        <w:rPr>
          <w:rFonts w:ascii="Garamond" w:hAnsi="Garamond" w:cs="Arial"/>
          <w:sz w:val="20"/>
        </w:rPr>
        <w:t>, 2018.</w:t>
      </w:r>
    </w:p>
    <w:p w:rsidR="002B2DA3" w:rsidRDefault="002B2DA3" w:rsidP="002B2DA3">
      <w:pPr>
        <w:pStyle w:val="NormalWeb"/>
        <w:spacing w:after="0"/>
        <w:jc w:val="both"/>
        <w:outlineLvl w:val="0"/>
        <w:rPr>
          <w:rFonts w:ascii="Garamond" w:hAnsi="Garamond" w:cs="Arial"/>
          <w:b/>
        </w:rPr>
      </w:pPr>
      <w:r w:rsidRPr="003A1C75">
        <w:rPr>
          <w:rFonts w:ascii="Garamond" w:hAnsi="Garamond" w:cs="Arial"/>
          <w:b/>
        </w:rPr>
        <w:t>Chart 2: Stock Market Trend in Select Emerging Markets</w:t>
      </w:r>
    </w:p>
    <w:p w:rsidR="002B2DA3" w:rsidRDefault="002B2DA3" w:rsidP="002B2DA3">
      <w:pPr>
        <w:pStyle w:val="NormalWeb"/>
        <w:spacing w:after="0"/>
        <w:jc w:val="both"/>
        <w:rPr>
          <w:rFonts w:ascii="Garamond" w:hAnsi="Garamond" w:cs="Arial"/>
          <w:b/>
        </w:rPr>
      </w:pPr>
      <w:r>
        <w:rPr>
          <w:noProof/>
          <w:lang w:val="en-IN" w:eastAsia="en-IN"/>
        </w:rPr>
        <w:drawing>
          <wp:inline distT="0" distB="0" distL="0" distR="0" wp14:anchorId="0182775C" wp14:editId="0529BF78">
            <wp:extent cx="5276675" cy="2642532"/>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2B2DA3" w:rsidRPr="003A1C75" w:rsidRDefault="002B2DA3" w:rsidP="002B2DA3">
      <w:pPr>
        <w:pStyle w:val="NormalWeb"/>
        <w:spacing w:after="0"/>
        <w:jc w:val="both"/>
        <w:outlineLvl w:val="0"/>
        <w:rPr>
          <w:rFonts w:ascii="Garamond" w:hAnsi="Garamond" w:cs="Arial"/>
          <w:sz w:val="20"/>
        </w:rPr>
      </w:pPr>
      <w:r w:rsidRPr="003A1C75">
        <w:rPr>
          <w:rFonts w:ascii="Garamond" w:hAnsi="Garamond" w:cs="Arial"/>
          <w:b/>
          <w:sz w:val="20"/>
        </w:rPr>
        <w:t>Source:</w:t>
      </w:r>
      <w:r w:rsidRPr="003A1C75">
        <w:rPr>
          <w:rFonts w:ascii="Garamond" w:hAnsi="Garamond" w:cs="Arial"/>
          <w:sz w:val="20"/>
        </w:rPr>
        <w:t xml:space="preserve"> Bloomberg</w:t>
      </w:r>
    </w:p>
    <w:p w:rsidR="002B2DA3" w:rsidRPr="003A1C75" w:rsidRDefault="002B2DA3" w:rsidP="002B2DA3">
      <w:pPr>
        <w:jc w:val="both"/>
        <w:outlineLvl w:val="0"/>
        <w:rPr>
          <w:rFonts w:ascii="Garamond" w:hAnsi="Garamond"/>
          <w:sz w:val="20"/>
        </w:rPr>
      </w:pPr>
      <w:r w:rsidRPr="003A1C75">
        <w:rPr>
          <w:rFonts w:ascii="Garamond" w:hAnsi="Garamond"/>
          <w:b/>
          <w:sz w:val="20"/>
        </w:rPr>
        <w:t>Note:</w:t>
      </w:r>
      <w:r w:rsidRPr="003A1C75">
        <w:rPr>
          <w:rFonts w:ascii="Garamond" w:hAnsi="Garamond"/>
          <w:sz w:val="20"/>
        </w:rPr>
        <w:t xml:space="preserve"> All indices have been </w:t>
      </w:r>
      <w:r>
        <w:rPr>
          <w:rFonts w:ascii="Garamond" w:hAnsi="Garamond" w:cs="Arial"/>
          <w:sz w:val="20"/>
        </w:rPr>
        <w:t>indexed</w:t>
      </w:r>
      <w:r w:rsidRPr="003A1C75">
        <w:rPr>
          <w:rFonts w:ascii="Garamond" w:hAnsi="Garamond" w:cs="Arial"/>
          <w:sz w:val="20"/>
        </w:rPr>
        <w:t xml:space="preserve"> with base as </w:t>
      </w:r>
      <w:r>
        <w:rPr>
          <w:rFonts w:ascii="Garamond" w:hAnsi="Garamond" w:cs="Arial"/>
          <w:sz w:val="20"/>
        </w:rPr>
        <w:t xml:space="preserve">April </w:t>
      </w:r>
      <w:r w:rsidRPr="003A1C75">
        <w:rPr>
          <w:rFonts w:ascii="Garamond" w:hAnsi="Garamond" w:cs="Arial"/>
          <w:sz w:val="20"/>
        </w:rPr>
        <w:t>1, 2018.</w:t>
      </w:r>
    </w:p>
    <w:p w:rsidR="002B2DA3" w:rsidRDefault="002B2DA3" w:rsidP="002B2DA3">
      <w:pPr>
        <w:pStyle w:val="NormalWeb"/>
        <w:spacing w:after="0"/>
        <w:jc w:val="both"/>
        <w:outlineLvl w:val="0"/>
        <w:rPr>
          <w:rFonts w:ascii="Garamond" w:hAnsi="Garamond" w:cs="Arial"/>
          <w:b/>
        </w:rPr>
      </w:pPr>
    </w:p>
    <w:p w:rsidR="002B2DA3" w:rsidRPr="00784052" w:rsidRDefault="002B2DA3" w:rsidP="002B2DA3">
      <w:pPr>
        <w:pStyle w:val="NormalWeb"/>
        <w:spacing w:after="0"/>
        <w:jc w:val="both"/>
        <w:outlineLvl w:val="0"/>
        <w:rPr>
          <w:rFonts w:ascii="Garamond" w:hAnsi="Garamond" w:cs="Arial"/>
          <w:b/>
        </w:rPr>
      </w:pPr>
      <w:r w:rsidRPr="00784052">
        <w:rPr>
          <w:rFonts w:ascii="Garamond" w:hAnsi="Garamond" w:cs="Arial"/>
          <w:b/>
        </w:rPr>
        <w:t>Fund Mobilisation by Issuance of Equity and Bond:</w:t>
      </w:r>
    </w:p>
    <w:p w:rsidR="002B2DA3" w:rsidRPr="00737FFA" w:rsidRDefault="002B2DA3" w:rsidP="002B2DA3">
      <w:pPr>
        <w:pStyle w:val="NormalWeb"/>
        <w:spacing w:after="0"/>
        <w:jc w:val="both"/>
        <w:rPr>
          <w:rFonts w:ascii="Garamond" w:hAnsi="Garamond" w:cs="Arial"/>
        </w:rPr>
      </w:pPr>
      <w:r>
        <w:rPr>
          <w:rFonts w:ascii="Garamond" w:hAnsi="Garamond" w:cs="Arial"/>
        </w:rPr>
        <w:t xml:space="preserve">During January 2019, while the fund raising through debt gathered momentum after a dip in the previous month, growth in amount of monies mobilised through equity shares issuance remained muted. </w:t>
      </w:r>
      <w:r w:rsidRPr="00784052">
        <w:rPr>
          <w:rFonts w:ascii="Garamond" w:hAnsi="Garamond" w:cs="Arial"/>
        </w:rPr>
        <w:t xml:space="preserve">As per the data available from World Federation of Exchanges, </w:t>
      </w:r>
      <w:r>
        <w:rPr>
          <w:rFonts w:ascii="Garamond" w:hAnsi="Garamond" w:cs="Arial"/>
        </w:rPr>
        <w:t xml:space="preserve">major exchanges raised $ 26.6 billion in equity (compared to $40.3 billion previous month) and $ 236.3 billion in debt (compared to $ 142.5 billion in previous month). On equity side, China’s </w:t>
      </w:r>
      <w:r w:rsidRPr="00977E5D">
        <w:rPr>
          <w:rFonts w:ascii="Garamond" w:hAnsi="Garamond" w:cs="Arial"/>
        </w:rPr>
        <w:t>Shenzhen Stock Exchange</w:t>
      </w:r>
      <w:r>
        <w:rPr>
          <w:rFonts w:ascii="Garamond" w:hAnsi="Garamond" w:cs="Arial"/>
        </w:rPr>
        <w:t xml:space="preserve"> and Shanghai </w:t>
      </w:r>
      <w:r>
        <w:rPr>
          <w:rFonts w:ascii="Garamond" w:hAnsi="Garamond" w:cs="Arial"/>
        </w:rPr>
        <w:lastRenderedPageBreak/>
        <w:t xml:space="preserve">Stock Exchange raised record $ 9.9 billion and $ 9.2 billion respectively, followed by Euronext ($ 3.9 billion). On the debt side, </w:t>
      </w:r>
      <w:r w:rsidRPr="00977E5D">
        <w:rPr>
          <w:rFonts w:ascii="Garamond" w:hAnsi="Garamond" w:cs="Arial"/>
        </w:rPr>
        <w:t xml:space="preserve">BME Spanish </w:t>
      </w:r>
      <w:r>
        <w:rPr>
          <w:rFonts w:ascii="Garamond" w:hAnsi="Garamond" w:cs="Arial"/>
        </w:rPr>
        <w:t>witnessed</w:t>
      </w:r>
      <w:r w:rsidRPr="004F55AA">
        <w:rPr>
          <w:rFonts w:ascii="Garamond" w:hAnsi="Garamond" w:cs="Arial"/>
        </w:rPr>
        <w:t xml:space="preserve"> the </w:t>
      </w:r>
      <w:r>
        <w:rPr>
          <w:rFonts w:ascii="Garamond" w:hAnsi="Garamond" w:cs="Arial"/>
        </w:rPr>
        <w:t>largest fund raising</w:t>
      </w:r>
      <w:r w:rsidRPr="004F55AA">
        <w:rPr>
          <w:rFonts w:ascii="Garamond" w:hAnsi="Garamond" w:cs="Arial"/>
        </w:rPr>
        <w:t xml:space="preserve"> of $ </w:t>
      </w:r>
      <w:r>
        <w:rPr>
          <w:rFonts w:ascii="Garamond" w:hAnsi="Garamond" w:cs="Arial"/>
        </w:rPr>
        <w:t>72.2</w:t>
      </w:r>
      <w:r w:rsidRPr="004F55AA">
        <w:rPr>
          <w:rFonts w:ascii="Garamond" w:hAnsi="Garamond" w:cs="Arial"/>
        </w:rPr>
        <w:t xml:space="preserve"> billion </w:t>
      </w:r>
      <w:r>
        <w:rPr>
          <w:rFonts w:ascii="Garamond" w:hAnsi="Garamond" w:cs="Arial"/>
        </w:rPr>
        <w:t>during January 2019,</w:t>
      </w:r>
      <w:r w:rsidRPr="004F55AA">
        <w:rPr>
          <w:rFonts w:ascii="Garamond" w:hAnsi="Garamond" w:cs="Arial"/>
        </w:rPr>
        <w:t xml:space="preserve"> followed by</w:t>
      </w:r>
      <w:r>
        <w:rPr>
          <w:rFonts w:ascii="Garamond" w:hAnsi="Garamond" w:cs="Arial"/>
        </w:rPr>
        <w:t xml:space="preserve"> LSE Group ($ 44.6 billion),</w:t>
      </w:r>
      <w:r w:rsidRPr="004F55AA">
        <w:rPr>
          <w:rFonts w:ascii="Garamond" w:hAnsi="Garamond" w:cs="Arial"/>
        </w:rPr>
        <w:t xml:space="preserve"> </w:t>
      </w:r>
      <w:r w:rsidRPr="00977E5D">
        <w:rPr>
          <w:rFonts w:ascii="Garamond" w:hAnsi="Garamond" w:cs="Arial"/>
        </w:rPr>
        <w:t xml:space="preserve">Korea exchange ($ </w:t>
      </w:r>
      <w:r>
        <w:rPr>
          <w:rFonts w:ascii="Garamond" w:hAnsi="Garamond" w:cs="Arial"/>
        </w:rPr>
        <w:t>40.4</w:t>
      </w:r>
      <w:r w:rsidRPr="00977E5D">
        <w:rPr>
          <w:rFonts w:ascii="Garamond" w:hAnsi="Garamond" w:cs="Arial"/>
        </w:rPr>
        <w:t xml:space="preserve"> billion)</w:t>
      </w:r>
      <w:r>
        <w:rPr>
          <w:rFonts w:ascii="Garamond" w:hAnsi="Garamond" w:cs="Arial"/>
        </w:rPr>
        <w:t xml:space="preserve">, </w:t>
      </w:r>
      <w:r w:rsidRPr="004F55AA">
        <w:rPr>
          <w:rFonts w:ascii="Garamond" w:hAnsi="Garamond" w:cs="Arial"/>
        </w:rPr>
        <w:t xml:space="preserve">and </w:t>
      </w:r>
      <w:r>
        <w:rPr>
          <w:rFonts w:ascii="Garamond" w:hAnsi="Garamond" w:cs="Arial"/>
        </w:rPr>
        <w:t>NSE India</w:t>
      </w:r>
      <w:r w:rsidRPr="004F55AA">
        <w:rPr>
          <w:rFonts w:ascii="Garamond" w:hAnsi="Garamond" w:cs="Arial"/>
        </w:rPr>
        <w:t xml:space="preserve"> ($</w:t>
      </w:r>
      <w:r>
        <w:rPr>
          <w:rFonts w:ascii="Garamond" w:hAnsi="Garamond" w:cs="Arial"/>
        </w:rPr>
        <w:t xml:space="preserve">27.6 billion) </w:t>
      </w:r>
      <w:r>
        <w:rPr>
          <w:rFonts w:ascii="Garamond" w:hAnsi="Garamond" w:cs="Arial"/>
          <w:b/>
          <w:i/>
        </w:rPr>
        <w:t>(Table A3</w:t>
      </w:r>
      <w:r w:rsidRPr="00784052">
        <w:rPr>
          <w:rFonts w:ascii="Garamond" w:hAnsi="Garamond" w:cs="Arial"/>
          <w:b/>
          <w:i/>
        </w:rPr>
        <w:t>)</w:t>
      </w:r>
      <w:r w:rsidRPr="00784052">
        <w:rPr>
          <w:rFonts w:ascii="Garamond" w:hAnsi="Garamond" w:cs="Arial"/>
        </w:rPr>
        <w:t>.</w:t>
      </w:r>
    </w:p>
    <w:p w:rsidR="002B2DA3" w:rsidRPr="00737FFA" w:rsidRDefault="002B2DA3" w:rsidP="002B2DA3">
      <w:pPr>
        <w:pStyle w:val="NormalWeb"/>
        <w:spacing w:after="0"/>
        <w:jc w:val="both"/>
        <w:outlineLvl w:val="0"/>
        <w:rPr>
          <w:rFonts w:ascii="Garamond" w:hAnsi="Garamond" w:cs="Arial"/>
          <w:b/>
        </w:rPr>
      </w:pPr>
      <w:r>
        <w:rPr>
          <w:rFonts w:ascii="Garamond" w:hAnsi="Garamond" w:cs="Arial"/>
          <w:b/>
        </w:rPr>
        <w:t>Table A3</w:t>
      </w:r>
      <w:r w:rsidRPr="00737FFA">
        <w:rPr>
          <w:rFonts w:ascii="Garamond" w:hAnsi="Garamond" w:cs="Arial"/>
          <w:b/>
        </w:rPr>
        <w:t>: Fund Mobilisation by Issuance of Equity and Bond in Major Exchanges</w:t>
      </w:r>
    </w:p>
    <w:p w:rsidR="002B2DA3" w:rsidRDefault="002B2DA3" w:rsidP="002B2DA3">
      <w:pPr>
        <w:pStyle w:val="NormalWeb"/>
        <w:spacing w:after="0"/>
        <w:jc w:val="right"/>
        <w:rPr>
          <w:rFonts w:ascii="Garamond" w:hAnsi="Garamond" w:cs="Arial"/>
          <w:sz w:val="20"/>
          <w:szCs w:val="20"/>
        </w:rPr>
      </w:pPr>
      <w:r w:rsidRPr="00737FFA">
        <w:rPr>
          <w:rFonts w:ascii="Garamond" w:hAnsi="Garamond" w:cs="Arial"/>
          <w:sz w:val="20"/>
          <w:szCs w:val="20"/>
        </w:rPr>
        <w:t>(US$ Million)</w:t>
      </w:r>
    </w:p>
    <w:tbl>
      <w:tblPr>
        <w:tblW w:w="5183" w:type="pct"/>
        <w:tblInd w:w="-342" w:type="dxa"/>
        <w:tblLayout w:type="fixed"/>
        <w:tblLook w:val="04A0" w:firstRow="1" w:lastRow="0" w:firstColumn="1" w:lastColumn="0" w:noHBand="0" w:noVBand="1"/>
      </w:tblPr>
      <w:tblGrid>
        <w:gridCol w:w="362"/>
        <w:gridCol w:w="1411"/>
        <w:gridCol w:w="2684"/>
        <w:gridCol w:w="867"/>
        <w:gridCol w:w="867"/>
        <w:gridCol w:w="869"/>
        <w:gridCol w:w="867"/>
        <w:gridCol w:w="867"/>
        <w:gridCol w:w="865"/>
      </w:tblGrid>
      <w:tr w:rsidR="002B2DA3" w:rsidRPr="00955098" w:rsidTr="002B2DA3">
        <w:trPr>
          <w:trHeight w:val="239"/>
        </w:trPr>
        <w:tc>
          <w:tcPr>
            <w:tcW w:w="187" w:type="pct"/>
            <w:tcBorders>
              <w:top w:val="nil"/>
              <w:left w:val="nil"/>
              <w:bottom w:val="nil"/>
              <w:right w:val="nil"/>
            </w:tcBorders>
            <w:shd w:val="clear" w:color="auto" w:fill="auto"/>
            <w:textDirection w:val="btLr"/>
            <w:vAlign w:val="center"/>
            <w:hideMark/>
          </w:tcPr>
          <w:p w:rsidR="002B2DA3" w:rsidRPr="00955098" w:rsidRDefault="002B2DA3" w:rsidP="002B2DA3">
            <w:pPr>
              <w:rPr>
                <w:rFonts w:eastAsia="Times New Roman"/>
              </w:rPr>
            </w:pPr>
          </w:p>
        </w:tc>
        <w:tc>
          <w:tcPr>
            <w:tcW w:w="730" w:type="pct"/>
            <w:vMerge w:val="restart"/>
            <w:tcBorders>
              <w:top w:val="single" w:sz="4" w:space="0" w:color="auto"/>
              <w:left w:val="single" w:sz="4" w:space="0" w:color="auto"/>
              <w:bottom w:val="single" w:sz="4" w:space="0" w:color="000000"/>
              <w:right w:val="nil"/>
            </w:tcBorders>
            <w:shd w:val="clear" w:color="000000" w:fill="B4C6E7"/>
            <w:vAlign w:val="center"/>
            <w:hideMark/>
          </w:tcPr>
          <w:p w:rsidR="002B2DA3" w:rsidRPr="00955098" w:rsidRDefault="002B2DA3" w:rsidP="002B2DA3">
            <w:pPr>
              <w:jc w:val="center"/>
              <w:rPr>
                <w:rFonts w:ascii="Garamond" w:eastAsia="Times New Roman" w:hAnsi="Garamond" w:cs="Calibri"/>
                <w:b/>
                <w:bCs/>
                <w:color w:val="000000"/>
                <w:sz w:val="20"/>
                <w:szCs w:val="20"/>
              </w:rPr>
            </w:pPr>
            <w:r w:rsidRPr="00955098">
              <w:rPr>
                <w:rFonts w:ascii="Garamond" w:eastAsia="Times New Roman" w:hAnsi="Garamond" w:cs="Calibri"/>
                <w:b/>
                <w:bCs/>
                <w:color w:val="000000"/>
                <w:sz w:val="20"/>
                <w:szCs w:val="20"/>
              </w:rPr>
              <w:t>Country</w:t>
            </w:r>
          </w:p>
        </w:tc>
        <w:tc>
          <w:tcPr>
            <w:tcW w:w="1389" w:type="pct"/>
            <w:vMerge w:val="restart"/>
            <w:tcBorders>
              <w:top w:val="single" w:sz="4" w:space="0" w:color="auto"/>
              <w:left w:val="single" w:sz="4" w:space="0" w:color="auto"/>
              <w:bottom w:val="single" w:sz="4" w:space="0" w:color="000000"/>
              <w:right w:val="nil"/>
            </w:tcBorders>
            <w:shd w:val="clear" w:color="000000" w:fill="B4C6E7"/>
            <w:vAlign w:val="center"/>
            <w:hideMark/>
          </w:tcPr>
          <w:p w:rsidR="002B2DA3" w:rsidRPr="00955098" w:rsidRDefault="002B2DA3" w:rsidP="002B2DA3">
            <w:pPr>
              <w:jc w:val="center"/>
              <w:rPr>
                <w:rFonts w:ascii="Garamond" w:eastAsia="Times New Roman" w:hAnsi="Garamond" w:cs="Calibri"/>
                <w:b/>
                <w:bCs/>
                <w:color w:val="000000"/>
                <w:sz w:val="20"/>
                <w:szCs w:val="20"/>
              </w:rPr>
            </w:pPr>
            <w:r w:rsidRPr="00955098">
              <w:rPr>
                <w:rFonts w:ascii="Garamond" w:eastAsia="Times New Roman" w:hAnsi="Garamond" w:cs="Calibri"/>
                <w:b/>
                <w:bCs/>
                <w:color w:val="000000"/>
                <w:sz w:val="20"/>
                <w:szCs w:val="20"/>
              </w:rPr>
              <w:t>Exchange</w:t>
            </w:r>
          </w:p>
        </w:tc>
        <w:tc>
          <w:tcPr>
            <w:tcW w:w="1348" w:type="pct"/>
            <w:gridSpan w:val="3"/>
            <w:tcBorders>
              <w:top w:val="single" w:sz="4" w:space="0" w:color="auto"/>
              <w:left w:val="single" w:sz="4" w:space="0" w:color="auto"/>
              <w:bottom w:val="single" w:sz="4" w:space="0" w:color="auto"/>
              <w:right w:val="single" w:sz="4" w:space="0" w:color="000000"/>
            </w:tcBorders>
            <w:shd w:val="clear" w:color="000000" w:fill="B4C6E7"/>
            <w:vAlign w:val="center"/>
            <w:hideMark/>
          </w:tcPr>
          <w:p w:rsidR="002B2DA3" w:rsidRPr="00955098" w:rsidRDefault="002B2DA3" w:rsidP="002B2DA3">
            <w:pPr>
              <w:jc w:val="center"/>
              <w:rPr>
                <w:rFonts w:ascii="Garamond" w:eastAsia="Times New Roman" w:hAnsi="Garamond" w:cs="Calibri"/>
                <w:b/>
                <w:bCs/>
                <w:color w:val="000000"/>
                <w:sz w:val="20"/>
                <w:szCs w:val="20"/>
              </w:rPr>
            </w:pPr>
            <w:r w:rsidRPr="00955098">
              <w:rPr>
                <w:rFonts w:ascii="Garamond" w:eastAsia="Times New Roman" w:hAnsi="Garamond" w:cs="Calibri"/>
                <w:b/>
                <w:bCs/>
                <w:color w:val="000000"/>
                <w:sz w:val="20"/>
                <w:szCs w:val="20"/>
              </w:rPr>
              <w:t>Dec-18</w:t>
            </w:r>
          </w:p>
        </w:tc>
        <w:tc>
          <w:tcPr>
            <w:tcW w:w="1346" w:type="pct"/>
            <w:gridSpan w:val="3"/>
            <w:tcBorders>
              <w:top w:val="single" w:sz="4" w:space="0" w:color="auto"/>
              <w:left w:val="nil"/>
              <w:bottom w:val="single" w:sz="4" w:space="0" w:color="auto"/>
              <w:right w:val="single" w:sz="4" w:space="0" w:color="000000"/>
            </w:tcBorders>
            <w:shd w:val="clear" w:color="000000" w:fill="B4C6E7"/>
            <w:vAlign w:val="center"/>
            <w:hideMark/>
          </w:tcPr>
          <w:p w:rsidR="002B2DA3" w:rsidRPr="00955098" w:rsidRDefault="002B2DA3" w:rsidP="002B2DA3">
            <w:pPr>
              <w:jc w:val="center"/>
              <w:rPr>
                <w:rFonts w:ascii="Garamond" w:eastAsia="Times New Roman" w:hAnsi="Garamond" w:cs="Calibri"/>
                <w:b/>
                <w:bCs/>
                <w:color w:val="000000"/>
                <w:sz w:val="20"/>
                <w:szCs w:val="20"/>
              </w:rPr>
            </w:pPr>
            <w:r>
              <w:rPr>
                <w:rFonts w:ascii="Garamond" w:eastAsia="Times New Roman" w:hAnsi="Garamond" w:cs="Calibri"/>
                <w:b/>
                <w:bCs/>
                <w:color w:val="000000"/>
                <w:sz w:val="20"/>
                <w:szCs w:val="20"/>
              </w:rPr>
              <w:t>Jan</w:t>
            </w:r>
            <w:r w:rsidRPr="00955098">
              <w:rPr>
                <w:rFonts w:ascii="Garamond" w:eastAsia="Times New Roman" w:hAnsi="Garamond" w:cs="Calibri"/>
                <w:b/>
                <w:bCs/>
                <w:color w:val="000000"/>
                <w:sz w:val="20"/>
                <w:szCs w:val="20"/>
              </w:rPr>
              <w:t>-1</w:t>
            </w:r>
            <w:r>
              <w:rPr>
                <w:rFonts w:ascii="Garamond" w:eastAsia="Times New Roman" w:hAnsi="Garamond" w:cs="Calibri"/>
                <w:b/>
                <w:bCs/>
                <w:color w:val="000000"/>
                <w:sz w:val="20"/>
                <w:szCs w:val="20"/>
              </w:rPr>
              <w:t>9</w:t>
            </w:r>
          </w:p>
        </w:tc>
      </w:tr>
      <w:tr w:rsidR="002B2DA3" w:rsidRPr="00955098" w:rsidTr="002B2DA3">
        <w:trPr>
          <w:trHeight w:val="239"/>
        </w:trPr>
        <w:tc>
          <w:tcPr>
            <w:tcW w:w="187" w:type="pct"/>
            <w:tcBorders>
              <w:top w:val="nil"/>
              <w:left w:val="nil"/>
              <w:bottom w:val="nil"/>
              <w:right w:val="nil"/>
            </w:tcBorders>
            <w:shd w:val="clear" w:color="auto" w:fill="auto"/>
            <w:vAlign w:val="center"/>
            <w:hideMark/>
          </w:tcPr>
          <w:p w:rsidR="002B2DA3" w:rsidRPr="00955098" w:rsidRDefault="002B2DA3" w:rsidP="002B2DA3">
            <w:pPr>
              <w:jc w:val="center"/>
              <w:rPr>
                <w:rFonts w:ascii="Garamond" w:eastAsia="Times New Roman" w:hAnsi="Garamond" w:cs="Calibri"/>
                <w:b/>
                <w:bCs/>
                <w:color w:val="000000"/>
                <w:sz w:val="20"/>
                <w:szCs w:val="20"/>
              </w:rPr>
            </w:pPr>
          </w:p>
        </w:tc>
        <w:tc>
          <w:tcPr>
            <w:tcW w:w="730" w:type="pct"/>
            <w:vMerge/>
            <w:tcBorders>
              <w:top w:val="single" w:sz="4" w:space="0" w:color="auto"/>
              <w:left w:val="single" w:sz="4" w:space="0" w:color="auto"/>
              <w:bottom w:val="single" w:sz="4" w:space="0" w:color="000000"/>
              <w:right w:val="nil"/>
            </w:tcBorders>
            <w:vAlign w:val="center"/>
            <w:hideMark/>
          </w:tcPr>
          <w:p w:rsidR="002B2DA3" w:rsidRPr="00955098" w:rsidRDefault="002B2DA3" w:rsidP="002B2DA3">
            <w:pPr>
              <w:rPr>
                <w:rFonts w:ascii="Garamond" w:eastAsia="Times New Roman" w:hAnsi="Garamond" w:cs="Calibri"/>
                <w:b/>
                <w:bCs/>
                <w:color w:val="000000"/>
                <w:sz w:val="20"/>
                <w:szCs w:val="20"/>
              </w:rPr>
            </w:pPr>
          </w:p>
        </w:tc>
        <w:tc>
          <w:tcPr>
            <w:tcW w:w="1389" w:type="pct"/>
            <w:vMerge/>
            <w:tcBorders>
              <w:top w:val="single" w:sz="4" w:space="0" w:color="auto"/>
              <w:left w:val="single" w:sz="4" w:space="0" w:color="auto"/>
              <w:bottom w:val="single" w:sz="4" w:space="0" w:color="000000"/>
              <w:right w:val="nil"/>
            </w:tcBorders>
            <w:vAlign w:val="center"/>
            <w:hideMark/>
          </w:tcPr>
          <w:p w:rsidR="002B2DA3" w:rsidRPr="00955098" w:rsidRDefault="002B2DA3" w:rsidP="002B2DA3">
            <w:pPr>
              <w:rPr>
                <w:rFonts w:ascii="Garamond" w:eastAsia="Times New Roman" w:hAnsi="Garamond" w:cs="Calibri"/>
                <w:b/>
                <w:bCs/>
                <w:color w:val="000000"/>
                <w:sz w:val="20"/>
                <w:szCs w:val="20"/>
              </w:rPr>
            </w:pPr>
          </w:p>
        </w:tc>
        <w:tc>
          <w:tcPr>
            <w:tcW w:w="449" w:type="pct"/>
            <w:tcBorders>
              <w:top w:val="nil"/>
              <w:left w:val="single" w:sz="4" w:space="0" w:color="auto"/>
              <w:bottom w:val="single" w:sz="4" w:space="0" w:color="auto"/>
              <w:right w:val="nil"/>
            </w:tcBorders>
            <w:shd w:val="clear" w:color="000000" w:fill="B4C6E7"/>
            <w:vAlign w:val="center"/>
            <w:hideMark/>
          </w:tcPr>
          <w:p w:rsidR="002B2DA3" w:rsidRPr="00955098" w:rsidRDefault="002B2DA3" w:rsidP="002B2DA3">
            <w:pPr>
              <w:jc w:val="center"/>
              <w:rPr>
                <w:rFonts w:ascii="Garamond" w:eastAsia="Times New Roman" w:hAnsi="Garamond" w:cs="Calibri"/>
                <w:b/>
                <w:bCs/>
                <w:color w:val="000000"/>
                <w:sz w:val="20"/>
                <w:szCs w:val="20"/>
              </w:rPr>
            </w:pPr>
            <w:r w:rsidRPr="00955098">
              <w:rPr>
                <w:rFonts w:ascii="Garamond" w:eastAsia="Times New Roman" w:hAnsi="Garamond" w:cs="Calibri"/>
                <w:b/>
                <w:bCs/>
                <w:color w:val="000000"/>
                <w:sz w:val="20"/>
                <w:szCs w:val="20"/>
              </w:rPr>
              <w:t>Equity</w:t>
            </w:r>
          </w:p>
        </w:tc>
        <w:tc>
          <w:tcPr>
            <w:tcW w:w="449" w:type="pct"/>
            <w:tcBorders>
              <w:top w:val="nil"/>
              <w:left w:val="single" w:sz="4" w:space="0" w:color="auto"/>
              <w:bottom w:val="single" w:sz="4" w:space="0" w:color="auto"/>
              <w:right w:val="single" w:sz="4" w:space="0" w:color="auto"/>
            </w:tcBorders>
            <w:shd w:val="clear" w:color="000000" w:fill="B4C6E7"/>
            <w:vAlign w:val="center"/>
            <w:hideMark/>
          </w:tcPr>
          <w:p w:rsidR="002B2DA3" w:rsidRPr="00955098" w:rsidRDefault="002B2DA3" w:rsidP="002B2DA3">
            <w:pPr>
              <w:jc w:val="center"/>
              <w:rPr>
                <w:rFonts w:ascii="Garamond" w:eastAsia="Times New Roman" w:hAnsi="Garamond" w:cs="Calibri"/>
                <w:b/>
                <w:bCs/>
                <w:color w:val="000000"/>
                <w:sz w:val="20"/>
                <w:szCs w:val="20"/>
              </w:rPr>
            </w:pPr>
            <w:r w:rsidRPr="00955098">
              <w:rPr>
                <w:rFonts w:ascii="Garamond" w:eastAsia="Times New Roman" w:hAnsi="Garamond" w:cs="Calibri"/>
                <w:b/>
                <w:bCs/>
                <w:color w:val="000000"/>
                <w:sz w:val="20"/>
                <w:szCs w:val="20"/>
              </w:rPr>
              <w:t>Bond</w:t>
            </w:r>
          </w:p>
        </w:tc>
        <w:tc>
          <w:tcPr>
            <w:tcW w:w="450" w:type="pct"/>
            <w:tcBorders>
              <w:top w:val="nil"/>
              <w:left w:val="nil"/>
              <w:bottom w:val="single" w:sz="4" w:space="0" w:color="auto"/>
              <w:right w:val="single" w:sz="4" w:space="0" w:color="auto"/>
            </w:tcBorders>
            <w:shd w:val="clear" w:color="000000" w:fill="B4C6E7"/>
            <w:vAlign w:val="center"/>
            <w:hideMark/>
          </w:tcPr>
          <w:p w:rsidR="002B2DA3" w:rsidRPr="00955098" w:rsidRDefault="002B2DA3" w:rsidP="002B2DA3">
            <w:pPr>
              <w:jc w:val="center"/>
              <w:rPr>
                <w:rFonts w:ascii="Garamond" w:eastAsia="Times New Roman" w:hAnsi="Garamond" w:cs="Calibri"/>
                <w:b/>
                <w:bCs/>
                <w:color w:val="000000"/>
                <w:sz w:val="20"/>
                <w:szCs w:val="20"/>
              </w:rPr>
            </w:pPr>
            <w:r w:rsidRPr="00955098">
              <w:rPr>
                <w:rFonts w:ascii="Garamond" w:eastAsia="Times New Roman" w:hAnsi="Garamond" w:cs="Calibri"/>
                <w:b/>
                <w:bCs/>
                <w:color w:val="000000"/>
                <w:sz w:val="20"/>
                <w:szCs w:val="20"/>
              </w:rPr>
              <w:t>Total</w:t>
            </w:r>
          </w:p>
        </w:tc>
        <w:tc>
          <w:tcPr>
            <w:tcW w:w="449" w:type="pct"/>
            <w:tcBorders>
              <w:top w:val="nil"/>
              <w:left w:val="nil"/>
              <w:bottom w:val="single" w:sz="4" w:space="0" w:color="auto"/>
              <w:right w:val="nil"/>
            </w:tcBorders>
            <w:shd w:val="clear" w:color="000000" w:fill="B4C6E7"/>
            <w:vAlign w:val="center"/>
            <w:hideMark/>
          </w:tcPr>
          <w:p w:rsidR="002B2DA3" w:rsidRPr="00955098" w:rsidRDefault="002B2DA3" w:rsidP="002B2DA3">
            <w:pPr>
              <w:jc w:val="center"/>
              <w:rPr>
                <w:rFonts w:ascii="Garamond" w:eastAsia="Times New Roman" w:hAnsi="Garamond" w:cs="Calibri"/>
                <w:b/>
                <w:bCs/>
                <w:color w:val="000000"/>
                <w:sz w:val="20"/>
                <w:szCs w:val="20"/>
              </w:rPr>
            </w:pPr>
            <w:r w:rsidRPr="00955098">
              <w:rPr>
                <w:rFonts w:ascii="Garamond" w:eastAsia="Times New Roman" w:hAnsi="Garamond" w:cs="Calibri"/>
                <w:b/>
                <w:bCs/>
                <w:color w:val="000000"/>
                <w:sz w:val="20"/>
                <w:szCs w:val="20"/>
              </w:rPr>
              <w:t>Equity</w:t>
            </w:r>
          </w:p>
        </w:tc>
        <w:tc>
          <w:tcPr>
            <w:tcW w:w="449" w:type="pct"/>
            <w:tcBorders>
              <w:top w:val="nil"/>
              <w:left w:val="single" w:sz="4" w:space="0" w:color="auto"/>
              <w:bottom w:val="single" w:sz="4" w:space="0" w:color="auto"/>
              <w:right w:val="single" w:sz="4" w:space="0" w:color="auto"/>
            </w:tcBorders>
            <w:shd w:val="clear" w:color="000000" w:fill="B4C6E7"/>
            <w:vAlign w:val="center"/>
            <w:hideMark/>
          </w:tcPr>
          <w:p w:rsidR="002B2DA3" w:rsidRPr="00955098" w:rsidRDefault="002B2DA3" w:rsidP="002B2DA3">
            <w:pPr>
              <w:jc w:val="center"/>
              <w:rPr>
                <w:rFonts w:ascii="Garamond" w:eastAsia="Times New Roman" w:hAnsi="Garamond" w:cs="Calibri"/>
                <w:b/>
                <w:bCs/>
                <w:color w:val="000000"/>
                <w:sz w:val="20"/>
                <w:szCs w:val="20"/>
              </w:rPr>
            </w:pPr>
            <w:r w:rsidRPr="00955098">
              <w:rPr>
                <w:rFonts w:ascii="Garamond" w:eastAsia="Times New Roman" w:hAnsi="Garamond" w:cs="Calibri"/>
                <w:b/>
                <w:bCs/>
                <w:color w:val="000000"/>
                <w:sz w:val="20"/>
                <w:szCs w:val="20"/>
              </w:rPr>
              <w:t>Bond</w:t>
            </w:r>
          </w:p>
        </w:tc>
        <w:tc>
          <w:tcPr>
            <w:tcW w:w="448" w:type="pct"/>
            <w:tcBorders>
              <w:top w:val="nil"/>
              <w:left w:val="nil"/>
              <w:bottom w:val="single" w:sz="4" w:space="0" w:color="auto"/>
              <w:right w:val="single" w:sz="4" w:space="0" w:color="auto"/>
            </w:tcBorders>
            <w:shd w:val="clear" w:color="000000" w:fill="B4C6E7"/>
            <w:vAlign w:val="center"/>
            <w:hideMark/>
          </w:tcPr>
          <w:p w:rsidR="002B2DA3" w:rsidRPr="00955098" w:rsidRDefault="002B2DA3" w:rsidP="002B2DA3">
            <w:pPr>
              <w:jc w:val="center"/>
              <w:rPr>
                <w:rFonts w:ascii="Garamond" w:eastAsia="Times New Roman" w:hAnsi="Garamond" w:cs="Calibri"/>
                <w:b/>
                <w:bCs/>
                <w:color w:val="000000"/>
                <w:sz w:val="20"/>
                <w:szCs w:val="20"/>
              </w:rPr>
            </w:pPr>
            <w:r w:rsidRPr="00955098">
              <w:rPr>
                <w:rFonts w:ascii="Garamond" w:eastAsia="Times New Roman" w:hAnsi="Garamond" w:cs="Calibri"/>
                <w:b/>
                <w:bCs/>
                <w:color w:val="000000"/>
                <w:sz w:val="20"/>
                <w:szCs w:val="20"/>
              </w:rPr>
              <w:t>Total</w:t>
            </w:r>
          </w:p>
        </w:tc>
      </w:tr>
      <w:tr w:rsidR="002B2DA3" w:rsidRPr="00955098" w:rsidTr="002B2DA3">
        <w:trPr>
          <w:trHeight w:val="239"/>
        </w:trPr>
        <w:tc>
          <w:tcPr>
            <w:tcW w:w="187" w:type="pct"/>
            <w:vMerge w:val="restart"/>
            <w:tcBorders>
              <w:top w:val="single" w:sz="4" w:space="0" w:color="auto"/>
              <w:left w:val="single" w:sz="4" w:space="0" w:color="auto"/>
              <w:bottom w:val="single" w:sz="4" w:space="0" w:color="000000"/>
              <w:right w:val="nil"/>
            </w:tcBorders>
            <w:shd w:val="clear" w:color="000000" w:fill="D9E1F2"/>
            <w:textDirection w:val="btLr"/>
            <w:vAlign w:val="center"/>
            <w:hideMark/>
          </w:tcPr>
          <w:p w:rsidR="002B2DA3" w:rsidRPr="00955098" w:rsidRDefault="002B2DA3" w:rsidP="002B2DA3">
            <w:pPr>
              <w:jc w:val="center"/>
              <w:rPr>
                <w:rFonts w:ascii="Garamond" w:eastAsia="Times New Roman" w:hAnsi="Garamond" w:cs="Calibri"/>
                <w:b/>
                <w:bCs/>
                <w:color w:val="000000"/>
                <w:sz w:val="20"/>
                <w:szCs w:val="20"/>
              </w:rPr>
            </w:pPr>
            <w:r w:rsidRPr="00955098">
              <w:rPr>
                <w:rFonts w:ascii="Garamond" w:eastAsia="Times New Roman" w:hAnsi="Garamond" w:cs="Calibri"/>
                <w:b/>
                <w:bCs/>
                <w:color w:val="000000"/>
                <w:sz w:val="20"/>
                <w:szCs w:val="20"/>
              </w:rPr>
              <w:t>Developed Markets</w:t>
            </w:r>
          </w:p>
        </w:tc>
        <w:tc>
          <w:tcPr>
            <w:tcW w:w="730" w:type="pct"/>
            <w:tcBorders>
              <w:top w:val="nil"/>
              <w:left w:val="single" w:sz="4" w:space="0" w:color="auto"/>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USA</w:t>
            </w:r>
          </w:p>
        </w:tc>
        <w:tc>
          <w:tcPr>
            <w:tcW w:w="1389" w:type="pct"/>
            <w:tcBorders>
              <w:top w:val="nil"/>
              <w:left w:val="nil"/>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Nasdaq - US</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907</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NA</w:t>
            </w:r>
          </w:p>
        </w:tc>
        <w:tc>
          <w:tcPr>
            <w:tcW w:w="450"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907</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373</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NA</w:t>
            </w:r>
          </w:p>
        </w:tc>
        <w:tc>
          <w:tcPr>
            <w:tcW w:w="4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373</w:t>
            </w:r>
          </w:p>
        </w:tc>
      </w:tr>
      <w:tr w:rsidR="002B2DA3" w:rsidRPr="00955098" w:rsidTr="002B2DA3">
        <w:trPr>
          <w:trHeight w:val="239"/>
        </w:trPr>
        <w:tc>
          <w:tcPr>
            <w:tcW w:w="187" w:type="pct"/>
            <w:vMerge/>
            <w:tcBorders>
              <w:top w:val="single" w:sz="4" w:space="0" w:color="auto"/>
              <w:left w:val="single" w:sz="4" w:space="0" w:color="auto"/>
              <w:bottom w:val="single" w:sz="4" w:space="0" w:color="000000"/>
              <w:right w:val="nil"/>
            </w:tcBorders>
            <w:vAlign w:val="center"/>
            <w:hideMark/>
          </w:tcPr>
          <w:p w:rsidR="002B2DA3" w:rsidRPr="00955098" w:rsidRDefault="002B2DA3" w:rsidP="002B2DA3">
            <w:pPr>
              <w:rPr>
                <w:rFonts w:ascii="Garamond" w:eastAsia="Times New Roman" w:hAnsi="Garamond" w:cs="Calibri"/>
                <w:b/>
                <w:bCs/>
                <w:color w:val="000000"/>
                <w:sz w:val="20"/>
                <w:szCs w:val="20"/>
              </w:rPr>
            </w:pPr>
          </w:p>
        </w:tc>
        <w:tc>
          <w:tcPr>
            <w:tcW w:w="730" w:type="pct"/>
            <w:tcBorders>
              <w:top w:val="nil"/>
              <w:left w:val="single" w:sz="4" w:space="0" w:color="auto"/>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USA</w:t>
            </w:r>
          </w:p>
        </w:tc>
        <w:tc>
          <w:tcPr>
            <w:tcW w:w="1389" w:type="pct"/>
            <w:tcBorders>
              <w:top w:val="nil"/>
              <w:left w:val="nil"/>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NYSE</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3,080</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NA</w:t>
            </w:r>
          </w:p>
        </w:tc>
        <w:tc>
          <w:tcPr>
            <w:tcW w:w="450"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3,080</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405</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NA</w:t>
            </w:r>
          </w:p>
        </w:tc>
        <w:tc>
          <w:tcPr>
            <w:tcW w:w="4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405</w:t>
            </w:r>
          </w:p>
        </w:tc>
      </w:tr>
      <w:tr w:rsidR="002B2DA3" w:rsidRPr="00955098" w:rsidTr="002B2DA3">
        <w:trPr>
          <w:trHeight w:val="239"/>
        </w:trPr>
        <w:tc>
          <w:tcPr>
            <w:tcW w:w="187" w:type="pct"/>
            <w:vMerge/>
            <w:tcBorders>
              <w:top w:val="single" w:sz="4" w:space="0" w:color="auto"/>
              <w:left w:val="single" w:sz="4" w:space="0" w:color="auto"/>
              <w:bottom w:val="single" w:sz="4" w:space="0" w:color="000000"/>
              <w:right w:val="nil"/>
            </w:tcBorders>
            <w:vAlign w:val="center"/>
            <w:hideMark/>
          </w:tcPr>
          <w:p w:rsidR="002B2DA3" w:rsidRPr="00955098" w:rsidRDefault="002B2DA3" w:rsidP="002B2DA3">
            <w:pPr>
              <w:rPr>
                <w:rFonts w:ascii="Garamond" w:eastAsia="Times New Roman" w:hAnsi="Garamond" w:cs="Calibri"/>
                <w:b/>
                <w:bCs/>
                <w:color w:val="000000"/>
                <w:sz w:val="20"/>
                <w:szCs w:val="20"/>
              </w:rPr>
            </w:pPr>
          </w:p>
        </w:tc>
        <w:tc>
          <w:tcPr>
            <w:tcW w:w="730" w:type="pct"/>
            <w:tcBorders>
              <w:top w:val="nil"/>
              <w:left w:val="single" w:sz="4" w:space="0" w:color="auto"/>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UK</w:t>
            </w:r>
          </w:p>
        </w:tc>
        <w:tc>
          <w:tcPr>
            <w:tcW w:w="1389" w:type="pct"/>
            <w:tcBorders>
              <w:top w:val="nil"/>
              <w:left w:val="nil"/>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LSE Group</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2,167</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33,417</w:t>
            </w:r>
          </w:p>
        </w:tc>
        <w:tc>
          <w:tcPr>
            <w:tcW w:w="450"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35,583</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188</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44,558</w:t>
            </w:r>
          </w:p>
        </w:tc>
        <w:tc>
          <w:tcPr>
            <w:tcW w:w="4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44,746</w:t>
            </w:r>
          </w:p>
        </w:tc>
      </w:tr>
      <w:tr w:rsidR="002B2DA3" w:rsidRPr="00955098" w:rsidTr="002B2DA3">
        <w:trPr>
          <w:trHeight w:val="239"/>
        </w:trPr>
        <w:tc>
          <w:tcPr>
            <w:tcW w:w="187" w:type="pct"/>
            <w:vMerge/>
            <w:tcBorders>
              <w:top w:val="single" w:sz="4" w:space="0" w:color="auto"/>
              <w:left w:val="single" w:sz="4" w:space="0" w:color="auto"/>
              <w:bottom w:val="single" w:sz="4" w:space="0" w:color="000000"/>
              <w:right w:val="nil"/>
            </w:tcBorders>
            <w:vAlign w:val="center"/>
            <w:hideMark/>
          </w:tcPr>
          <w:p w:rsidR="002B2DA3" w:rsidRPr="00955098" w:rsidRDefault="002B2DA3" w:rsidP="002B2DA3">
            <w:pPr>
              <w:rPr>
                <w:rFonts w:ascii="Garamond" w:eastAsia="Times New Roman" w:hAnsi="Garamond" w:cs="Calibri"/>
                <w:b/>
                <w:bCs/>
                <w:color w:val="000000"/>
                <w:sz w:val="20"/>
                <w:szCs w:val="20"/>
              </w:rPr>
            </w:pPr>
          </w:p>
        </w:tc>
        <w:tc>
          <w:tcPr>
            <w:tcW w:w="730" w:type="pct"/>
            <w:tcBorders>
              <w:top w:val="nil"/>
              <w:left w:val="single" w:sz="4" w:space="0" w:color="auto"/>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France</w:t>
            </w:r>
          </w:p>
        </w:tc>
        <w:tc>
          <w:tcPr>
            <w:tcW w:w="1389" w:type="pct"/>
            <w:tcBorders>
              <w:top w:val="nil"/>
              <w:left w:val="nil"/>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Euronext</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13,154</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0</w:t>
            </w:r>
          </w:p>
        </w:tc>
        <w:tc>
          <w:tcPr>
            <w:tcW w:w="450"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13,154</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3,888</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NA</w:t>
            </w:r>
          </w:p>
        </w:tc>
        <w:tc>
          <w:tcPr>
            <w:tcW w:w="4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3,888</w:t>
            </w:r>
          </w:p>
        </w:tc>
      </w:tr>
      <w:tr w:rsidR="002B2DA3" w:rsidRPr="00955098" w:rsidTr="002B2DA3">
        <w:trPr>
          <w:trHeight w:val="239"/>
        </w:trPr>
        <w:tc>
          <w:tcPr>
            <w:tcW w:w="187" w:type="pct"/>
            <w:vMerge/>
            <w:tcBorders>
              <w:top w:val="single" w:sz="4" w:space="0" w:color="auto"/>
              <w:left w:val="single" w:sz="4" w:space="0" w:color="auto"/>
              <w:bottom w:val="single" w:sz="4" w:space="0" w:color="000000"/>
              <w:right w:val="nil"/>
            </w:tcBorders>
            <w:vAlign w:val="center"/>
            <w:hideMark/>
          </w:tcPr>
          <w:p w:rsidR="002B2DA3" w:rsidRPr="00955098" w:rsidRDefault="002B2DA3" w:rsidP="002B2DA3">
            <w:pPr>
              <w:rPr>
                <w:rFonts w:ascii="Garamond" w:eastAsia="Times New Roman" w:hAnsi="Garamond" w:cs="Calibri"/>
                <w:b/>
                <w:bCs/>
                <w:color w:val="000000"/>
                <w:sz w:val="20"/>
                <w:szCs w:val="20"/>
              </w:rPr>
            </w:pPr>
          </w:p>
        </w:tc>
        <w:tc>
          <w:tcPr>
            <w:tcW w:w="730" w:type="pct"/>
            <w:tcBorders>
              <w:top w:val="nil"/>
              <w:left w:val="single" w:sz="4" w:space="0" w:color="auto"/>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Germany</w:t>
            </w:r>
          </w:p>
        </w:tc>
        <w:tc>
          <w:tcPr>
            <w:tcW w:w="1389" w:type="pct"/>
            <w:tcBorders>
              <w:top w:val="nil"/>
              <w:left w:val="nil"/>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Deutsche Boerse AG</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52</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0</w:t>
            </w:r>
          </w:p>
        </w:tc>
        <w:tc>
          <w:tcPr>
            <w:tcW w:w="450"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52</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0</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51</w:t>
            </w:r>
          </w:p>
        </w:tc>
        <w:tc>
          <w:tcPr>
            <w:tcW w:w="4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51</w:t>
            </w:r>
          </w:p>
        </w:tc>
      </w:tr>
      <w:tr w:rsidR="002B2DA3" w:rsidRPr="00955098" w:rsidTr="002B2DA3">
        <w:trPr>
          <w:trHeight w:val="239"/>
        </w:trPr>
        <w:tc>
          <w:tcPr>
            <w:tcW w:w="187" w:type="pct"/>
            <w:vMerge/>
            <w:tcBorders>
              <w:top w:val="single" w:sz="4" w:space="0" w:color="auto"/>
              <w:left w:val="single" w:sz="4" w:space="0" w:color="auto"/>
              <w:bottom w:val="single" w:sz="4" w:space="0" w:color="000000"/>
              <w:right w:val="nil"/>
            </w:tcBorders>
            <w:vAlign w:val="center"/>
            <w:hideMark/>
          </w:tcPr>
          <w:p w:rsidR="002B2DA3" w:rsidRPr="00955098" w:rsidRDefault="002B2DA3" w:rsidP="002B2DA3">
            <w:pPr>
              <w:rPr>
                <w:rFonts w:ascii="Garamond" w:eastAsia="Times New Roman" w:hAnsi="Garamond" w:cs="Calibri"/>
                <w:b/>
                <w:bCs/>
                <w:color w:val="000000"/>
                <w:sz w:val="20"/>
                <w:szCs w:val="20"/>
              </w:rPr>
            </w:pPr>
          </w:p>
        </w:tc>
        <w:tc>
          <w:tcPr>
            <w:tcW w:w="730" w:type="pct"/>
            <w:tcBorders>
              <w:top w:val="nil"/>
              <w:left w:val="single" w:sz="4" w:space="0" w:color="auto"/>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Spain</w:t>
            </w:r>
          </w:p>
        </w:tc>
        <w:tc>
          <w:tcPr>
            <w:tcW w:w="1389" w:type="pct"/>
            <w:tcBorders>
              <w:top w:val="nil"/>
              <w:left w:val="nil"/>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BME Spanish Exchanges</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657</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29,074</w:t>
            </w:r>
          </w:p>
        </w:tc>
        <w:tc>
          <w:tcPr>
            <w:tcW w:w="450"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29,731</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785</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72,195</w:t>
            </w:r>
          </w:p>
        </w:tc>
        <w:tc>
          <w:tcPr>
            <w:tcW w:w="4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72,980</w:t>
            </w:r>
          </w:p>
        </w:tc>
      </w:tr>
      <w:tr w:rsidR="002B2DA3" w:rsidRPr="00955098" w:rsidTr="002B2DA3">
        <w:trPr>
          <w:trHeight w:val="239"/>
        </w:trPr>
        <w:tc>
          <w:tcPr>
            <w:tcW w:w="187" w:type="pct"/>
            <w:vMerge/>
            <w:tcBorders>
              <w:top w:val="single" w:sz="4" w:space="0" w:color="auto"/>
              <w:left w:val="single" w:sz="4" w:space="0" w:color="auto"/>
              <w:bottom w:val="single" w:sz="4" w:space="0" w:color="000000"/>
              <w:right w:val="nil"/>
            </w:tcBorders>
            <w:vAlign w:val="center"/>
            <w:hideMark/>
          </w:tcPr>
          <w:p w:rsidR="002B2DA3" w:rsidRPr="00955098" w:rsidRDefault="002B2DA3" w:rsidP="002B2DA3">
            <w:pPr>
              <w:rPr>
                <w:rFonts w:ascii="Garamond" w:eastAsia="Times New Roman" w:hAnsi="Garamond" w:cs="Calibri"/>
                <w:b/>
                <w:bCs/>
                <w:color w:val="000000"/>
                <w:sz w:val="20"/>
                <w:szCs w:val="20"/>
              </w:rPr>
            </w:pPr>
          </w:p>
        </w:tc>
        <w:tc>
          <w:tcPr>
            <w:tcW w:w="730" w:type="pct"/>
            <w:tcBorders>
              <w:top w:val="nil"/>
              <w:left w:val="single" w:sz="4" w:space="0" w:color="auto"/>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Japan</w:t>
            </w:r>
          </w:p>
        </w:tc>
        <w:tc>
          <w:tcPr>
            <w:tcW w:w="1389" w:type="pct"/>
            <w:tcBorders>
              <w:top w:val="nil"/>
              <w:left w:val="nil"/>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Japan Exchange Group Inc.</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0</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NA</w:t>
            </w:r>
          </w:p>
        </w:tc>
        <w:tc>
          <w:tcPr>
            <w:tcW w:w="450"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0</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0</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NA</w:t>
            </w:r>
          </w:p>
        </w:tc>
        <w:tc>
          <w:tcPr>
            <w:tcW w:w="4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0</w:t>
            </w:r>
          </w:p>
        </w:tc>
      </w:tr>
      <w:tr w:rsidR="002B2DA3" w:rsidRPr="00955098" w:rsidTr="002B2DA3">
        <w:trPr>
          <w:trHeight w:val="239"/>
        </w:trPr>
        <w:tc>
          <w:tcPr>
            <w:tcW w:w="187" w:type="pct"/>
            <w:vMerge/>
            <w:tcBorders>
              <w:top w:val="single" w:sz="4" w:space="0" w:color="auto"/>
              <w:left w:val="single" w:sz="4" w:space="0" w:color="auto"/>
              <w:bottom w:val="single" w:sz="4" w:space="0" w:color="000000"/>
              <w:right w:val="nil"/>
            </w:tcBorders>
            <w:vAlign w:val="center"/>
            <w:hideMark/>
          </w:tcPr>
          <w:p w:rsidR="002B2DA3" w:rsidRPr="00955098" w:rsidRDefault="002B2DA3" w:rsidP="002B2DA3">
            <w:pPr>
              <w:rPr>
                <w:rFonts w:ascii="Garamond" w:eastAsia="Times New Roman" w:hAnsi="Garamond" w:cs="Calibri"/>
                <w:b/>
                <w:bCs/>
                <w:color w:val="000000"/>
                <w:sz w:val="20"/>
                <w:szCs w:val="20"/>
              </w:rPr>
            </w:pPr>
          </w:p>
        </w:tc>
        <w:tc>
          <w:tcPr>
            <w:tcW w:w="730" w:type="pct"/>
            <w:tcBorders>
              <w:top w:val="nil"/>
              <w:left w:val="single" w:sz="4" w:space="0" w:color="auto"/>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Singapore</w:t>
            </w:r>
          </w:p>
        </w:tc>
        <w:tc>
          <w:tcPr>
            <w:tcW w:w="1389" w:type="pct"/>
            <w:tcBorders>
              <w:top w:val="nil"/>
              <w:left w:val="nil"/>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Singapore Exchange</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291</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10,414</w:t>
            </w:r>
          </w:p>
        </w:tc>
        <w:tc>
          <w:tcPr>
            <w:tcW w:w="450"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10,705</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10</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18,937</w:t>
            </w:r>
          </w:p>
        </w:tc>
        <w:tc>
          <w:tcPr>
            <w:tcW w:w="4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18,947</w:t>
            </w:r>
          </w:p>
        </w:tc>
      </w:tr>
      <w:tr w:rsidR="002B2DA3" w:rsidRPr="00955098" w:rsidTr="002B2DA3">
        <w:trPr>
          <w:trHeight w:val="239"/>
        </w:trPr>
        <w:tc>
          <w:tcPr>
            <w:tcW w:w="187" w:type="pct"/>
            <w:vMerge/>
            <w:tcBorders>
              <w:top w:val="single" w:sz="4" w:space="0" w:color="auto"/>
              <w:left w:val="single" w:sz="4" w:space="0" w:color="auto"/>
              <w:bottom w:val="single" w:sz="4" w:space="0" w:color="000000"/>
              <w:right w:val="nil"/>
            </w:tcBorders>
            <w:vAlign w:val="center"/>
            <w:hideMark/>
          </w:tcPr>
          <w:p w:rsidR="002B2DA3" w:rsidRPr="00955098" w:rsidRDefault="002B2DA3" w:rsidP="002B2DA3">
            <w:pPr>
              <w:rPr>
                <w:rFonts w:ascii="Garamond" w:eastAsia="Times New Roman" w:hAnsi="Garamond" w:cs="Calibri"/>
                <w:b/>
                <w:bCs/>
                <w:color w:val="000000"/>
                <w:sz w:val="20"/>
                <w:szCs w:val="20"/>
              </w:rPr>
            </w:pPr>
          </w:p>
        </w:tc>
        <w:tc>
          <w:tcPr>
            <w:tcW w:w="730" w:type="pct"/>
            <w:tcBorders>
              <w:top w:val="nil"/>
              <w:left w:val="single" w:sz="4" w:space="0" w:color="auto"/>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Australia</w:t>
            </w:r>
          </w:p>
        </w:tc>
        <w:tc>
          <w:tcPr>
            <w:tcW w:w="1389" w:type="pct"/>
            <w:tcBorders>
              <w:top w:val="nil"/>
              <w:left w:val="nil"/>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Australian Securities Exchange</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3,586</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NA</w:t>
            </w:r>
          </w:p>
        </w:tc>
        <w:tc>
          <w:tcPr>
            <w:tcW w:w="450"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3,586</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23</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NA</w:t>
            </w:r>
          </w:p>
        </w:tc>
        <w:tc>
          <w:tcPr>
            <w:tcW w:w="4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23</w:t>
            </w:r>
          </w:p>
        </w:tc>
      </w:tr>
      <w:tr w:rsidR="002B2DA3" w:rsidRPr="00955098" w:rsidTr="002B2DA3">
        <w:trPr>
          <w:trHeight w:val="239"/>
        </w:trPr>
        <w:tc>
          <w:tcPr>
            <w:tcW w:w="187" w:type="pct"/>
            <w:vMerge/>
            <w:tcBorders>
              <w:top w:val="single" w:sz="4" w:space="0" w:color="auto"/>
              <w:left w:val="single" w:sz="4" w:space="0" w:color="auto"/>
              <w:bottom w:val="single" w:sz="4" w:space="0" w:color="000000"/>
              <w:right w:val="nil"/>
            </w:tcBorders>
            <w:vAlign w:val="center"/>
            <w:hideMark/>
          </w:tcPr>
          <w:p w:rsidR="002B2DA3" w:rsidRPr="00955098" w:rsidRDefault="002B2DA3" w:rsidP="002B2DA3">
            <w:pPr>
              <w:rPr>
                <w:rFonts w:ascii="Garamond" w:eastAsia="Times New Roman" w:hAnsi="Garamond" w:cs="Calibri"/>
                <w:b/>
                <w:bCs/>
                <w:color w:val="000000"/>
                <w:sz w:val="20"/>
                <w:szCs w:val="20"/>
              </w:rPr>
            </w:pPr>
          </w:p>
        </w:tc>
        <w:tc>
          <w:tcPr>
            <w:tcW w:w="730" w:type="pct"/>
            <w:tcBorders>
              <w:top w:val="nil"/>
              <w:left w:val="single" w:sz="4" w:space="0" w:color="auto"/>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Hong Kong</w:t>
            </w:r>
          </w:p>
        </w:tc>
        <w:tc>
          <w:tcPr>
            <w:tcW w:w="1389" w:type="pct"/>
            <w:tcBorders>
              <w:top w:val="nil"/>
              <w:left w:val="nil"/>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Hong Kong Exchanges and Clearing</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4,773</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13,296</w:t>
            </w:r>
          </w:p>
        </w:tc>
        <w:tc>
          <w:tcPr>
            <w:tcW w:w="450"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18,069</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1,549</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9,074</w:t>
            </w:r>
          </w:p>
        </w:tc>
        <w:tc>
          <w:tcPr>
            <w:tcW w:w="4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10,623</w:t>
            </w:r>
          </w:p>
        </w:tc>
      </w:tr>
      <w:tr w:rsidR="002B2DA3" w:rsidRPr="00955098" w:rsidTr="002B2DA3">
        <w:trPr>
          <w:trHeight w:val="239"/>
        </w:trPr>
        <w:tc>
          <w:tcPr>
            <w:tcW w:w="187" w:type="pct"/>
            <w:vMerge/>
            <w:tcBorders>
              <w:top w:val="single" w:sz="4" w:space="0" w:color="auto"/>
              <w:left w:val="single" w:sz="4" w:space="0" w:color="auto"/>
              <w:bottom w:val="single" w:sz="4" w:space="0" w:color="000000"/>
              <w:right w:val="nil"/>
            </w:tcBorders>
            <w:vAlign w:val="center"/>
            <w:hideMark/>
          </w:tcPr>
          <w:p w:rsidR="002B2DA3" w:rsidRPr="00955098" w:rsidRDefault="002B2DA3" w:rsidP="002B2DA3">
            <w:pPr>
              <w:rPr>
                <w:rFonts w:ascii="Garamond" w:eastAsia="Times New Roman" w:hAnsi="Garamond" w:cs="Calibri"/>
                <w:b/>
                <w:bCs/>
                <w:color w:val="000000"/>
                <w:sz w:val="20"/>
                <w:szCs w:val="20"/>
              </w:rPr>
            </w:pPr>
          </w:p>
        </w:tc>
        <w:tc>
          <w:tcPr>
            <w:tcW w:w="730" w:type="pct"/>
            <w:tcBorders>
              <w:top w:val="nil"/>
              <w:left w:val="single" w:sz="4" w:space="0" w:color="auto"/>
              <w:bottom w:val="single" w:sz="4" w:space="0" w:color="auto"/>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Korea</w:t>
            </w:r>
          </w:p>
        </w:tc>
        <w:tc>
          <w:tcPr>
            <w:tcW w:w="1389" w:type="pct"/>
            <w:tcBorders>
              <w:top w:val="nil"/>
              <w:left w:val="nil"/>
              <w:bottom w:val="single" w:sz="4" w:space="0" w:color="auto"/>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Korea Exchange</w:t>
            </w:r>
          </w:p>
        </w:tc>
        <w:tc>
          <w:tcPr>
            <w:tcW w:w="449" w:type="pct"/>
            <w:tcBorders>
              <w:top w:val="nil"/>
              <w:left w:val="nil"/>
              <w:bottom w:val="single" w:sz="4" w:space="0" w:color="auto"/>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399</w:t>
            </w:r>
          </w:p>
        </w:tc>
        <w:tc>
          <w:tcPr>
            <w:tcW w:w="449" w:type="pct"/>
            <w:tcBorders>
              <w:top w:val="nil"/>
              <w:left w:val="nil"/>
              <w:bottom w:val="single" w:sz="4" w:space="0" w:color="auto"/>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Pr>
                <w:rFonts w:ascii="Garamond" w:eastAsia="Times New Roman" w:hAnsi="Garamond" w:cs="Calibri"/>
                <w:color w:val="000000"/>
                <w:sz w:val="20"/>
                <w:szCs w:val="20"/>
              </w:rPr>
              <w:t>0</w:t>
            </w:r>
          </w:p>
        </w:tc>
        <w:tc>
          <w:tcPr>
            <w:tcW w:w="450" w:type="pct"/>
            <w:tcBorders>
              <w:top w:val="nil"/>
              <w:left w:val="single" w:sz="4" w:space="0" w:color="auto"/>
              <w:bottom w:val="single" w:sz="4" w:space="0" w:color="auto"/>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399</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41</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40,392</w:t>
            </w:r>
          </w:p>
        </w:tc>
        <w:tc>
          <w:tcPr>
            <w:tcW w:w="448" w:type="pct"/>
            <w:tcBorders>
              <w:top w:val="nil"/>
              <w:left w:val="single" w:sz="4" w:space="0" w:color="auto"/>
              <w:bottom w:val="single" w:sz="4" w:space="0" w:color="auto"/>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40,433</w:t>
            </w:r>
          </w:p>
        </w:tc>
      </w:tr>
      <w:tr w:rsidR="002B2DA3" w:rsidRPr="00955098" w:rsidTr="002B2DA3">
        <w:trPr>
          <w:trHeight w:val="239"/>
        </w:trPr>
        <w:tc>
          <w:tcPr>
            <w:tcW w:w="187" w:type="pct"/>
            <w:vMerge w:val="restart"/>
            <w:tcBorders>
              <w:top w:val="nil"/>
              <w:left w:val="single" w:sz="4" w:space="0" w:color="auto"/>
              <w:bottom w:val="single" w:sz="4" w:space="0" w:color="000000"/>
              <w:right w:val="nil"/>
            </w:tcBorders>
            <w:shd w:val="clear" w:color="000000" w:fill="D9E1F2"/>
            <w:textDirection w:val="btLr"/>
            <w:vAlign w:val="center"/>
            <w:hideMark/>
          </w:tcPr>
          <w:p w:rsidR="002B2DA3" w:rsidRPr="00955098" w:rsidRDefault="002B2DA3" w:rsidP="002B2DA3">
            <w:pPr>
              <w:jc w:val="center"/>
              <w:rPr>
                <w:rFonts w:ascii="Garamond" w:eastAsia="Times New Roman" w:hAnsi="Garamond" w:cs="Calibri"/>
                <w:b/>
                <w:bCs/>
                <w:color w:val="000000"/>
                <w:sz w:val="20"/>
                <w:szCs w:val="20"/>
              </w:rPr>
            </w:pPr>
            <w:r w:rsidRPr="00955098">
              <w:rPr>
                <w:rFonts w:ascii="Garamond" w:eastAsia="Times New Roman" w:hAnsi="Garamond" w:cs="Calibri"/>
                <w:b/>
                <w:bCs/>
                <w:color w:val="000000"/>
                <w:sz w:val="20"/>
                <w:szCs w:val="20"/>
              </w:rPr>
              <w:t>BRICS</w:t>
            </w:r>
          </w:p>
        </w:tc>
        <w:tc>
          <w:tcPr>
            <w:tcW w:w="730" w:type="pct"/>
            <w:tcBorders>
              <w:top w:val="nil"/>
              <w:left w:val="single" w:sz="4" w:space="0" w:color="auto"/>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Brazil</w:t>
            </w:r>
          </w:p>
        </w:tc>
        <w:tc>
          <w:tcPr>
            <w:tcW w:w="1389" w:type="pct"/>
            <w:tcBorders>
              <w:top w:val="nil"/>
              <w:left w:val="nil"/>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BM&amp;FBOVESPA S.A.</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602</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0</w:t>
            </w:r>
          </w:p>
        </w:tc>
        <w:tc>
          <w:tcPr>
            <w:tcW w:w="450"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602</w:t>
            </w:r>
          </w:p>
        </w:tc>
        <w:tc>
          <w:tcPr>
            <w:tcW w:w="449" w:type="pct"/>
            <w:tcBorders>
              <w:top w:val="single" w:sz="4" w:space="0" w:color="auto"/>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0</w:t>
            </w:r>
          </w:p>
        </w:tc>
        <w:tc>
          <w:tcPr>
            <w:tcW w:w="449" w:type="pct"/>
            <w:tcBorders>
              <w:top w:val="single" w:sz="4" w:space="0" w:color="auto"/>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66</w:t>
            </w:r>
          </w:p>
        </w:tc>
        <w:tc>
          <w:tcPr>
            <w:tcW w:w="4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66</w:t>
            </w:r>
          </w:p>
        </w:tc>
      </w:tr>
      <w:tr w:rsidR="002B2DA3" w:rsidRPr="00955098" w:rsidTr="002B2DA3">
        <w:trPr>
          <w:trHeight w:val="239"/>
        </w:trPr>
        <w:tc>
          <w:tcPr>
            <w:tcW w:w="187" w:type="pct"/>
            <w:vMerge/>
            <w:tcBorders>
              <w:top w:val="nil"/>
              <w:left w:val="single" w:sz="4" w:space="0" w:color="auto"/>
              <w:bottom w:val="single" w:sz="4" w:space="0" w:color="000000"/>
              <w:right w:val="nil"/>
            </w:tcBorders>
            <w:vAlign w:val="center"/>
            <w:hideMark/>
          </w:tcPr>
          <w:p w:rsidR="002B2DA3" w:rsidRPr="00955098" w:rsidRDefault="002B2DA3" w:rsidP="002B2DA3">
            <w:pPr>
              <w:rPr>
                <w:rFonts w:ascii="Garamond" w:eastAsia="Times New Roman" w:hAnsi="Garamond" w:cs="Calibri"/>
                <w:b/>
                <w:bCs/>
                <w:color w:val="000000"/>
                <w:sz w:val="20"/>
                <w:szCs w:val="20"/>
              </w:rPr>
            </w:pPr>
          </w:p>
        </w:tc>
        <w:tc>
          <w:tcPr>
            <w:tcW w:w="730" w:type="pct"/>
            <w:tcBorders>
              <w:top w:val="nil"/>
              <w:left w:val="single" w:sz="4" w:space="0" w:color="auto"/>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Russia</w:t>
            </w:r>
          </w:p>
        </w:tc>
        <w:tc>
          <w:tcPr>
            <w:tcW w:w="1389" w:type="pct"/>
            <w:tcBorders>
              <w:top w:val="nil"/>
              <w:left w:val="nil"/>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Moscow Exchange</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NA</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19,370</w:t>
            </w:r>
          </w:p>
        </w:tc>
        <w:tc>
          <w:tcPr>
            <w:tcW w:w="450"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19,370</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NA</w:t>
            </w:r>
          </w:p>
        </w:tc>
        <w:tc>
          <w:tcPr>
            <w:tcW w:w="449" w:type="pct"/>
            <w:tcBorders>
              <w:top w:val="nil"/>
              <w:left w:val="single" w:sz="4" w:space="0" w:color="auto"/>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17,142</w:t>
            </w:r>
          </w:p>
        </w:tc>
        <w:tc>
          <w:tcPr>
            <w:tcW w:w="4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17,142</w:t>
            </w:r>
          </w:p>
        </w:tc>
      </w:tr>
      <w:tr w:rsidR="002B2DA3" w:rsidRPr="00955098" w:rsidTr="002B2DA3">
        <w:trPr>
          <w:trHeight w:val="239"/>
        </w:trPr>
        <w:tc>
          <w:tcPr>
            <w:tcW w:w="187" w:type="pct"/>
            <w:vMerge/>
            <w:tcBorders>
              <w:top w:val="nil"/>
              <w:left w:val="single" w:sz="4" w:space="0" w:color="auto"/>
              <w:bottom w:val="single" w:sz="4" w:space="0" w:color="000000"/>
              <w:right w:val="nil"/>
            </w:tcBorders>
            <w:vAlign w:val="center"/>
            <w:hideMark/>
          </w:tcPr>
          <w:p w:rsidR="002B2DA3" w:rsidRPr="00955098" w:rsidRDefault="002B2DA3" w:rsidP="002B2DA3">
            <w:pPr>
              <w:rPr>
                <w:rFonts w:ascii="Garamond" w:eastAsia="Times New Roman" w:hAnsi="Garamond" w:cs="Calibri"/>
                <w:b/>
                <w:bCs/>
                <w:color w:val="000000"/>
                <w:sz w:val="20"/>
                <w:szCs w:val="20"/>
              </w:rPr>
            </w:pPr>
          </w:p>
        </w:tc>
        <w:tc>
          <w:tcPr>
            <w:tcW w:w="730" w:type="pct"/>
            <w:tcBorders>
              <w:top w:val="nil"/>
              <w:left w:val="single" w:sz="4" w:space="0" w:color="auto"/>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India</w:t>
            </w:r>
          </w:p>
        </w:tc>
        <w:tc>
          <w:tcPr>
            <w:tcW w:w="1389" w:type="pct"/>
            <w:tcBorders>
              <w:top w:val="nil"/>
              <w:left w:val="nil"/>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BSE India Limited</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311</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834</w:t>
            </w:r>
          </w:p>
        </w:tc>
        <w:tc>
          <w:tcPr>
            <w:tcW w:w="450"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1,146</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7</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924</w:t>
            </w:r>
          </w:p>
        </w:tc>
        <w:tc>
          <w:tcPr>
            <w:tcW w:w="4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931</w:t>
            </w:r>
          </w:p>
        </w:tc>
      </w:tr>
      <w:tr w:rsidR="002B2DA3" w:rsidRPr="00955098" w:rsidTr="002B2DA3">
        <w:trPr>
          <w:trHeight w:val="239"/>
        </w:trPr>
        <w:tc>
          <w:tcPr>
            <w:tcW w:w="187" w:type="pct"/>
            <w:vMerge/>
            <w:tcBorders>
              <w:top w:val="nil"/>
              <w:left w:val="single" w:sz="4" w:space="0" w:color="auto"/>
              <w:bottom w:val="single" w:sz="4" w:space="0" w:color="000000"/>
              <w:right w:val="nil"/>
            </w:tcBorders>
            <w:vAlign w:val="center"/>
            <w:hideMark/>
          </w:tcPr>
          <w:p w:rsidR="002B2DA3" w:rsidRPr="00955098" w:rsidRDefault="002B2DA3" w:rsidP="002B2DA3">
            <w:pPr>
              <w:rPr>
                <w:rFonts w:ascii="Garamond" w:eastAsia="Times New Roman" w:hAnsi="Garamond" w:cs="Calibri"/>
                <w:b/>
                <w:bCs/>
                <w:color w:val="000000"/>
                <w:sz w:val="20"/>
                <w:szCs w:val="20"/>
              </w:rPr>
            </w:pPr>
          </w:p>
        </w:tc>
        <w:tc>
          <w:tcPr>
            <w:tcW w:w="730" w:type="pct"/>
            <w:tcBorders>
              <w:top w:val="nil"/>
              <w:left w:val="single" w:sz="4" w:space="0" w:color="auto"/>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India</w:t>
            </w:r>
          </w:p>
        </w:tc>
        <w:tc>
          <w:tcPr>
            <w:tcW w:w="1389" w:type="pct"/>
            <w:tcBorders>
              <w:top w:val="nil"/>
              <w:left w:val="nil"/>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National Stock Exchange of India Limited</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548</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27,746</w:t>
            </w:r>
          </w:p>
        </w:tc>
        <w:tc>
          <w:tcPr>
            <w:tcW w:w="450"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28,295</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287</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27,613</w:t>
            </w:r>
          </w:p>
        </w:tc>
        <w:tc>
          <w:tcPr>
            <w:tcW w:w="4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27,901</w:t>
            </w:r>
          </w:p>
        </w:tc>
      </w:tr>
      <w:tr w:rsidR="002B2DA3" w:rsidRPr="00955098" w:rsidTr="002B2DA3">
        <w:trPr>
          <w:trHeight w:val="239"/>
        </w:trPr>
        <w:tc>
          <w:tcPr>
            <w:tcW w:w="187" w:type="pct"/>
            <w:vMerge/>
            <w:tcBorders>
              <w:top w:val="nil"/>
              <w:left w:val="single" w:sz="4" w:space="0" w:color="auto"/>
              <w:bottom w:val="single" w:sz="4" w:space="0" w:color="000000"/>
              <w:right w:val="nil"/>
            </w:tcBorders>
            <w:vAlign w:val="center"/>
            <w:hideMark/>
          </w:tcPr>
          <w:p w:rsidR="002B2DA3" w:rsidRPr="00955098" w:rsidRDefault="002B2DA3" w:rsidP="002B2DA3">
            <w:pPr>
              <w:rPr>
                <w:rFonts w:ascii="Garamond" w:eastAsia="Times New Roman" w:hAnsi="Garamond" w:cs="Calibri"/>
                <w:b/>
                <w:bCs/>
                <w:color w:val="000000"/>
                <w:sz w:val="20"/>
                <w:szCs w:val="20"/>
              </w:rPr>
            </w:pPr>
          </w:p>
        </w:tc>
        <w:tc>
          <w:tcPr>
            <w:tcW w:w="730" w:type="pct"/>
            <w:tcBorders>
              <w:top w:val="nil"/>
              <w:left w:val="single" w:sz="4" w:space="0" w:color="auto"/>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China</w:t>
            </w:r>
          </w:p>
        </w:tc>
        <w:tc>
          <w:tcPr>
            <w:tcW w:w="1389" w:type="pct"/>
            <w:tcBorders>
              <w:top w:val="nil"/>
              <w:left w:val="nil"/>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Shanghai Stock Exchange</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2,413</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NA</w:t>
            </w:r>
          </w:p>
        </w:tc>
        <w:tc>
          <w:tcPr>
            <w:tcW w:w="450"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2,413</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9,193</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NA</w:t>
            </w:r>
          </w:p>
        </w:tc>
        <w:tc>
          <w:tcPr>
            <w:tcW w:w="4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9,193</w:t>
            </w:r>
          </w:p>
        </w:tc>
      </w:tr>
      <w:tr w:rsidR="002B2DA3" w:rsidRPr="00955098" w:rsidTr="002B2DA3">
        <w:trPr>
          <w:trHeight w:val="239"/>
        </w:trPr>
        <w:tc>
          <w:tcPr>
            <w:tcW w:w="187" w:type="pct"/>
            <w:vMerge/>
            <w:tcBorders>
              <w:top w:val="nil"/>
              <w:left w:val="single" w:sz="4" w:space="0" w:color="auto"/>
              <w:bottom w:val="single" w:sz="4" w:space="0" w:color="000000"/>
              <w:right w:val="nil"/>
            </w:tcBorders>
            <w:vAlign w:val="center"/>
            <w:hideMark/>
          </w:tcPr>
          <w:p w:rsidR="002B2DA3" w:rsidRPr="00955098" w:rsidRDefault="002B2DA3" w:rsidP="002B2DA3">
            <w:pPr>
              <w:rPr>
                <w:rFonts w:ascii="Garamond" w:eastAsia="Times New Roman" w:hAnsi="Garamond" w:cs="Calibri"/>
                <w:b/>
                <w:bCs/>
                <w:color w:val="000000"/>
                <w:sz w:val="20"/>
                <w:szCs w:val="20"/>
              </w:rPr>
            </w:pPr>
          </w:p>
        </w:tc>
        <w:tc>
          <w:tcPr>
            <w:tcW w:w="730" w:type="pct"/>
            <w:tcBorders>
              <w:top w:val="nil"/>
              <w:left w:val="single" w:sz="4" w:space="0" w:color="auto"/>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China</w:t>
            </w:r>
          </w:p>
        </w:tc>
        <w:tc>
          <w:tcPr>
            <w:tcW w:w="1389" w:type="pct"/>
            <w:tcBorders>
              <w:top w:val="nil"/>
              <w:left w:val="nil"/>
              <w:bottom w:val="nil"/>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Shenzhen Stock Exchange</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7,218</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4,828</w:t>
            </w:r>
          </w:p>
        </w:tc>
        <w:tc>
          <w:tcPr>
            <w:tcW w:w="450"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12,046</w:t>
            </w:r>
          </w:p>
        </w:tc>
        <w:tc>
          <w:tcPr>
            <w:tcW w:w="44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9,860</w:t>
            </w:r>
          </w:p>
        </w:tc>
        <w:tc>
          <w:tcPr>
            <w:tcW w:w="44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3,566</w:t>
            </w:r>
          </w:p>
        </w:tc>
        <w:tc>
          <w:tcPr>
            <w:tcW w:w="4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13,426</w:t>
            </w:r>
          </w:p>
        </w:tc>
      </w:tr>
      <w:tr w:rsidR="002B2DA3" w:rsidRPr="00955098" w:rsidTr="002B2DA3">
        <w:trPr>
          <w:trHeight w:val="81"/>
        </w:trPr>
        <w:tc>
          <w:tcPr>
            <w:tcW w:w="187" w:type="pct"/>
            <w:vMerge/>
            <w:tcBorders>
              <w:top w:val="nil"/>
              <w:left w:val="single" w:sz="4" w:space="0" w:color="auto"/>
              <w:bottom w:val="single" w:sz="4" w:space="0" w:color="000000"/>
              <w:right w:val="nil"/>
            </w:tcBorders>
            <w:vAlign w:val="center"/>
            <w:hideMark/>
          </w:tcPr>
          <w:p w:rsidR="002B2DA3" w:rsidRPr="00955098" w:rsidRDefault="002B2DA3" w:rsidP="002B2DA3">
            <w:pPr>
              <w:rPr>
                <w:rFonts w:ascii="Garamond" w:eastAsia="Times New Roman" w:hAnsi="Garamond" w:cs="Calibri"/>
                <w:b/>
                <w:bCs/>
                <w:color w:val="000000"/>
                <w:sz w:val="20"/>
                <w:szCs w:val="20"/>
              </w:rPr>
            </w:pPr>
          </w:p>
        </w:tc>
        <w:tc>
          <w:tcPr>
            <w:tcW w:w="730" w:type="pct"/>
            <w:tcBorders>
              <w:top w:val="nil"/>
              <w:left w:val="single" w:sz="4" w:space="0" w:color="auto"/>
              <w:bottom w:val="single" w:sz="4" w:space="0" w:color="auto"/>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South Africa</w:t>
            </w:r>
          </w:p>
        </w:tc>
        <w:tc>
          <w:tcPr>
            <w:tcW w:w="1389" w:type="pct"/>
            <w:tcBorders>
              <w:top w:val="nil"/>
              <w:left w:val="nil"/>
              <w:bottom w:val="single" w:sz="4" w:space="0" w:color="auto"/>
              <w:right w:val="single" w:sz="4" w:space="0" w:color="auto"/>
            </w:tcBorders>
            <w:shd w:val="clear" w:color="000000" w:fill="D9E1F2"/>
            <w:vAlign w:val="center"/>
            <w:hideMark/>
          </w:tcPr>
          <w:p w:rsidR="002B2DA3" w:rsidRPr="00955098" w:rsidRDefault="002B2DA3" w:rsidP="002B2DA3">
            <w:pPr>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Johannesburg Stock Exchange</w:t>
            </w:r>
          </w:p>
        </w:tc>
        <w:tc>
          <w:tcPr>
            <w:tcW w:w="449" w:type="pct"/>
            <w:tcBorders>
              <w:top w:val="nil"/>
              <w:left w:val="nil"/>
              <w:bottom w:val="single" w:sz="4" w:space="0" w:color="auto"/>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103</w:t>
            </w:r>
          </w:p>
        </w:tc>
        <w:tc>
          <w:tcPr>
            <w:tcW w:w="449" w:type="pct"/>
            <w:tcBorders>
              <w:top w:val="nil"/>
              <w:left w:val="nil"/>
              <w:bottom w:val="single" w:sz="4" w:space="0" w:color="auto"/>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3,491</w:t>
            </w:r>
          </w:p>
        </w:tc>
        <w:tc>
          <w:tcPr>
            <w:tcW w:w="450" w:type="pct"/>
            <w:tcBorders>
              <w:top w:val="nil"/>
              <w:left w:val="single" w:sz="4" w:space="0" w:color="auto"/>
              <w:bottom w:val="single" w:sz="4" w:space="0" w:color="auto"/>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3,595</w:t>
            </w:r>
          </w:p>
        </w:tc>
        <w:tc>
          <w:tcPr>
            <w:tcW w:w="449" w:type="pct"/>
            <w:tcBorders>
              <w:top w:val="nil"/>
              <w:left w:val="nil"/>
              <w:bottom w:val="single" w:sz="4" w:space="0" w:color="auto"/>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26</w:t>
            </w:r>
          </w:p>
        </w:tc>
        <w:tc>
          <w:tcPr>
            <w:tcW w:w="449" w:type="pct"/>
            <w:tcBorders>
              <w:top w:val="nil"/>
              <w:left w:val="nil"/>
              <w:bottom w:val="single" w:sz="4" w:space="0" w:color="auto"/>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1,737</w:t>
            </w:r>
          </w:p>
        </w:tc>
        <w:tc>
          <w:tcPr>
            <w:tcW w:w="448" w:type="pct"/>
            <w:tcBorders>
              <w:top w:val="nil"/>
              <w:left w:val="single" w:sz="4" w:space="0" w:color="auto"/>
              <w:bottom w:val="single" w:sz="4" w:space="0" w:color="auto"/>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20"/>
                <w:szCs w:val="20"/>
              </w:rPr>
            </w:pPr>
            <w:r w:rsidRPr="00955098">
              <w:rPr>
                <w:rFonts w:ascii="Garamond" w:eastAsia="Times New Roman" w:hAnsi="Garamond" w:cs="Calibri"/>
                <w:color w:val="000000"/>
                <w:sz w:val="20"/>
                <w:szCs w:val="20"/>
              </w:rPr>
              <w:t>1,763</w:t>
            </w:r>
          </w:p>
        </w:tc>
      </w:tr>
    </w:tbl>
    <w:p w:rsidR="002B2DA3" w:rsidRDefault="002B2DA3" w:rsidP="002B2DA3">
      <w:pPr>
        <w:pStyle w:val="NormalWeb"/>
        <w:spacing w:after="0"/>
        <w:ind w:left="-270"/>
        <w:rPr>
          <w:rFonts w:ascii="Garamond" w:hAnsi="Garamond" w:cs="Arial"/>
          <w:sz w:val="20"/>
          <w:szCs w:val="20"/>
        </w:rPr>
      </w:pPr>
    </w:p>
    <w:p w:rsidR="002B2DA3" w:rsidRPr="00737FFA" w:rsidRDefault="002B2DA3" w:rsidP="002B2DA3">
      <w:pPr>
        <w:rPr>
          <w:rFonts w:ascii="Garamond" w:hAnsi="Garamond"/>
          <w:sz w:val="20"/>
        </w:rPr>
      </w:pPr>
      <w:r w:rsidRPr="00737FFA">
        <w:rPr>
          <w:rFonts w:ascii="Garamond" w:hAnsi="Garamond"/>
          <w:b/>
          <w:sz w:val="20"/>
        </w:rPr>
        <w:t>Note:</w:t>
      </w:r>
      <w:r w:rsidRPr="00737FFA">
        <w:rPr>
          <w:rFonts w:ascii="Garamond" w:hAnsi="Garamond"/>
          <w:sz w:val="20"/>
        </w:rPr>
        <w:t xml:space="preserve"> Fund mobilisation data for equities are (i) excluding investment funds and (ii) including Alternative and SME Markets except the following exceptions:</w:t>
      </w:r>
    </w:p>
    <w:p w:rsidR="002B2DA3" w:rsidRPr="00737FFA" w:rsidRDefault="002B2DA3" w:rsidP="002B2DA3">
      <w:pPr>
        <w:pStyle w:val="ListParagraph"/>
        <w:numPr>
          <w:ilvl w:val="0"/>
          <w:numId w:val="5"/>
        </w:numPr>
        <w:spacing w:after="0" w:line="240" w:lineRule="auto"/>
        <w:rPr>
          <w:rFonts w:ascii="Garamond" w:hAnsi="Garamond"/>
          <w:szCs w:val="24"/>
        </w:rPr>
      </w:pPr>
      <w:r w:rsidRPr="00737FFA">
        <w:rPr>
          <w:rFonts w:ascii="Garamond" w:hAnsi="Garamond"/>
          <w:szCs w:val="24"/>
        </w:rPr>
        <w:t>Australian Securities Exchange: including investment funds</w:t>
      </w:r>
    </w:p>
    <w:p w:rsidR="002B2DA3" w:rsidRPr="00737FFA" w:rsidRDefault="002B2DA3" w:rsidP="002B2DA3">
      <w:pPr>
        <w:pStyle w:val="ListParagraph"/>
        <w:numPr>
          <w:ilvl w:val="0"/>
          <w:numId w:val="5"/>
        </w:numPr>
        <w:spacing w:after="0" w:line="240" w:lineRule="auto"/>
        <w:rPr>
          <w:rFonts w:ascii="Garamond" w:hAnsi="Garamond"/>
          <w:szCs w:val="24"/>
        </w:rPr>
      </w:pPr>
      <w:r w:rsidRPr="00737FFA">
        <w:rPr>
          <w:rFonts w:ascii="Garamond" w:hAnsi="Garamond"/>
          <w:szCs w:val="24"/>
        </w:rPr>
        <w:t xml:space="preserve">BME: Including investment companies listed (open-end investment companies). </w:t>
      </w:r>
    </w:p>
    <w:p w:rsidR="002B2DA3" w:rsidRPr="00737FFA" w:rsidRDefault="002B2DA3" w:rsidP="002B2DA3">
      <w:pPr>
        <w:pStyle w:val="ListParagraph"/>
        <w:numPr>
          <w:ilvl w:val="0"/>
          <w:numId w:val="5"/>
        </w:numPr>
        <w:spacing w:after="0" w:line="240" w:lineRule="auto"/>
        <w:rPr>
          <w:rFonts w:ascii="Garamond" w:hAnsi="Garamond"/>
          <w:szCs w:val="24"/>
        </w:rPr>
      </w:pPr>
      <w:r w:rsidRPr="00737FFA">
        <w:rPr>
          <w:rFonts w:ascii="Garamond" w:hAnsi="Garamond"/>
          <w:szCs w:val="24"/>
        </w:rPr>
        <w:t>Bolsa de Valores de Lima: Includes 26 foreign companies with shares negotiated under a special modality</w:t>
      </w:r>
    </w:p>
    <w:p w:rsidR="002B2DA3" w:rsidRPr="00737FFA" w:rsidRDefault="002B2DA3" w:rsidP="002B2DA3">
      <w:pPr>
        <w:pStyle w:val="ListParagraph"/>
        <w:numPr>
          <w:ilvl w:val="0"/>
          <w:numId w:val="5"/>
        </w:numPr>
        <w:spacing w:after="0" w:line="240" w:lineRule="auto"/>
        <w:rPr>
          <w:rFonts w:ascii="Garamond" w:hAnsi="Garamond"/>
          <w:szCs w:val="24"/>
        </w:rPr>
      </w:pPr>
      <w:r w:rsidRPr="00737FFA">
        <w:rPr>
          <w:rFonts w:ascii="Garamond" w:hAnsi="Garamond"/>
          <w:szCs w:val="24"/>
        </w:rPr>
        <w:t>Euronext: includes Belgium, England, France, Netherlands and Portugal</w:t>
      </w:r>
    </w:p>
    <w:p w:rsidR="002B2DA3" w:rsidRPr="00737FFA" w:rsidRDefault="002B2DA3" w:rsidP="002B2DA3">
      <w:pPr>
        <w:pStyle w:val="ListParagraph"/>
        <w:numPr>
          <w:ilvl w:val="0"/>
          <w:numId w:val="5"/>
        </w:numPr>
        <w:spacing w:after="0" w:line="240" w:lineRule="auto"/>
        <w:rPr>
          <w:rFonts w:ascii="Garamond" w:hAnsi="Garamond"/>
          <w:szCs w:val="24"/>
        </w:rPr>
      </w:pPr>
      <w:r w:rsidRPr="00737FFA">
        <w:rPr>
          <w:rFonts w:ascii="Garamond" w:hAnsi="Garamond"/>
          <w:szCs w:val="24"/>
        </w:rPr>
        <w:t>Korea Exchange: including Kosdaq market data</w:t>
      </w:r>
    </w:p>
    <w:p w:rsidR="002B2DA3" w:rsidRPr="00737FFA" w:rsidRDefault="002B2DA3" w:rsidP="002B2DA3">
      <w:pPr>
        <w:pStyle w:val="ListParagraph"/>
        <w:numPr>
          <w:ilvl w:val="0"/>
          <w:numId w:val="5"/>
        </w:numPr>
        <w:spacing w:after="0" w:line="240" w:lineRule="auto"/>
        <w:rPr>
          <w:rFonts w:ascii="Garamond" w:hAnsi="Garamond"/>
          <w:szCs w:val="24"/>
        </w:rPr>
      </w:pPr>
      <w:r w:rsidRPr="00737FFA">
        <w:rPr>
          <w:rFonts w:ascii="Garamond" w:hAnsi="Garamond"/>
          <w:szCs w:val="24"/>
        </w:rPr>
        <w:t>LSE Group: includes London Stock Exchange and Borsa Italiana</w:t>
      </w:r>
    </w:p>
    <w:p w:rsidR="002B2DA3" w:rsidRPr="00737FFA" w:rsidRDefault="002B2DA3" w:rsidP="002B2DA3">
      <w:pPr>
        <w:pStyle w:val="ListParagraph"/>
        <w:numPr>
          <w:ilvl w:val="0"/>
          <w:numId w:val="5"/>
        </w:numPr>
        <w:spacing w:after="0" w:line="240" w:lineRule="auto"/>
        <w:rPr>
          <w:rFonts w:ascii="Garamond" w:hAnsi="Garamond"/>
          <w:szCs w:val="24"/>
        </w:rPr>
      </w:pPr>
      <w:r w:rsidRPr="00737FFA">
        <w:rPr>
          <w:rFonts w:ascii="Garamond" w:hAnsi="Garamond"/>
          <w:szCs w:val="24"/>
        </w:rPr>
        <w:t>Nasdaq Nordic Exchanges include Copenhagen, Helsinki, Iceland, Stockholm, Tallinn, Riga and Vilnius Stock Exchanges</w:t>
      </w:r>
    </w:p>
    <w:p w:rsidR="002B2DA3" w:rsidRPr="00737FFA" w:rsidRDefault="002B2DA3" w:rsidP="002B2DA3">
      <w:pPr>
        <w:pStyle w:val="ListParagraph"/>
        <w:numPr>
          <w:ilvl w:val="0"/>
          <w:numId w:val="5"/>
        </w:numPr>
        <w:spacing w:after="0" w:line="240" w:lineRule="auto"/>
        <w:rPr>
          <w:rFonts w:ascii="Garamond" w:hAnsi="Garamond"/>
          <w:szCs w:val="24"/>
        </w:rPr>
      </w:pPr>
      <w:r w:rsidRPr="00737FFA">
        <w:rPr>
          <w:rFonts w:ascii="Garamond" w:hAnsi="Garamond"/>
          <w:szCs w:val="24"/>
        </w:rPr>
        <w:t>NSE India: including “Emerge” market data</w:t>
      </w:r>
    </w:p>
    <w:p w:rsidR="002B2DA3" w:rsidRPr="00737FFA" w:rsidRDefault="002B2DA3" w:rsidP="002B2DA3">
      <w:pPr>
        <w:pStyle w:val="ListParagraph"/>
        <w:numPr>
          <w:ilvl w:val="0"/>
          <w:numId w:val="5"/>
        </w:numPr>
        <w:spacing w:after="0" w:line="240" w:lineRule="auto"/>
        <w:rPr>
          <w:rFonts w:ascii="Garamond" w:hAnsi="Garamond"/>
          <w:szCs w:val="24"/>
        </w:rPr>
      </w:pPr>
      <w:r w:rsidRPr="00737FFA">
        <w:rPr>
          <w:rFonts w:ascii="Garamond" w:hAnsi="Garamond"/>
          <w:szCs w:val="24"/>
        </w:rPr>
        <w:t>Singapore Exchange: market capitalization includes domestic listings and a substantial number of foreign listings, defined as companies whose principal place of business is outside of Singapore. Inactive secondary foreign listings are excluded.</w:t>
      </w:r>
    </w:p>
    <w:p w:rsidR="002B2DA3" w:rsidRPr="00737FFA" w:rsidRDefault="002B2DA3" w:rsidP="002B2DA3">
      <w:pPr>
        <w:rPr>
          <w:rFonts w:ascii="Garamond" w:hAnsi="Garamond"/>
          <w:sz w:val="20"/>
        </w:rPr>
      </w:pPr>
      <w:r w:rsidRPr="00737FFA">
        <w:rPr>
          <w:rFonts w:ascii="Garamond" w:hAnsi="Garamond"/>
          <w:sz w:val="20"/>
        </w:rPr>
        <w:t>For Funds mobilised through issuance of bonds, due to different reporting rules &amp; calculation methods, turnover figures are not entirely comparable. The sale &amp; purchase of a share are counted as one transaction</w:t>
      </w:r>
    </w:p>
    <w:p w:rsidR="002B2DA3" w:rsidRPr="00737FFA" w:rsidRDefault="002B2DA3" w:rsidP="002B2DA3">
      <w:pPr>
        <w:outlineLvl w:val="0"/>
        <w:rPr>
          <w:rFonts w:ascii="Garamond" w:hAnsi="Garamond"/>
          <w:sz w:val="20"/>
        </w:rPr>
      </w:pPr>
      <w:r w:rsidRPr="00737FFA">
        <w:rPr>
          <w:rFonts w:ascii="Garamond" w:hAnsi="Garamond"/>
          <w:sz w:val="20"/>
        </w:rPr>
        <w:t>NA = Not Available</w:t>
      </w:r>
    </w:p>
    <w:p w:rsidR="002B2DA3" w:rsidRPr="00737FFA" w:rsidRDefault="002B2DA3" w:rsidP="002B2DA3">
      <w:pPr>
        <w:rPr>
          <w:rFonts w:ascii="Garamond" w:hAnsi="Garamond"/>
          <w:sz w:val="20"/>
        </w:rPr>
      </w:pPr>
      <w:r w:rsidRPr="00737FFA">
        <w:rPr>
          <w:rFonts w:ascii="Garamond" w:hAnsi="Garamond"/>
          <w:b/>
          <w:sz w:val="20"/>
        </w:rPr>
        <w:t>Source:</w:t>
      </w:r>
      <w:r w:rsidRPr="00737FFA">
        <w:rPr>
          <w:rFonts w:ascii="Garamond" w:hAnsi="Garamond"/>
          <w:sz w:val="20"/>
        </w:rPr>
        <w:t xml:space="preserve"> World Federation of Exchanges</w:t>
      </w:r>
    </w:p>
    <w:p w:rsidR="002B2DA3" w:rsidRDefault="002B2DA3" w:rsidP="002B2DA3">
      <w:pPr>
        <w:outlineLvl w:val="0"/>
        <w:rPr>
          <w:rFonts w:ascii="Garamond" w:hAnsi="Garamond"/>
          <w:b/>
        </w:rPr>
      </w:pPr>
    </w:p>
    <w:p w:rsidR="002B2DA3" w:rsidRDefault="002B2DA3" w:rsidP="002B2DA3">
      <w:pPr>
        <w:outlineLvl w:val="0"/>
        <w:rPr>
          <w:rFonts w:ascii="Garamond" w:hAnsi="Garamond"/>
          <w:b/>
        </w:rPr>
      </w:pPr>
    </w:p>
    <w:p w:rsidR="00AD7686" w:rsidRDefault="00AD7686">
      <w:pPr>
        <w:rPr>
          <w:rFonts w:ascii="Garamond" w:hAnsi="Garamond"/>
          <w:b/>
        </w:rPr>
      </w:pPr>
      <w:r>
        <w:rPr>
          <w:rFonts w:ascii="Garamond" w:hAnsi="Garamond"/>
          <w:b/>
        </w:rPr>
        <w:br w:type="page"/>
      </w:r>
    </w:p>
    <w:p w:rsidR="002B2DA3" w:rsidRPr="00784052" w:rsidRDefault="002B2DA3" w:rsidP="002B2DA3">
      <w:pPr>
        <w:outlineLvl w:val="0"/>
        <w:rPr>
          <w:rFonts w:ascii="Garamond" w:hAnsi="Garamond"/>
          <w:b/>
        </w:rPr>
      </w:pPr>
      <w:r w:rsidRPr="00784052">
        <w:rPr>
          <w:rFonts w:ascii="Garamond" w:hAnsi="Garamond"/>
          <w:b/>
        </w:rPr>
        <w:lastRenderedPageBreak/>
        <w:t>Market Capitalisation of Major Exchanges:</w:t>
      </w:r>
    </w:p>
    <w:p w:rsidR="002B2DA3" w:rsidRPr="00784052" w:rsidRDefault="002B2DA3" w:rsidP="002B2DA3">
      <w:pPr>
        <w:jc w:val="both"/>
        <w:rPr>
          <w:rFonts w:ascii="Garamond" w:hAnsi="Garamond"/>
        </w:rPr>
      </w:pPr>
    </w:p>
    <w:p w:rsidR="002B2DA3" w:rsidRDefault="002B2DA3" w:rsidP="002B2DA3">
      <w:pPr>
        <w:jc w:val="both"/>
        <w:rPr>
          <w:rFonts w:ascii="Garamond" w:hAnsi="Garamond"/>
        </w:rPr>
      </w:pPr>
      <w:r>
        <w:rPr>
          <w:rFonts w:ascii="Garamond" w:hAnsi="Garamond"/>
        </w:rPr>
        <w:t>After a strong recovery in the global equity markets in the previous month, the trends in the m</w:t>
      </w:r>
      <w:r w:rsidRPr="00784052">
        <w:rPr>
          <w:rFonts w:ascii="Garamond" w:hAnsi="Garamond"/>
        </w:rPr>
        <w:t xml:space="preserve">arket capitalisation of the major </w:t>
      </w:r>
      <w:r>
        <w:rPr>
          <w:rFonts w:ascii="Garamond" w:hAnsi="Garamond"/>
        </w:rPr>
        <w:t>economies remained mixed across the world during February 2019. While China and Hong Kong’s market capitalisation rebounded strongly gaining by 18.2 per cent and 5.1 per cent respectively during February 2019, those of other developed and developing markets changed modestly in the range of +/- four per cent</w:t>
      </w:r>
      <w:r w:rsidRPr="00784052">
        <w:rPr>
          <w:rFonts w:ascii="Garamond" w:hAnsi="Garamond"/>
        </w:rPr>
        <w:t xml:space="preserve">. </w:t>
      </w:r>
      <w:r>
        <w:rPr>
          <w:rFonts w:ascii="Garamond" w:hAnsi="Garamond"/>
        </w:rPr>
        <w:t>Amongst developed markets, market Capitalisation of Hong Kong rose by 5.1 per cent, followed by USA (+4.2 per cent), UK (+3.2 per cent) and Australia (+3.2 per cent).</w:t>
      </w:r>
    </w:p>
    <w:p w:rsidR="002B2DA3" w:rsidRDefault="002B2DA3" w:rsidP="002B2DA3">
      <w:pPr>
        <w:jc w:val="both"/>
        <w:rPr>
          <w:rFonts w:ascii="Garamond" w:hAnsi="Garamond"/>
        </w:rPr>
      </w:pPr>
    </w:p>
    <w:p w:rsidR="002B2DA3" w:rsidRPr="00B35B74" w:rsidRDefault="002B2DA3" w:rsidP="002B2DA3">
      <w:pPr>
        <w:jc w:val="both"/>
        <w:rPr>
          <w:rFonts w:ascii="Garamond" w:hAnsi="Garamond"/>
        </w:rPr>
      </w:pPr>
      <w:r>
        <w:rPr>
          <w:rFonts w:ascii="Garamond" w:hAnsi="Garamond"/>
        </w:rPr>
        <w:t xml:space="preserve">Amongst BRICS countries, while market capitalisation of China grew strongly by 18.2 per cent, those of South Africa and Brazil declined by 3.9 per cent and 2.6 per cent respectively. Market cap of Russia and India rose modestly by 0.8 per cent and 0.5 per cent respectively.  </w:t>
      </w:r>
      <w:r>
        <w:rPr>
          <w:rFonts w:ascii="Garamond" w:hAnsi="Garamond"/>
          <w:b/>
          <w:i/>
        </w:rPr>
        <w:t>(Table A4</w:t>
      </w:r>
      <w:r w:rsidRPr="00784052">
        <w:rPr>
          <w:rFonts w:ascii="Garamond" w:hAnsi="Garamond"/>
          <w:b/>
          <w:i/>
        </w:rPr>
        <w:t>)</w:t>
      </w:r>
      <w:r w:rsidRPr="00784052">
        <w:rPr>
          <w:rFonts w:ascii="Garamond" w:hAnsi="Garamond"/>
        </w:rPr>
        <w:t>.</w:t>
      </w:r>
      <w:r>
        <w:rPr>
          <w:rFonts w:ascii="Garamond" w:hAnsi="Garamond"/>
        </w:rPr>
        <w:t xml:space="preserve"> </w:t>
      </w:r>
    </w:p>
    <w:p w:rsidR="002B2DA3" w:rsidRDefault="002B2DA3" w:rsidP="002B2DA3">
      <w:pPr>
        <w:outlineLvl w:val="0"/>
        <w:rPr>
          <w:rFonts w:ascii="Garamond" w:hAnsi="Garamond"/>
          <w:b/>
        </w:rPr>
      </w:pPr>
    </w:p>
    <w:p w:rsidR="002B2DA3" w:rsidRDefault="002B2DA3" w:rsidP="002B2DA3">
      <w:pPr>
        <w:outlineLvl w:val="0"/>
        <w:rPr>
          <w:rFonts w:ascii="Garamond" w:hAnsi="Garamond"/>
          <w:b/>
        </w:rPr>
      </w:pPr>
      <w:r>
        <w:rPr>
          <w:rFonts w:ascii="Garamond" w:hAnsi="Garamond"/>
          <w:b/>
        </w:rPr>
        <w:t>Table A4</w:t>
      </w:r>
      <w:r w:rsidRPr="00737FFA">
        <w:rPr>
          <w:rFonts w:ascii="Garamond" w:hAnsi="Garamond"/>
          <w:b/>
        </w:rPr>
        <w:t>: Domestic Market Capitalisation of Major Exchanges</w:t>
      </w:r>
    </w:p>
    <w:p w:rsidR="002B2DA3" w:rsidRPr="00497B7A" w:rsidRDefault="002B2DA3" w:rsidP="002B2DA3">
      <w:pPr>
        <w:jc w:val="center"/>
        <w:outlineLvl w:val="0"/>
        <w:rPr>
          <w:rFonts w:ascii="Garamond" w:hAnsi="Garamond"/>
        </w:rPr>
      </w:pPr>
      <w:r>
        <w:rPr>
          <w:rFonts w:ascii="Garamond" w:hAnsi="Garamond"/>
        </w:rPr>
        <w:t xml:space="preserve">                                                                                               </w:t>
      </w:r>
      <w:r w:rsidRPr="00497B7A">
        <w:rPr>
          <w:rFonts w:ascii="Garamond" w:hAnsi="Garamond"/>
        </w:rPr>
        <w:t>(US$ Billion)</w:t>
      </w:r>
    </w:p>
    <w:tbl>
      <w:tblPr>
        <w:tblW w:w="8339" w:type="dxa"/>
        <w:tblInd w:w="113" w:type="dxa"/>
        <w:tblLook w:val="04A0" w:firstRow="1" w:lastRow="0" w:firstColumn="1" w:lastColumn="0" w:noHBand="0" w:noVBand="1"/>
      </w:tblPr>
      <w:tblGrid>
        <w:gridCol w:w="914"/>
        <w:gridCol w:w="2197"/>
        <w:gridCol w:w="1727"/>
        <w:gridCol w:w="1727"/>
        <w:gridCol w:w="1774"/>
      </w:tblGrid>
      <w:tr w:rsidR="002B2DA3" w:rsidRPr="00497B7A" w:rsidTr="002B2DA3">
        <w:trPr>
          <w:trHeight w:val="224"/>
        </w:trPr>
        <w:tc>
          <w:tcPr>
            <w:tcW w:w="914" w:type="dxa"/>
            <w:tcBorders>
              <w:top w:val="nil"/>
              <w:left w:val="nil"/>
              <w:bottom w:val="nil"/>
              <w:right w:val="nil"/>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p>
        </w:tc>
        <w:tc>
          <w:tcPr>
            <w:tcW w:w="2197" w:type="dxa"/>
            <w:tcBorders>
              <w:top w:val="single" w:sz="4" w:space="0" w:color="auto"/>
              <w:left w:val="single" w:sz="4" w:space="0" w:color="auto"/>
              <w:bottom w:val="single" w:sz="4" w:space="0" w:color="auto"/>
              <w:right w:val="nil"/>
            </w:tcBorders>
            <w:shd w:val="clear" w:color="000000" w:fill="B7DEE8"/>
            <w:noWrap/>
            <w:vAlign w:val="center"/>
            <w:hideMark/>
          </w:tcPr>
          <w:p w:rsidR="002B2DA3" w:rsidRPr="00497B7A" w:rsidRDefault="002B2DA3" w:rsidP="002B2DA3">
            <w:pPr>
              <w:rPr>
                <w:rFonts w:ascii="Garamond" w:eastAsia="Times New Roman" w:hAnsi="Garamond" w:cs="Calibri"/>
                <w:b/>
                <w:bCs/>
                <w:color w:val="000000"/>
                <w:sz w:val="20"/>
                <w:szCs w:val="20"/>
              </w:rPr>
            </w:pPr>
            <w:r w:rsidRPr="00497B7A">
              <w:rPr>
                <w:rFonts w:ascii="Garamond" w:eastAsia="Times New Roman" w:hAnsi="Garamond" w:cs="Calibri"/>
                <w:b/>
                <w:bCs/>
                <w:color w:val="000000"/>
                <w:sz w:val="20"/>
                <w:szCs w:val="20"/>
              </w:rPr>
              <w:t>Country</w:t>
            </w:r>
          </w:p>
        </w:tc>
        <w:tc>
          <w:tcPr>
            <w:tcW w:w="1727" w:type="dxa"/>
            <w:tcBorders>
              <w:top w:val="single" w:sz="4" w:space="0" w:color="auto"/>
              <w:left w:val="single" w:sz="4" w:space="0" w:color="auto"/>
              <w:bottom w:val="single" w:sz="4" w:space="0" w:color="auto"/>
              <w:right w:val="single" w:sz="4" w:space="0" w:color="auto"/>
            </w:tcBorders>
            <w:shd w:val="clear" w:color="000000" w:fill="B7DEE8"/>
            <w:noWrap/>
            <w:vAlign w:val="center"/>
            <w:hideMark/>
          </w:tcPr>
          <w:p w:rsidR="002B2DA3" w:rsidRPr="00497B7A" w:rsidRDefault="002B2DA3" w:rsidP="002B2DA3">
            <w:pPr>
              <w:jc w:val="right"/>
              <w:rPr>
                <w:rFonts w:ascii="Garamond" w:eastAsia="Times New Roman" w:hAnsi="Garamond" w:cs="Calibri"/>
                <w:b/>
                <w:bCs/>
                <w:color w:val="000000"/>
                <w:sz w:val="20"/>
                <w:szCs w:val="20"/>
              </w:rPr>
            </w:pPr>
            <w:r w:rsidRPr="00497B7A">
              <w:rPr>
                <w:rFonts w:ascii="Garamond" w:eastAsia="Times New Roman" w:hAnsi="Garamond" w:cs="Calibri"/>
                <w:b/>
                <w:bCs/>
                <w:color w:val="000000"/>
                <w:sz w:val="20"/>
                <w:szCs w:val="20"/>
              </w:rPr>
              <w:t>Jan-19</w:t>
            </w:r>
          </w:p>
        </w:tc>
        <w:tc>
          <w:tcPr>
            <w:tcW w:w="1727" w:type="dxa"/>
            <w:tcBorders>
              <w:top w:val="single" w:sz="4" w:space="0" w:color="auto"/>
              <w:left w:val="nil"/>
              <w:bottom w:val="single" w:sz="4" w:space="0" w:color="auto"/>
              <w:right w:val="single" w:sz="4" w:space="0" w:color="auto"/>
            </w:tcBorders>
            <w:shd w:val="clear" w:color="000000" w:fill="B7DEE8"/>
            <w:noWrap/>
            <w:vAlign w:val="center"/>
            <w:hideMark/>
          </w:tcPr>
          <w:p w:rsidR="002B2DA3" w:rsidRPr="00497B7A" w:rsidRDefault="002B2DA3" w:rsidP="002B2DA3">
            <w:pPr>
              <w:jc w:val="right"/>
              <w:rPr>
                <w:rFonts w:ascii="Garamond" w:eastAsia="Times New Roman" w:hAnsi="Garamond" w:cs="Calibri"/>
                <w:b/>
                <w:bCs/>
                <w:color w:val="000000"/>
                <w:sz w:val="20"/>
                <w:szCs w:val="20"/>
              </w:rPr>
            </w:pPr>
            <w:r w:rsidRPr="00497B7A">
              <w:rPr>
                <w:rFonts w:ascii="Garamond" w:eastAsia="Times New Roman" w:hAnsi="Garamond" w:cs="Calibri"/>
                <w:b/>
                <w:bCs/>
                <w:color w:val="000000"/>
                <w:sz w:val="20"/>
                <w:szCs w:val="20"/>
              </w:rPr>
              <w:t>Feb-19</w:t>
            </w:r>
          </w:p>
        </w:tc>
        <w:tc>
          <w:tcPr>
            <w:tcW w:w="1774" w:type="dxa"/>
            <w:tcBorders>
              <w:top w:val="single" w:sz="4" w:space="0" w:color="auto"/>
              <w:left w:val="nil"/>
              <w:bottom w:val="single" w:sz="4" w:space="0" w:color="auto"/>
              <w:right w:val="single" w:sz="4" w:space="0" w:color="auto"/>
            </w:tcBorders>
            <w:shd w:val="clear" w:color="000000" w:fill="B7DEE8"/>
            <w:noWrap/>
            <w:vAlign w:val="center"/>
            <w:hideMark/>
          </w:tcPr>
          <w:p w:rsidR="002B2DA3" w:rsidRPr="00497B7A" w:rsidRDefault="002B2DA3" w:rsidP="002B2DA3">
            <w:pPr>
              <w:rPr>
                <w:rFonts w:ascii="Garamond" w:eastAsia="Times New Roman" w:hAnsi="Garamond" w:cs="Calibri"/>
                <w:b/>
                <w:bCs/>
                <w:color w:val="000000"/>
                <w:sz w:val="20"/>
                <w:szCs w:val="20"/>
              </w:rPr>
            </w:pPr>
            <w:r>
              <w:rPr>
                <w:rFonts w:ascii="Garamond" w:eastAsia="Times New Roman" w:hAnsi="Garamond" w:cs="Calibri"/>
                <w:b/>
                <w:bCs/>
                <w:color w:val="000000"/>
                <w:sz w:val="20"/>
                <w:szCs w:val="20"/>
              </w:rPr>
              <w:t>Per cent</w:t>
            </w:r>
            <w:r w:rsidRPr="00497B7A">
              <w:rPr>
                <w:rFonts w:ascii="Garamond" w:eastAsia="Times New Roman" w:hAnsi="Garamond" w:cs="Calibri"/>
                <w:b/>
                <w:bCs/>
                <w:color w:val="000000"/>
                <w:sz w:val="20"/>
                <w:szCs w:val="20"/>
              </w:rPr>
              <w:t xml:space="preserve"> Change MoM</w:t>
            </w:r>
          </w:p>
        </w:tc>
      </w:tr>
      <w:tr w:rsidR="002B2DA3" w:rsidRPr="00497B7A" w:rsidTr="002B2DA3">
        <w:trPr>
          <w:trHeight w:val="223"/>
        </w:trPr>
        <w:tc>
          <w:tcPr>
            <w:tcW w:w="914" w:type="dxa"/>
            <w:vMerge w:val="restart"/>
            <w:tcBorders>
              <w:top w:val="single" w:sz="4" w:space="0" w:color="auto"/>
              <w:left w:val="single" w:sz="4" w:space="0" w:color="auto"/>
              <w:bottom w:val="single" w:sz="4" w:space="0" w:color="000000"/>
              <w:right w:val="single" w:sz="4" w:space="0" w:color="auto"/>
            </w:tcBorders>
            <w:shd w:val="clear" w:color="000000" w:fill="B7DEE8"/>
            <w:noWrap/>
            <w:textDirection w:val="btLr"/>
            <w:vAlign w:val="center"/>
            <w:hideMark/>
          </w:tcPr>
          <w:p w:rsidR="002B2DA3" w:rsidRPr="00497B7A" w:rsidRDefault="002B2DA3" w:rsidP="002B2DA3">
            <w:pPr>
              <w:jc w:val="center"/>
              <w:rPr>
                <w:rFonts w:ascii="Garamond" w:eastAsia="Times New Roman" w:hAnsi="Garamond" w:cs="Calibri"/>
                <w:b/>
                <w:bCs/>
                <w:color w:val="000000"/>
                <w:sz w:val="20"/>
                <w:szCs w:val="20"/>
              </w:rPr>
            </w:pPr>
            <w:r w:rsidRPr="00497B7A">
              <w:rPr>
                <w:rFonts w:ascii="Garamond" w:eastAsia="Times New Roman" w:hAnsi="Garamond" w:cs="Calibri"/>
                <w:b/>
                <w:bCs/>
                <w:color w:val="000000"/>
                <w:sz w:val="20"/>
                <w:szCs w:val="20"/>
              </w:rPr>
              <w:t>Developed Markets</w:t>
            </w:r>
          </w:p>
        </w:tc>
        <w:tc>
          <w:tcPr>
            <w:tcW w:w="2197" w:type="dxa"/>
            <w:tcBorders>
              <w:top w:val="nil"/>
              <w:left w:val="nil"/>
              <w:bottom w:val="nil"/>
              <w:right w:val="single" w:sz="4" w:space="0" w:color="auto"/>
            </w:tcBorders>
            <w:shd w:val="clear" w:color="000000" w:fill="DAEEF3"/>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USA</w:t>
            </w:r>
          </w:p>
        </w:tc>
        <w:tc>
          <w:tcPr>
            <w:tcW w:w="1727"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29,145.7 </w:t>
            </w:r>
          </w:p>
        </w:tc>
        <w:tc>
          <w:tcPr>
            <w:tcW w:w="1727"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30,374.1 </w:t>
            </w:r>
          </w:p>
        </w:tc>
        <w:tc>
          <w:tcPr>
            <w:tcW w:w="1774"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4.2 </w:t>
            </w:r>
          </w:p>
        </w:tc>
      </w:tr>
      <w:tr w:rsidR="002B2DA3" w:rsidRPr="00497B7A" w:rsidTr="002B2DA3">
        <w:trPr>
          <w:trHeight w:val="223"/>
        </w:trPr>
        <w:tc>
          <w:tcPr>
            <w:tcW w:w="914" w:type="dxa"/>
            <w:vMerge/>
            <w:tcBorders>
              <w:top w:val="single" w:sz="4" w:space="0" w:color="auto"/>
              <w:left w:val="single" w:sz="4" w:space="0" w:color="auto"/>
              <w:bottom w:val="single" w:sz="4" w:space="0" w:color="000000"/>
              <w:right w:val="single" w:sz="4" w:space="0" w:color="auto"/>
            </w:tcBorders>
            <w:vAlign w:val="center"/>
            <w:hideMark/>
          </w:tcPr>
          <w:p w:rsidR="002B2DA3" w:rsidRPr="00497B7A" w:rsidRDefault="002B2DA3" w:rsidP="002B2DA3">
            <w:pPr>
              <w:rPr>
                <w:rFonts w:ascii="Garamond" w:eastAsia="Times New Roman" w:hAnsi="Garamond" w:cs="Calibri"/>
                <w:b/>
                <w:bCs/>
                <w:color w:val="000000"/>
                <w:sz w:val="20"/>
                <w:szCs w:val="20"/>
              </w:rPr>
            </w:pPr>
          </w:p>
        </w:tc>
        <w:tc>
          <w:tcPr>
            <w:tcW w:w="2197" w:type="dxa"/>
            <w:tcBorders>
              <w:top w:val="nil"/>
              <w:left w:val="nil"/>
              <w:bottom w:val="nil"/>
              <w:right w:val="single" w:sz="4" w:space="0" w:color="auto"/>
            </w:tcBorders>
            <w:shd w:val="clear" w:color="000000" w:fill="DAEEF3"/>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UK</w:t>
            </w:r>
          </w:p>
        </w:tc>
        <w:tc>
          <w:tcPr>
            <w:tcW w:w="1727"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3,218.4 </w:t>
            </w:r>
          </w:p>
        </w:tc>
        <w:tc>
          <w:tcPr>
            <w:tcW w:w="1727"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3,322.3 </w:t>
            </w:r>
          </w:p>
        </w:tc>
        <w:tc>
          <w:tcPr>
            <w:tcW w:w="1774"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3.2 </w:t>
            </w:r>
          </w:p>
        </w:tc>
      </w:tr>
      <w:tr w:rsidR="002B2DA3" w:rsidRPr="00497B7A" w:rsidTr="002B2DA3">
        <w:trPr>
          <w:trHeight w:val="223"/>
        </w:trPr>
        <w:tc>
          <w:tcPr>
            <w:tcW w:w="914" w:type="dxa"/>
            <w:vMerge/>
            <w:tcBorders>
              <w:top w:val="single" w:sz="4" w:space="0" w:color="auto"/>
              <w:left w:val="single" w:sz="4" w:space="0" w:color="auto"/>
              <w:bottom w:val="single" w:sz="4" w:space="0" w:color="000000"/>
              <w:right w:val="single" w:sz="4" w:space="0" w:color="auto"/>
            </w:tcBorders>
            <w:vAlign w:val="center"/>
            <w:hideMark/>
          </w:tcPr>
          <w:p w:rsidR="002B2DA3" w:rsidRPr="00497B7A" w:rsidRDefault="002B2DA3" w:rsidP="002B2DA3">
            <w:pPr>
              <w:rPr>
                <w:rFonts w:ascii="Garamond" w:eastAsia="Times New Roman" w:hAnsi="Garamond" w:cs="Calibri"/>
                <w:b/>
                <w:bCs/>
                <w:color w:val="000000"/>
                <w:sz w:val="20"/>
                <w:szCs w:val="20"/>
              </w:rPr>
            </w:pPr>
          </w:p>
        </w:tc>
        <w:tc>
          <w:tcPr>
            <w:tcW w:w="2197" w:type="dxa"/>
            <w:tcBorders>
              <w:top w:val="nil"/>
              <w:left w:val="nil"/>
              <w:bottom w:val="nil"/>
              <w:right w:val="single" w:sz="4" w:space="0" w:color="auto"/>
            </w:tcBorders>
            <w:shd w:val="clear" w:color="000000" w:fill="DAEEF3"/>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Germany</w:t>
            </w:r>
          </w:p>
        </w:tc>
        <w:tc>
          <w:tcPr>
            <w:tcW w:w="1727"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2,069.7 </w:t>
            </w:r>
          </w:p>
        </w:tc>
        <w:tc>
          <w:tcPr>
            <w:tcW w:w="1727"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2,081.4 </w:t>
            </w:r>
          </w:p>
        </w:tc>
        <w:tc>
          <w:tcPr>
            <w:tcW w:w="1774"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0.6 </w:t>
            </w:r>
          </w:p>
        </w:tc>
      </w:tr>
      <w:tr w:rsidR="002B2DA3" w:rsidRPr="00497B7A" w:rsidTr="002B2DA3">
        <w:trPr>
          <w:trHeight w:val="223"/>
        </w:trPr>
        <w:tc>
          <w:tcPr>
            <w:tcW w:w="914" w:type="dxa"/>
            <w:vMerge/>
            <w:tcBorders>
              <w:top w:val="single" w:sz="4" w:space="0" w:color="auto"/>
              <w:left w:val="single" w:sz="4" w:space="0" w:color="auto"/>
              <w:bottom w:val="single" w:sz="4" w:space="0" w:color="000000"/>
              <w:right w:val="single" w:sz="4" w:space="0" w:color="auto"/>
            </w:tcBorders>
            <w:vAlign w:val="center"/>
            <w:hideMark/>
          </w:tcPr>
          <w:p w:rsidR="002B2DA3" w:rsidRPr="00497B7A" w:rsidRDefault="002B2DA3" w:rsidP="002B2DA3">
            <w:pPr>
              <w:rPr>
                <w:rFonts w:ascii="Garamond" w:eastAsia="Times New Roman" w:hAnsi="Garamond" w:cs="Calibri"/>
                <w:b/>
                <w:bCs/>
                <w:color w:val="000000"/>
                <w:sz w:val="20"/>
                <w:szCs w:val="20"/>
              </w:rPr>
            </w:pPr>
          </w:p>
        </w:tc>
        <w:tc>
          <w:tcPr>
            <w:tcW w:w="2197" w:type="dxa"/>
            <w:tcBorders>
              <w:top w:val="nil"/>
              <w:left w:val="nil"/>
              <w:bottom w:val="nil"/>
              <w:right w:val="single" w:sz="4" w:space="0" w:color="auto"/>
            </w:tcBorders>
            <w:shd w:val="clear" w:color="000000" w:fill="DAEEF3"/>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Spain</w:t>
            </w:r>
          </w:p>
        </w:tc>
        <w:tc>
          <w:tcPr>
            <w:tcW w:w="1727"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690.6 </w:t>
            </w:r>
          </w:p>
        </w:tc>
        <w:tc>
          <w:tcPr>
            <w:tcW w:w="1727"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699.8 </w:t>
            </w:r>
          </w:p>
        </w:tc>
        <w:tc>
          <w:tcPr>
            <w:tcW w:w="1774"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1.3 </w:t>
            </w:r>
          </w:p>
        </w:tc>
      </w:tr>
      <w:tr w:rsidR="002B2DA3" w:rsidRPr="00497B7A" w:rsidTr="002B2DA3">
        <w:trPr>
          <w:trHeight w:val="223"/>
        </w:trPr>
        <w:tc>
          <w:tcPr>
            <w:tcW w:w="914" w:type="dxa"/>
            <w:vMerge/>
            <w:tcBorders>
              <w:top w:val="single" w:sz="4" w:space="0" w:color="auto"/>
              <w:left w:val="single" w:sz="4" w:space="0" w:color="auto"/>
              <w:bottom w:val="single" w:sz="4" w:space="0" w:color="000000"/>
              <w:right w:val="single" w:sz="4" w:space="0" w:color="auto"/>
            </w:tcBorders>
            <w:vAlign w:val="center"/>
            <w:hideMark/>
          </w:tcPr>
          <w:p w:rsidR="002B2DA3" w:rsidRPr="00497B7A" w:rsidRDefault="002B2DA3" w:rsidP="002B2DA3">
            <w:pPr>
              <w:rPr>
                <w:rFonts w:ascii="Garamond" w:eastAsia="Times New Roman" w:hAnsi="Garamond" w:cs="Calibri"/>
                <w:b/>
                <w:bCs/>
                <w:color w:val="000000"/>
                <w:sz w:val="20"/>
                <w:szCs w:val="20"/>
              </w:rPr>
            </w:pPr>
          </w:p>
        </w:tc>
        <w:tc>
          <w:tcPr>
            <w:tcW w:w="2197" w:type="dxa"/>
            <w:tcBorders>
              <w:top w:val="nil"/>
              <w:left w:val="nil"/>
              <w:bottom w:val="nil"/>
              <w:right w:val="single" w:sz="4" w:space="0" w:color="auto"/>
            </w:tcBorders>
            <w:shd w:val="clear" w:color="000000" w:fill="DAEEF3"/>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Japan</w:t>
            </w:r>
          </w:p>
        </w:tc>
        <w:tc>
          <w:tcPr>
            <w:tcW w:w="1727"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5,721.8 </w:t>
            </w:r>
          </w:p>
        </w:tc>
        <w:tc>
          <w:tcPr>
            <w:tcW w:w="1727"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5,738.1 </w:t>
            </w:r>
          </w:p>
        </w:tc>
        <w:tc>
          <w:tcPr>
            <w:tcW w:w="1774"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0.3 </w:t>
            </w:r>
          </w:p>
        </w:tc>
      </w:tr>
      <w:tr w:rsidR="002B2DA3" w:rsidRPr="00497B7A" w:rsidTr="002B2DA3">
        <w:trPr>
          <w:trHeight w:val="223"/>
        </w:trPr>
        <w:tc>
          <w:tcPr>
            <w:tcW w:w="914" w:type="dxa"/>
            <w:vMerge/>
            <w:tcBorders>
              <w:top w:val="single" w:sz="4" w:space="0" w:color="auto"/>
              <w:left w:val="single" w:sz="4" w:space="0" w:color="auto"/>
              <w:bottom w:val="single" w:sz="4" w:space="0" w:color="000000"/>
              <w:right w:val="single" w:sz="4" w:space="0" w:color="auto"/>
            </w:tcBorders>
            <w:vAlign w:val="center"/>
            <w:hideMark/>
          </w:tcPr>
          <w:p w:rsidR="002B2DA3" w:rsidRPr="00497B7A" w:rsidRDefault="002B2DA3" w:rsidP="002B2DA3">
            <w:pPr>
              <w:rPr>
                <w:rFonts w:ascii="Garamond" w:eastAsia="Times New Roman" w:hAnsi="Garamond" w:cs="Calibri"/>
                <w:b/>
                <w:bCs/>
                <w:color w:val="000000"/>
                <w:sz w:val="20"/>
                <w:szCs w:val="20"/>
              </w:rPr>
            </w:pPr>
          </w:p>
        </w:tc>
        <w:tc>
          <w:tcPr>
            <w:tcW w:w="2197" w:type="dxa"/>
            <w:tcBorders>
              <w:top w:val="nil"/>
              <w:left w:val="nil"/>
              <w:bottom w:val="nil"/>
              <w:right w:val="single" w:sz="4" w:space="0" w:color="auto"/>
            </w:tcBorders>
            <w:shd w:val="clear" w:color="000000" w:fill="DAEEF3"/>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Singapore</w:t>
            </w:r>
          </w:p>
        </w:tc>
        <w:tc>
          <w:tcPr>
            <w:tcW w:w="1727"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509.9 </w:t>
            </w:r>
          </w:p>
        </w:tc>
        <w:tc>
          <w:tcPr>
            <w:tcW w:w="1727"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513.2 </w:t>
            </w:r>
          </w:p>
        </w:tc>
        <w:tc>
          <w:tcPr>
            <w:tcW w:w="1774"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0.6 </w:t>
            </w:r>
          </w:p>
        </w:tc>
      </w:tr>
      <w:tr w:rsidR="002B2DA3" w:rsidRPr="00497B7A" w:rsidTr="002B2DA3">
        <w:trPr>
          <w:trHeight w:val="223"/>
        </w:trPr>
        <w:tc>
          <w:tcPr>
            <w:tcW w:w="914" w:type="dxa"/>
            <w:vMerge/>
            <w:tcBorders>
              <w:top w:val="single" w:sz="4" w:space="0" w:color="auto"/>
              <w:left w:val="single" w:sz="4" w:space="0" w:color="auto"/>
              <w:bottom w:val="single" w:sz="4" w:space="0" w:color="000000"/>
              <w:right w:val="single" w:sz="4" w:space="0" w:color="auto"/>
            </w:tcBorders>
            <w:vAlign w:val="center"/>
            <w:hideMark/>
          </w:tcPr>
          <w:p w:rsidR="002B2DA3" w:rsidRPr="00497B7A" w:rsidRDefault="002B2DA3" w:rsidP="002B2DA3">
            <w:pPr>
              <w:rPr>
                <w:rFonts w:ascii="Garamond" w:eastAsia="Times New Roman" w:hAnsi="Garamond" w:cs="Calibri"/>
                <w:b/>
                <w:bCs/>
                <w:color w:val="000000"/>
                <w:sz w:val="20"/>
                <w:szCs w:val="20"/>
              </w:rPr>
            </w:pPr>
          </w:p>
        </w:tc>
        <w:tc>
          <w:tcPr>
            <w:tcW w:w="2197" w:type="dxa"/>
            <w:tcBorders>
              <w:top w:val="nil"/>
              <w:left w:val="nil"/>
              <w:bottom w:val="nil"/>
              <w:right w:val="single" w:sz="4" w:space="0" w:color="auto"/>
            </w:tcBorders>
            <w:shd w:val="clear" w:color="000000" w:fill="DAEEF3"/>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Hong Kong</w:t>
            </w:r>
          </w:p>
        </w:tc>
        <w:tc>
          <w:tcPr>
            <w:tcW w:w="1727"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5,188.5 </w:t>
            </w:r>
          </w:p>
        </w:tc>
        <w:tc>
          <w:tcPr>
            <w:tcW w:w="1727"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5,452.7 </w:t>
            </w:r>
          </w:p>
        </w:tc>
        <w:tc>
          <w:tcPr>
            <w:tcW w:w="1774"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5.1 </w:t>
            </w:r>
          </w:p>
        </w:tc>
      </w:tr>
      <w:tr w:rsidR="002B2DA3" w:rsidRPr="00497B7A" w:rsidTr="002B2DA3">
        <w:trPr>
          <w:trHeight w:val="223"/>
        </w:trPr>
        <w:tc>
          <w:tcPr>
            <w:tcW w:w="914" w:type="dxa"/>
            <w:vMerge/>
            <w:tcBorders>
              <w:top w:val="single" w:sz="4" w:space="0" w:color="auto"/>
              <w:left w:val="single" w:sz="4" w:space="0" w:color="auto"/>
              <w:bottom w:val="single" w:sz="4" w:space="0" w:color="000000"/>
              <w:right w:val="single" w:sz="4" w:space="0" w:color="auto"/>
            </w:tcBorders>
            <w:vAlign w:val="center"/>
            <w:hideMark/>
          </w:tcPr>
          <w:p w:rsidR="002B2DA3" w:rsidRPr="00497B7A" w:rsidRDefault="002B2DA3" w:rsidP="002B2DA3">
            <w:pPr>
              <w:rPr>
                <w:rFonts w:ascii="Garamond" w:eastAsia="Times New Roman" w:hAnsi="Garamond" w:cs="Calibri"/>
                <w:b/>
                <w:bCs/>
                <w:color w:val="000000"/>
                <w:sz w:val="20"/>
                <w:szCs w:val="20"/>
              </w:rPr>
            </w:pPr>
          </w:p>
        </w:tc>
        <w:tc>
          <w:tcPr>
            <w:tcW w:w="2197" w:type="dxa"/>
            <w:tcBorders>
              <w:top w:val="nil"/>
              <w:left w:val="nil"/>
              <w:bottom w:val="nil"/>
              <w:right w:val="single" w:sz="4" w:space="0" w:color="auto"/>
            </w:tcBorders>
            <w:shd w:val="clear" w:color="000000" w:fill="DAEEF3"/>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South Korea</w:t>
            </w:r>
          </w:p>
        </w:tc>
        <w:tc>
          <w:tcPr>
            <w:tcW w:w="1727"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1,486.3 </w:t>
            </w:r>
          </w:p>
        </w:tc>
        <w:tc>
          <w:tcPr>
            <w:tcW w:w="1727"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1,469.4 </w:t>
            </w:r>
          </w:p>
        </w:tc>
        <w:tc>
          <w:tcPr>
            <w:tcW w:w="1774"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(1.1)</w:t>
            </w:r>
          </w:p>
        </w:tc>
      </w:tr>
      <w:tr w:rsidR="002B2DA3" w:rsidRPr="00497B7A" w:rsidTr="002B2DA3">
        <w:trPr>
          <w:trHeight w:val="223"/>
        </w:trPr>
        <w:tc>
          <w:tcPr>
            <w:tcW w:w="914" w:type="dxa"/>
            <w:vMerge/>
            <w:tcBorders>
              <w:top w:val="single" w:sz="4" w:space="0" w:color="auto"/>
              <w:left w:val="single" w:sz="4" w:space="0" w:color="auto"/>
              <w:bottom w:val="single" w:sz="4" w:space="0" w:color="000000"/>
              <w:right w:val="single" w:sz="4" w:space="0" w:color="auto"/>
            </w:tcBorders>
            <w:vAlign w:val="center"/>
            <w:hideMark/>
          </w:tcPr>
          <w:p w:rsidR="002B2DA3" w:rsidRPr="00497B7A" w:rsidRDefault="002B2DA3" w:rsidP="002B2DA3">
            <w:pPr>
              <w:rPr>
                <w:rFonts w:ascii="Garamond" w:eastAsia="Times New Roman" w:hAnsi="Garamond" w:cs="Calibri"/>
                <w:b/>
                <w:bCs/>
                <w:color w:val="000000"/>
                <w:sz w:val="20"/>
                <w:szCs w:val="20"/>
              </w:rPr>
            </w:pPr>
          </w:p>
        </w:tc>
        <w:tc>
          <w:tcPr>
            <w:tcW w:w="2197" w:type="dxa"/>
            <w:tcBorders>
              <w:top w:val="nil"/>
              <w:left w:val="nil"/>
              <w:bottom w:val="nil"/>
              <w:right w:val="single" w:sz="4" w:space="0" w:color="auto"/>
            </w:tcBorders>
            <w:shd w:val="clear" w:color="000000" w:fill="DAEEF3"/>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Australia</w:t>
            </w:r>
          </w:p>
        </w:tc>
        <w:tc>
          <w:tcPr>
            <w:tcW w:w="1727" w:type="dxa"/>
            <w:tcBorders>
              <w:top w:val="nil"/>
              <w:left w:val="nil"/>
              <w:bottom w:val="single" w:sz="4" w:space="0" w:color="auto"/>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1,268.8 </w:t>
            </w:r>
          </w:p>
        </w:tc>
        <w:tc>
          <w:tcPr>
            <w:tcW w:w="1727" w:type="dxa"/>
            <w:tcBorders>
              <w:top w:val="nil"/>
              <w:left w:val="nil"/>
              <w:bottom w:val="single" w:sz="4" w:space="0" w:color="auto"/>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1,309.5 </w:t>
            </w:r>
          </w:p>
        </w:tc>
        <w:tc>
          <w:tcPr>
            <w:tcW w:w="1774" w:type="dxa"/>
            <w:tcBorders>
              <w:top w:val="nil"/>
              <w:left w:val="nil"/>
              <w:bottom w:val="single" w:sz="4" w:space="0" w:color="auto"/>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3.2 </w:t>
            </w:r>
          </w:p>
        </w:tc>
      </w:tr>
      <w:tr w:rsidR="002B2DA3" w:rsidRPr="00497B7A" w:rsidTr="002B2DA3">
        <w:trPr>
          <w:trHeight w:val="223"/>
        </w:trPr>
        <w:tc>
          <w:tcPr>
            <w:tcW w:w="914" w:type="dxa"/>
            <w:vMerge w:val="restart"/>
            <w:tcBorders>
              <w:top w:val="nil"/>
              <w:left w:val="single" w:sz="4" w:space="0" w:color="auto"/>
              <w:bottom w:val="single" w:sz="4" w:space="0" w:color="000000"/>
              <w:right w:val="single" w:sz="4" w:space="0" w:color="auto"/>
            </w:tcBorders>
            <w:shd w:val="clear" w:color="000000" w:fill="B7DEE8"/>
            <w:noWrap/>
            <w:textDirection w:val="btLr"/>
            <w:vAlign w:val="center"/>
            <w:hideMark/>
          </w:tcPr>
          <w:p w:rsidR="002B2DA3" w:rsidRPr="00497B7A" w:rsidRDefault="002B2DA3" w:rsidP="002B2DA3">
            <w:pPr>
              <w:jc w:val="center"/>
              <w:rPr>
                <w:rFonts w:ascii="Garamond" w:eastAsia="Times New Roman" w:hAnsi="Garamond" w:cs="Calibri"/>
                <w:b/>
                <w:bCs/>
                <w:color w:val="000000"/>
                <w:sz w:val="20"/>
                <w:szCs w:val="20"/>
              </w:rPr>
            </w:pPr>
            <w:r w:rsidRPr="00497B7A">
              <w:rPr>
                <w:rFonts w:ascii="Garamond" w:eastAsia="Times New Roman" w:hAnsi="Garamond" w:cs="Calibri"/>
                <w:b/>
                <w:bCs/>
                <w:color w:val="000000"/>
                <w:sz w:val="20"/>
                <w:szCs w:val="20"/>
              </w:rPr>
              <w:t>BRICS</w:t>
            </w:r>
          </w:p>
        </w:tc>
        <w:tc>
          <w:tcPr>
            <w:tcW w:w="2197" w:type="dxa"/>
            <w:tcBorders>
              <w:top w:val="single" w:sz="4" w:space="0" w:color="auto"/>
              <w:left w:val="nil"/>
              <w:bottom w:val="nil"/>
              <w:right w:val="single" w:sz="4" w:space="0" w:color="auto"/>
            </w:tcBorders>
            <w:shd w:val="clear" w:color="000000" w:fill="DAEEF3"/>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Brazil</w:t>
            </w:r>
          </w:p>
        </w:tc>
        <w:tc>
          <w:tcPr>
            <w:tcW w:w="1727"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997.8 </w:t>
            </w:r>
          </w:p>
        </w:tc>
        <w:tc>
          <w:tcPr>
            <w:tcW w:w="1727"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971.6 </w:t>
            </w:r>
          </w:p>
        </w:tc>
        <w:tc>
          <w:tcPr>
            <w:tcW w:w="1774"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(2.6)</w:t>
            </w:r>
          </w:p>
        </w:tc>
      </w:tr>
      <w:tr w:rsidR="002B2DA3" w:rsidRPr="00497B7A" w:rsidTr="002B2DA3">
        <w:trPr>
          <w:trHeight w:val="223"/>
        </w:trPr>
        <w:tc>
          <w:tcPr>
            <w:tcW w:w="914" w:type="dxa"/>
            <w:vMerge/>
            <w:tcBorders>
              <w:top w:val="nil"/>
              <w:left w:val="single" w:sz="4" w:space="0" w:color="auto"/>
              <w:bottom w:val="single" w:sz="4" w:space="0" w:color="000000"/>
              <w:right w:val="single" w:sz="4" w:space="0" w:color="auto"/>
            </w:tcBorders>
            <w:vAlign w:val="center"/>
            <w:hideMark/>
          </w:tcPr>
          <w:p w:rsidR="002B2DA3" w:rsidRPr="00497B7A" w:rsidRDefault="002B2DA3" w:rsidP="002B2DA3">
            <w:pPr>
              <w:rPr>
                <w:rFonts w:ascii="Garamond" w:eastAsia="Times New Roman" w:hAnsi="Garamond" w:cs="Calibri"/>
                <w:b/>
                <w:bCs/>
                <w:color w:val="000000"/>
                <w:sz w:val="20"/>
                <w:szCs w:val="20"/>
              </w:rPr>
            </w:pPr>
          </w:p>
        </w:tc>
        <w:tc>
          <w:tcPr>
            <w:tcW w:w="2197" w:type="dxa"/>
            <w:tcBorders>
              <w:top w:val="nil"/>
              <w:left w:val="nil"/>
              <w:bottom w:val="nil"/>
              <w:right w:val="single" w:sz="4" w:space="0" w:color="auto"/>
            </w:tcBorders>
            <w:shd w:val="clear" w:color="000000" w:fill="DAEEF3"/>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Russia</w:t>
            </w:r>
          </w:p>
        </w:tc>
        <w:tc>
          <w:tcPr>
            <w:tcW w:w="1727"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607.9 </w:t>
            </w:r>
          </w:p>
        </w:tc>
        <w:tc>
          <w:tcPr>
            <w:tcW w:w="1727"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612.6 </w:t>
            </w:r>
          </w:p>
        </w:tc>
        <w:tc>
          <w:tcPr>
            <w:tcW w:w="1774"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0.8 </w:t>
            </w:r>
          </w:p>
        </w:tc>
      </w:tr>
      <w:tr w:rsidR="002B2DA3" w:rsidRPr="00497B7A" w:rsidTr="002B2DA3">
        <w:trPr>
          <w:trHeight w:val="223"/>
        </w:trPr>
        <w:tc>
          <w:tcPr>
            <w:tcW w:w="914" w:type="dxa"/>
            <w:vMerge/>
            <w:tcBorders>
              <w:top w:val="nil"/>
              <w:left w:val="single" w:sz="4" w:space="0" w:color="auto"/>
              <w:bottom w:val="single" w:sz="4" w:space="0" w:color="000000"/>
              <w:right w:val="single" w:sz="4" w:space="0" w:color="auto"/>
            </w:tcBorders>
            <w:vAlign w:val="center"/>
            <w:hideMark/>
          </w:tcPr>
          <w:p w:rsidR="002B2DA3" w:rsidRPr="00497B7A" w:rsidRDefault="002B2DA3" w:rsidP="002B2DA3">
            <w:pPr>
              <w:rPr>
                <w:rFonts w:ascii="Garamond" w:eastAsia="Times New Roman" w:hAnsi="Garamond" w:cs="Calibri"/>
                <w:b/>
                <w:bCs/>
                <w:color w:val="000000"/>
                <w:sz w:val="20"/>
                <w:szCs w:val="20"/>
              </w:rPr>
            </w:pPr>
          </w:p>
        </w:tc>
        <w:tc>
          <w:tcPr>
            <w:tcW w:w="2197" w:type="dxa"/>
            <w:tcBorders>
              <w:top w:val="nil"/>
              <w:left w:val="nil"/>
              <w:bottom w:val="nil"/>
              <w:right w:val="single" w:sz="4" w:space="0" w:color="auto"/>
            </w:tcBorders>
            <w:shd w:val="clear" w:color="000000" w:fill="DAEEF3"/>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India</w:t>
            </w:r>
          </w:p>
        </w:tc>
        <w:tc>
          <w:tcPr>
            <w:tcW w:w="1727"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1,977.0 </w:t>
            </w:r>
          </w:p>
        </w:tc>
        <w:tc>
          <w:tcPr>
            <w:tcW w:w="1727"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1,986.6 </w:t>
            </w:r>
          </w:p>
        </w:tc>
        <w:tc>
          <w:tcPr>
            <w:tcW w:w="1774"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0.5 </w:t>
            </w:r>
          </w:p>
        </w:tc>
      </w:tr>
      <w:tr w:rsidR="002B2DA3" w:rsidRPr="00497B7A" w:rsidTr="002B2DA3">
        <w:trPr>
          <w:trHeight w:val="223"/>
        </w:trPr>
        <w:tc>
          <w:tcPr>
            <w:tcW w:w="914" w:type="dxa"/>
            <w:vMerge/>
            <w:tcBorders>
              <w:top w:val="nil"/>
              <w:left w:val="single" w:sz="4" w:space="0" w:color="auto"/>
              <w:bottom w:val="single" w:sz="4" w:space="0" w:color="000000"/>
              <w:right w:val="single" w:sz="4" w:space="0" w:color="auto"/>
            </w:tcBorders>
            <w:vAlign w:val="center"/>
            <w:hideMark/>
          </w:tcPr>
          <w:p w:rsidR="002B2DA3" w:rsidRPr="00497B7A" w:rsidRDefault="002B2DA3" w:rsidP="002B2DA3">
            <w:pPr>
              <w:rPr>
                <w:rFonts w:ascii="Garamond" w:eastAsia="Times New Roman" w:hAnsi="Garamond" w:cs="Calibri"/>
                <w:b/>
                <w:bCs/>
                <w:color w:val="000000"/>
                <w:sz w:val="20"/>
                <w:szCs w:val="20"/>
              </w:rPr>
            </w:pPr>
          </w:p>
        </w:tc>
        <w:tc>
          <w:tcPr>
            <w:tcW w:w="2197" w:type="dxa"/>
            <w:tcBorders>
              <w:top w:val="nil"/>
              <w:left w:val="nil"/>
              <w:bottom w:val="nil"/>
              <w:right w:val="single" w:sz="4" w:space="0" w:color="auto"/>
            </w:tcBorders>
            <w:shd w:val="clear" w:color="000000" w:fill="DAEEF3"/>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China</w:t>
            </w:r>
          </w:p>
        </w:tc>
        <w:tc>
          <w:tcPr>
            <w:tcW w:w="1727"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5,665.9 </w:t>
            </w:r>
          </w:p>
        </w:tc>
        <w:tc>
          <w:tcPr>
            <w:tcW w:w="1727"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6,695.4 </w:t>
            </w:r>
          </w:p>
        </w:tc>
        <w:tc>
          <w:tcPr>
            <w:tcW w:w="1774" w:type="dxa"/>
            <w:tcBorders>
              <w:top w:val="nil"/>
              <w:left w:val="nil"/>
              <w:bottom w:val="nil"/>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18.2 </w:t>
            </w:r>
          </w:p>
        </w:tc>
      </w:tr>
      <w:tr w:rsidR="002B2DA3" w:rsidRPr="00497B7A" w:rsidTr="002B2DA3">
        <w:trPr>
          <w:trHeight w:val="223"/>
        </w:trPr>
        <w:tc>
          <w:tcPr>
            <w:tcW w:w="914" w:type="dxa"/>
            <w:vMerge/>
            <w:tcBorders>
              <w:top w:val="nil"/>
              <w:left w:val="single" w:sz="4" w:space="0" w:color="auto"/>
              <w:bottom w:val="single" w:sz="4" w:space="0" w:color="000000"/>
              <w:right w:val="single" w:sz="4" w:space="0" w:color="auto"/>
            </w:tcBorders>
            <w:vAlign w:val="center"/>
            <w:hideMark/>
          </w:tcPr>
          <w:p w:rsidR="002B2DA3" w:rsidRPr="00497B7A" w:rsidRDefault="002B2DA3" w:rsidP="002B2DA3">
            <w:pPr>
              <w:rPr>
                <w:rFonts w:ascii="Garamond" w:eastAsia="Times New Roman" w:hAnsi="Garamond" w:cs="Calibri"/>
                <w:b/>
                <w:bCs/>
                <w:color w:val="000000"/>
                <w:sz w:val="20"/>
                <w:szCs w:val="20"/>
              </w:rPr>
            </w:pPr>
          </w:p>
        </w:tc>
        <w:tc>
          <w:tcPr>
            <w:tcW w:w="2197" w:type="dxa"/>
            <w:tcBorders>
              <w:top w:val="nil"/>
              <w:left w:val="nil"/>
              <w:bottom w:val="single" w:sz="4" w:space="0" w:color="auto"/>
              <w:right w:val="single" w:sz="4" w:space="0" w:color="auto"/>
            </w:tcBorders>
            <w:shd w:val="clear" w:color="000000" w:fill="DAEEF3"/>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South Africa</w:t>
            </w:r>
          </w:p>
        </w:tc>
        <w:tc>
          <w:tcPr>
            <w:tcW w:w="1727" w:type="dxa"/>
            <w:tcBorders>
              <w:top w:val="nil"/>
              <w:left w:val="nil"/>
              <w:bottom w:val="single" w:sz="4" w:space="0" w:color="auto"/>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497.6 </w:t>
            </w:r>
          </w:p>
        </w:tc>
        <w:tc>
          <w:tcPr>
            <w:tcW w:w="1727" w:type="dxa"/>
            <w:tcBorders>
              <w:top w:val="nil"/>
              <w:left w:val="nil"/>
              <w:bottom w:val="single" w:sz="4" w:space="0" w:color="auto"/>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478.1 </w:t>
            </w:r>
          </w:p>
        </w:tc>
        <w:tc>
          <w:tcPr>
            <w:tcW w:w="1774" w:type="dxa"/>
            <w:tcBorders>
              <w:top w:val="nil"/>
              <w:left w:val="nil"/>
              <w:bottom w:val="single" w:sz="4" w:space="0" w:color="auto"/>
              <w:right w:val="single" w:sz="4" w:space="0" w:color="auto"/>
            </w:tcBorders>
            <w:shd w:val="clear" w:color="auto" w:fill="auto"/>
            <w:noWrap/>
            <w:vAlign w:val="center"/>
            <w:hideMark/>
          </w:tcPr>
          <w:p w:rsidR="002B2DA3" w:rsidRPr="00497B7A" w:rsidRDefault="002B2DA3" w:rsidP="002B2DA3">
            <w:pPr>
              <w:rPr>
                <w:rFonts w:ascii="Garamond" w:eastAsia="Times New Roman" w:hAnsi="Garamond" w:cs="Calibri"/>
                <w:color w:val="000000"/>
                <w:sz w:val="20"/>
                <w:szCs w:val="20"/>
              </w:rPr>
            </w:pPr>
            <w:r w:rsidRPr="00497B7A">
              <w:rPr>
                <w:rFonts w:ascii="Garamond" w:eastAsia="Times New Roman" w:hAnsi="Garamond" w:cs="Calibri"/>
                <w:color w:val="000000"/>
                <w:sz w:val="20"/>
                <w:szCs w:val="20"/>
              </w:rPr>
              <w:t xml:space="preserve">                       (3.9)</w:t>
            </w:r>
          </w:p>
        </w:tc>
      </w:tr>
    </w:tbl>
    <w:p w:rsidR="002B2DA3" w:rsidRPr="00F23F4F" w:rsidRDefault="002B2DA3" w:rsidP="002B2DA3">
      <w:pPr>
        <w:rPr>
          <w:rFonts w:ascii="Garamond" w:hAnsi="Garamond"/>
          <w:sz w:val="20"/>
        </w:rPr>
      </w:pPr>
      <w:r w:rsidRPr="00F23F4F">
        <w:rPr>
          <w:rFonts w:ascii="Garamond" w:hAnsi="Garamond"/>
          <w:b/>
          <w:sz w:val="20"/>
        </w:rPr>
        <w:t>Source:</w:t>
      </w:r>
      <w:r>
        <w:rPr>
          <w:rFonts w:ascii="Garamond" w:hAnsi="Garamond"/>
          <w:b/>
          <w:sz w:val="20"/>
        </w:rPr>
        <w:t xml:space="preserve"> </w:t>
      </w:r>
      <w:r>
        <w:rPr>
          <w:rFonts w:ascii="Garamond" w:hAnsi="Garamond"/>
          <w:sz w:val="20"/>
        </w:rPr>
        <w:t>Bloomberg</w:t>
      </w:r>
    </w:p>
    <w:p w:rsidR="002B2DA3" w:rsidRPr="00F23F4F" w:rsidRDefault="002B2DA3" w:rsidP="002B2DA3">
      <w:pPr>
        <w:rPr>
          <w:rFonts w:ascii="Garamond" w:hAnsi="Garamond"/>
          <w:sz w:val="20"/>
        </w:rPr>
      </w:pPr>
    </w:p>
    <w:p w:rsidR="002B2DA3" w:rsidRPr="009464F3" w:rsidRDefault="002B2DA3" w:rsidP="002B2DA3">
      <w:pPr>
        <w:jc w:val="both"/>
        <w:outlineLvl w:val="0"/>
        <w:rPr>
          <w:rFonts w:ascii="Garamond" w:hAnsi="Garamond"/>
          <w:b/>
        </w:rPr>
      </w:pPr>
      <w:r w:rsidRPr="009464F3">
        <w:rPr>
          <w:rFonts w:ascii="Garamond" w:hAnsi="Garamond"/>
          <w:b/>
        </w:rPr>
        <w:t>Equity Derivatives:</w:t>
      </w:r>
    </w:p>
    <w:p w:rsidR="002B2DA3" w:rsidRPr="009464F3" w:rsidRDefault="002B2DA3" w:rsidP="002B2DA3">
      <w:pPr>
        <w:jc w:val="both"/>
        <w:rPr>
          <w:rFonts w:ascii="Garamond" w:hAnsi="Garamond"/>
        </w:rPr>
      </w:pPr>
    </w:p>
    <w:p w:rsidR="002B2DA3" w:rsidRPr="009464F3" w:rsidRDefault="002B2DA3" w:rsidP="002B2DA3">
      <w:pPr>
        <w:jc w:val="both"/>
        <w:rPr>
          <w:rFonts w:ascii="Garamond" w:hAnsi="Garamond"/>
        </w:rPr>
      </w:pPr>
      <w:r w:rsidRPr="009464F3">
        <w:rPr>
          <w:rFonts w:ascii="Garamond" w:hAnsi="Garamond"/>
        </w:rPr>
        <w:t xml:space="preserve">As per the latest data available from the World Federation of Exchanges, during </w:t>
      </w:r>
      <w:r>
        <w:rPr>
          <w:rFonts w:ascii="Garamond" w:hAnsi="Garamond"/>
        </w:rPr>
        <w:t xml:space="preserve">January 2019 </w:t>
      </w:r>
      <w:r w:rsidRPr="009464F3">
        <w:rPr>
          <w:rFonts w:ascii="Garamond" w:hAnsi="Garamond"/>
        </w:rPr>
        <w:t>the following performance was recorded in equity derivatives markets across the globe (Table A</w:t>
      </w:r>
      <w:r>
        <w:rPr>
          <w:rFonts w:ascii="Garamond" w:hAnsi="Garamond"/>
        </w:rPr>
        <w:t>5 and A6</w:t>
      </w:r>
      <w:r w:rsidRPr="009464F3">
        <w:rPr>
          <w:rFonts w:ascii="Garamond" w:hAnsi="Garamond"/>
        </w:rPr>
        <w:t>):</w:t>
      </w:r>
    </w:p>
    <w:p w:rsidR="002B2DA3" w:rsidRPr="009464F3" w:rsidRDefault="002B2DA3" w:rsidP="002B2DA3">
      <w:pPr>
        <w:jc w:val="both"/>
        <w:rPr>
          <w:rFonts w:ascii="Garamond" w:hAnsi="Garamond"/>
          <w:b/>
        </w:rPr>
      </w:pPr>
    </w:p>
    <w:p w:rsidR="002B2DA3" w:rsidRPr="009464F3" w:rsidRDefault="002B2DA3" w:rsidP="002B2DA3">
      <w:pPr>
        <w:jc w:val="both"/>
        <w:outlineLvl w:val="0"/>
        <w:rPr>
          <w:rFonts w:ascii="Garamond" w:hAnsi="Garamond"/>
          <w:b/>
        </w:rPr>
      </w:pPr>
      <w:r w:rsidRPr="009464F3">
        <w:rPr>
          <w:rFonts w:ascii="Garamond" w:hAnsi="Garamond"/>
          <w:b/>
        </w:rPr>
        <w:t>Single Stock Options:</w:t>
      </w:r>
    </w:p>
    <w:p w:rsidR="002B2DA3" w:rsidRPr="00302574" w:rsidRDefault="002B2DA3" w:rsidP="00C0009A">
      <w:pPr>
        <w:pStyle w:val="ListParagraph"/>
        <w:numPr>
          <w:ilvl w:val="0"/>
          <w:numId w:val="12"/>
        </w:numPr>
        <w:spacing w:after="0" w:line="240" w:lineRule="auto"/>
        <w:ind w:left="360"/>
        <w:jc w:val="both"/>
        <w:rPr>
          <w:rFonts w:ascii="Garamond" w:hAnsi="Garamond"/>
          <w:sz w:val="24"/>
        </w:rPr>
      </w:pPr>
      <w:r w:rsidRPr="002607F9">
        <w:rPr>
          <w:rFonts w:ascii="Garamond" w:hAnsi="Garamond"/>
          <w:sz w:val="24"/>
        </w:rPr>
        <w:t>Amongst exchanges in the Americas, BM&amp;FBOVESPA recorded trading of 89.2 million contracts, followed by Nasdaq - US (61.3 million contracts) and Chicago Board Options Exchange (40.9 million contracts).</w:t>
      </w:r>
    </w:p>
    <w:p w:rsidR="002B2DA3" w:rsidRPr="00302574" w:rsidRDefault="002B2DA3" w:rsidP="00C0009A">
      <w:pPr>
        <w:pStyle w:val="ListParagraph"/>
        <w:numPr>
          <w:ilvl w:val="0"/>
          <w:numId w:val="12"/>
        </w:numPr>
        <w:spacing w:after="0" w:line="240" w:lineRule="auto"/>
        <w:ind w:left="360"/>
        <w:jc w:val="both"/>
        <w:rPr>
          <w:rFonts w:ascii="Garamond" w:hAnsi="Garamond"/>
          <w:sz w:val="24"/>
        </w:rPr>
      </w:pPr>
      <w:r w:rsidRPr="002607F9">
        <w:rPr>
          <w:rFonts w:ascii="Garamond" w:hAnsi="Garamond"/>
          <w:sz w:val="24"/>
        </w:rPr>
        <w:t>Amongst exchanges in the Europe - Africa - Middle East, EUREX recorded trading of 17.3 million contracts, followed by Euronext (5.9 million contracts) and Nasdaq Nordic Exchanges (2.4 million contracts).</w:t>
      </w:r>
    </w:p>
    <w:p w:rsidR="002B2DA3" w:rsidRPr="002607F9" w:rsidRDefault="002B2DA3" w:rsidP="00C0009A">
      <w:pPr>
        <w:pStyle w:val="ListParagraph"/>
        <w:numPr>
          <w:ilvl w:val="0"/>
          <w:numId w:val="12"/>
        </w:numPr>
        <w:spacing w:after="0" w:line="240" w:lineRule="auto"/>
        <w:ind w:left="360"/>
        <w:jc w:val="both"/>
        <w:rPr>
          <w:rFonts w:ascii="Garamond" w:hAnsi="Garamond"/>
          <w:sz w:val="24"/>
        </w:rPr>
      </w:pPr>
      <w:r w:rsidRPr="002607F9">
        <w:rPr>
          <w:rFonts w:ascii="Garamond" w:hAnsi="Garamond"/>
          <w:sz w:val="24"/>
        </w:rPr>
        <w:t>Amongst exchanges in the Asia Pacific, the National Stock Exchange of India recorded trading of 18.7 million contracts, followed by Hong Kong Exchanges and Clearing (9.7 million contracts) and Australian Securities Exchange (5.2 million contracts).</w:t>
      </w:r>
    </w:p>
    <w:p w:rsidR="002B2DA3" w:rsidRPr="00C577FE" w:rsidRDefault="002B2DA3" w:rsidP="002B2DA3">
      <w:pPr>
        <w:pStyle w:val="ListParagraph"/>
        <w:spacing w:after="0" w:line="240" w:lineRule="auto"/>
        <w:ind w:left="360"/>
        <w:jc w:val="both"/>
        <w:rPr>
          <w:rFonts w:ascii="Garamond" w:hAnsi="Garamond"/>
          <w:sz w:val="24"/>
        </w:rPr>
      </w:pPr>
    </w:p>
    <w:p w:rsidR="002B2DA3" w:rsidRPr="00440919" w:rsidRDefault="002B2DA3" w:rsidP="002B2DA3">
      <w:pPr>
        <w:jc w:val="both"/>
        <w:rPr>
          <w:rFonts w:ascii="Garamond" w:hAnsi="Garamond"/>
          <w:b/>
          <w:color w:val="0000FF"/>
        </w:rPr>
      </w:pPr>
    </w:p>
    <w:p w:rsidR="00AD7686" w:rsidRDefault="00AD7686">
      <w:pPr>
        <w:rPr>
          <w:rFonts w:ascii="Garamond" w:hAnsi="Garamond"/>
          <w:b/>
        </w:rPr>
      </w:pPr>
      <w:r>
        <w:rPr>
          <w:rFonts w:ascii="Garamond" w:hAnsi="Garamond"/>
          <w:b/>
        </w:rPr>
        <w:br w:type="page"/>
      </w:r>
    </w:p>
    <w:p w:rsidR="002B2DA3" w:rsidRPr="000C1DE5" w:rsidRDefault="002B2DA3" w:rsidP="002B2DA3">
      <w:pPr>
        <w:jc w:val="both"/>
        <w:outlineLvl w:val="0"/>
        <w:rPr>
          <w:rFonts w:ascii="Garamond" w:hAnsi="Garamond"/>
          <w:b/>
        </w:rPr>
      </w:pPr>
      <w:r w:rsidRPr="000C1DE5">
        <w:rPr>
          <w:rFonts w:ascii="Garamond" w:hAnsi="Garamond"/>
          <w:b/>
        </w:rPr>
        <w:lastRenderedPageBreak/>
        <w:t>Single Stock Futures:</w:t>
      </w:r>
    </w:p>
    <w:p w:rsidR="002B2DA3" w:rsidRPr="00D73581" w:rsidRDefault="002B2DA3" w:rsidP="00C0009A">
      <w:pPr>
        <w:pStyle w:val="ListParagraph"/>
        <w:numPr>
          <w:ilvl w:val="0"/>
          <w:numId w:val="12"/>
        </w:numPr>
        <w:spacing w:after="0" w:line="240" w:lineRule="auto"/>
        <w:ind w:left="360"/>
        <w:jc w:val="both"/>
        <w:rPr>
          <w:rFonts w:ascii="Garamond" w:hAnsi="Garamond"/>
          <w:sz w:val="24"/>
        </w:rPr>
      </w:pPr>
      <w:r w:rsidRPr="00D730D7">
        <w:rPr>
          <w:rFonts w:ascii="Garamond" w:hAnsi="Garamond"/>
          <w:sz w:val="24"/>
        </w:rPr>
        <w:t xml:space="preserve">Amongst </w:t>
      </w:r>
      <w:r w:rsidRPr="00D73581">
        <w:rPr>
          <w:rFonts w:ascii="Garamond" w:hAnsi="Garamond"/>
          <w:sz w:val="24"/>
        </w:rPr>
        <w:t>exchanges in the Americas, Bourse de Montreal recorded trading of 0.3 million contracts, followed by Bolsa de Valores de Colombia (</w:t>
      </w:r>
      <w:r w:rsidRPr="00302574">
        <w:rPr>
          <w:rFonts w:ascii="Garamond" w:hAnsi="Garamond"/>
          <w:sz w:val="24"/>
        </w:rPr>
        <w:t xml:space="preserve">4.7 thousand </w:t>
      </w:r>
      <w:r w:rsidRPr="00D73581">
        <w:rPr>
          <w:rFonts w:ascii="Garamond" w:hAnsi="Garamond"/>
          <w:sz w:val="24"/>
        </w:rPr>
        <w:t>contracts) and MexDer (</w:t>
      </w:r>
      <w:r w:rsidRPr="00302574">
        <w:rPr>
          <w:rFonts w:ascii="Garamond" w:hAnsi="Garamond"/>
          <w:sz w:val="24"/>
        </w:rPr>
        <w:t xml:space="preserve">1.1 thousand </w:t>
      </w:r>
      <w:r w:rsidRPr="00D73581">
        <w:rPr>
          <w:rFonts w:ascii="Garamond" w:hAnsi="Garamond"/>
          <w:sz w:val="24"/>
        </w:rPr>
        <w:t xml:space="preserve">contracts). </w:t>
      </w:r>
    </w:p>
    <w:p w:rsidR="002B2DA3" w:rsidRPr="00D73581" w:rsidRDefault="002B2DA3" w:rsidP="00C0009A">
      <w:pPr>
        <w:pStyle w:val="ListParagraph"/>
        <w:numPr>
          <w:ilvl w:val="0"/>
          <w:numId w:val="12"/>
        </w:numPr>
        <w:spacing w:after="0" w:line="240" w:lineRule="auto"/>
        <w:ind w:left="360"/>
        <w:jc w:val="both"/>
        <w:rPr>
          <w:rFonts w:ascii="Garamond" w:hAnsi="Garamond"/>
          <w:sz w:val="24"/>
        </w:rPr>
      </w:pPr>
      <w:r w:rsidRPr="00D730D7">
        <w:rPr>
          <w:rFonts w:ascii="Garamond" w:hAnsi="Garamond"/>
          <w:sz w:val="24"/>
        </w:rPr>
        <w:t xml:space="preserve">Amongst </w:t>
      </w:r>
      <w:r w:rsidRPr="000C1DE5">
        <w:rPr>
          <w:rFonts w:ascii="Garamond" w:hAnsi="Garamond"/>
          <w:sz w:val="24"/>
        </w:rPr>
        <w:t xml:space="preserve">exchanges in the Europe - Africa - Middle East, </w:t>
      </w:r>
      <w:r w:rsidRPr="00D73581">
        <w:rPr>
          <w:rFonts w:ascii="Garamond" w:hAnsi="Garamond"/>
          <w:sz w:val="24"/>
        </w:rPr>
        <w:t>EUREX recorded trading of 16.6 million contracts, followed by Moscow Exchange (14.3 million contracts) and Borsa Istanbul (8.7 million contracts).</w:t>
      </w:r>
    </w:p>
    <w:p w:rsidR="002B2DA3" w:rsidRPr="005D55B3" w:rsidRDefault="002B2DA3" w:rsidP="00C0009A">
      <w:pPr>
        <w:pStyle w:val="ListParagraph"/>
        <w:numPr>
          <w:ilvl w:val="0"/>
          <w:numId w:val="12"/>
        </w:numPr>
        <w:spacing w:after="0" w:line="240" w:lineRule="auto"/>
        <w:ind w:left="360"/>
        <w:jc w:val="both"/>
        <w:rPr>
          <w:rFonts w:ascii="Garamond" w:hAnsi="Garamond"/>
          <w:sz w:val="24"/>
        </w:rPr>
      </w:pPr>
      <w:r w:rsidRPr="00D730D7">
        <w:rPr>
          <w:rFonts w:ascii="Garamond" w:hAnsi="Garamond"/>
          <w:sz w:val="24"/>
        </w:rPr>
        <w:t xml:space="preserve">Amongst </w:t>
      </w:r>
      <w:r w:rsidRPr="000C1DE5">
        <w:rPr>
          <w:rFonts w:ascii="Garamond" w:hAnsi="Garamond"/>
          <w:sz w:val="24"/>
        </w:rPr>
        <w:t xml:space="preserve">exchanges in the Asia Pacific, </w:t>
      </w:r>
      <w:r w:rsidRPr="00D73581">
        <w:rPr>
          <w:rFonts w:ascii="Garamond" w:hAnsi="Garamond"/>
          <w:sz w:val="24"/>
        </w:rPr>
        <w:t>Korea Exchange recorded trading of 60.9 million contracts, followed by National Stock Exchange of India (21.8 million contracts) and Thailand Futures Exchange (3.6 million contracts).</w:t>
      </w:r>
    </w:p>
    <w:p w:rsidR="002B2DA3" w:rsidRPr="00440919" w:rsidRDefault="002B2DA3" w:rsidP="002B2DA3">
      <w:pPr>
        <w:jc w:val="both"/>
        <w:rPr>
          <w:rFonts w:ascii="Garamond" w:hAnsi="Garamond"/>
          <w:b/>
          <w:color w:val="0000FF"/>
        </w:rPr>
      </w:pPr>
    </w:p>
    <w:p w:rsidR="002B2DA3" w:rsidRPr="007D07F2" w:rsidRDefault="002B2DA3" w:rsidP="002B2DA3">
      <w:pPr>
        <w:jc w:val="both"/>
        <w:outlineLvl w:val="0"/>
        <w:rPr>
          <w:rFonts w:ascii="Garamond" w:hAnsi="Garamond"/>
          <w:b/>
        </w:rPr>
      </w:pPr>
      <w:r w:rsidRPr="007D07F2">
        <w:rPr>
          <w:rFonts w:ascii="Garamond" w:hAnsi="Garamond"/>
          <w:b/>
        </w:rPr>
        <w:t>Index Options:</w:t>
      </w:r>
    </w:p>
    <w:p w:rsidR="002B2DA3" w:rsidRPr="0088777D" w:rsidRDefault="002B2DA3" w:rsidP="00C0009A">
      <w:pPr>
        <w:pStyle w:val="ListParagraph"/>
        <w:numPr>
          <w:ilvl w:val="0"/>
          <w:numId w:val="12"/>
        </w:numPr>
        <w:spacing w:after="0" w:line="240" w:lineRule="auto"/>
        <w:ind w:left="360"/>
        <w:jc w:val="both"/>
        <w:rPr>
          <w:rFonts w:ascii="Garamond" w:hAnsi="Garamond"/>
          <w:sz w:val="24"/>
        </w:rPr>
      </w:pPr>
      <w:r w:rsidRPr="00D730D7">
        <w:rPr>
          <w:rFonts w:ascii="Garamond" w:hAnsi="Garamond"/>
          <w:sz w:val="24"/>
        </w:rPr>
        <w:t xml:space="preserve">Amongst </w:t>
      </w:r>
      <w:r w:rsidRPr="007D07F2">
        <w:rPr>
          <w:rFonts w:ascii="Garamond" w:hAnsi="Garamond"/>
          <w:sz w:val="24"/>
        </w:rPr>
        <w:t xml:space="preserve">exchanges in the Americas, </w:t>
      </w:r>
      <w:r w:rsidRPr="0088777D">
        <w:rPr>
          <w:rFonts w:ascii="Garamond" w:hAnsi="Garamond"/>
          <w:sz w:val="24"/>
        </w:rPr>
        <w:t>Chicago Board Options Exchange recorded trading of 40.7 million contracts, followed by CME Group (14 million contracts) and BM&amp;FBOVESPA (2.7 million contracts).</w:t>
      </w:r>
    </w:p>
    <w:p w:rsidR="002B2DA3" w:rsidRPr="0088777D" w:rsidRDefault="002B2DA3" w:rsidP="00C0009A">
      <w:pPr>
        <w:pStyle w:val="ListParagraph"/>
        <w:numPr>
          <w:ilvl w:val="0"/>
          <w:numId w:val="12"/>
        </w:numPr>
        <w:spacing w:after="0" w:line="240" w:lineRule="auto"/>
        <w:ind w:left="360"/>
        <w:jc w:val="both"/>
        <w:rPr>
          <w:rFonts w:ascii="Garamond" w:hAnsi="Garamond"/>
          <w:sz w:val="24"/>
        </w:rPr>
      </w:pPr>
      <w:r w:rsidRPr="00D730D7">
        <w:rPr>
          <w:rFonts w:ascii="Garamond" w:hAnsi="Garamond"/>
          <w:sz w:val="24"/>
        </w:rPr>
        <w:t xml:space="preserve">Amongst </w:t>
      </w:r>
      <w:r w:rsidRPr="007D07F2">
        <w:rPr>
          <w:rFonts w:ascii="Garamond" w:hAnsi="Garamond"/>
          <w:sz w:val="24"/>
        </w:rPr>
        <w:t xml:space="preserve">exchanges in the Europe - Africa - Middle East, </w:t>
      </w:r>
      <w:r w:rsidRPr="0088777D">
        <w:rPr>
          <w:rFonts w:ascii="Garamond" w:hAnsi="Garamond"/>
          <w:sz w:val="24"/>
        </w:rPr>
        <w:t>EUREX recorded trading of 35.3 million contracts, followed by Tel-Aviv Stock Exchange (2.3 million contracts) and Euronext (1.5 million contracts).</w:t>
      </w:r>
    </w:p>
    <w:p w:rsidR="002B2DA3" w:rsidRPr="007D07F2" w:rsidRDefault="002B2DA3" w:rsidP="00C0009A">
      <w:pPr>
        <w:pStyle w:val="ListParagraph"/>
        <w:numPr>
          <w:ilvl w:val="0"/>
          <w:numId w:val="12"/>
        </w:numPr>
        <w:spacing w:after="0" w:line="240" w:lineRule="auto"/>
        <w:ind w:left="360"/>
        <w:jc w:val="both"/>
        <w:rPr>
          <w:rFonts w:ascii="Garamond" w:hAnsi="Garamond"/>
          <w:sz w:val="24"/>
        </w:rPr>
      </w:pPr>
      <w:r w:rsidRPr="00D730D7">
        <w:rPr>
          <w:rFonts w:ascii="Garamond" w:hAnsi="Garamond"/>
          <w:sz w:val="24"/>
        </w:rPr>
        <w:t xml:space="preserve">Amongst </w:t>
      </w:r>
      <w:r w:rsidRPr="007D07F2">
        <w:rPr>
          <w:rFonts w:ascii="Garamond" w:hAnsi="Garamond"/>
          <w:sz w:val="24"/>
        </w:rPr>
        <w:t xml:space="preserve">exchanges in the Asia Pacific, </w:t>
      </w:r>
      <w:r w:rsidRPr="0088777D">
        <w:rPr>
          <w:rFonts w:ascii="Garamond" w:hAnsi="Garamond"/>
          <w:sz w:val="24"/>
        </w:rPr>
        <w:t>National Stock Exchange of India recorded trading of 325.7 million contracts, followed by Korea Exchange (64 million contracts) and TAIFEX (14.9 million contracts).</w:t>
      </w:r>
    </w:p>
    <w:p w:rsidR="002B2DA3" w:rsidRPr="00440919" w:rsidRDefault="002B2DA3" w:rsidP="002B2DA3">
      <w:pPr>
        <w:jc w:val="both"/>
        <w:rPr>
          <w:rFonts w:ascii="Garamond" w:hAnsi="Garamond"/>
          <w:b/>
          <w:color w:val="0000FF"/>
        </w:rPr>
      </w:pPr>
    </w:p>
    <w:p w:rsidR="002B2DA3" w:rsidRPr="007D07F2" w:rsidRDefault="002B2DA3" w:rsidP="002B2DA3">
      <w:pPr>
        <w:jc w:val="both"/>
        <w:outlineLvl w:val="0"/>
        <w:rPr>
          <w:rFonts w:ascii="Garamond" w:hAnsi="Garamond"/>
          <w:b/>
        </w:rPr>
      </w:pPr>
      <w:r w:rsidRPr="007D07F2">
        <w:rPr>
          <w:rFonts w:ascii="Garamond" w:hAnsi="Garamond"/>
          <w:b/>
        </w:rPr>
        <w:t>Index Futures:</w:t>
      </w:r>
    </w:p>
    <w:p w:rsidR="002B2DA3" w:rsidRPr="00D73581" w:rsidRDefault="002B2DA3" w:rsidP="00C0009A">
      <w:pPr>
        <w:pStyle w:val="ListParagraph"/>
        <w:numPr>
          <w:ilvl w:val="0"/>
          <w:numId w:val="12"/>
        </w:numPr>
        <w:spacing w:after="0" w:line="240" w:lineRule="auto"/>
        <w:ind w:left="360"/>
        <w:jc w:val="both"/>
        <w:rPr>
          <w:rFonts w:ascii="Garamond" w:hAnsi="Garamond"/>
          <w:sz w:val="24"/>
        </w:rPr>
      </w:pPr>
      <w:r w:rsidRPr="00D73581">
        <w:rPr>
          <w:rFonts w:ascii="Garamond" w:hAnsi="Garamond"/>
          <w:sz w:val="24"/>
        </w:rPr>
        <w:t xml:space="preserve">Amongst exchanges in the Americas, BM&amp;FBOVESPA recorded trading of 105.6 million contracts, followed by CME Group (54.5 million contracts) and CBOE Futures Exchange (4.9 million contracts). </w:t>
      </w:r>
    </w:p>
    <w:p w:rsidR="002B2DA3" w:rsidRPr="00D73581" w:rsidRDefault="002B2DA3" w:rsidP="00C0009A">
      <w:pPr>
        <w:pStyle w:val="ListParagraph"/>
        <w:numPr>
          <w:ilvl w:val="0"/>
          <w:numId w:val="12"/>
        </w:numPr>
        <w:spacing w:after="0" w:line="240" w:lineRule="auto"/>
        <w:ind w:left="360"/>
        <w:jc w:val="both"/>
        <w:rPr>
          <w:rFonts w:ascii="Garamond" w:hAnsi="Garamond"/>
          <w:sz w:val="24"/>
        </w:rPr>
      </w:pPr>
      <w:r w:rsidRPr="00D73581">
        <w:rPr>
          <w:rFonts w:ascii="Garamond" w:hAnsi="Garamond"/>
          <w:sz w:val="24"/>
        </w:rPr>
        <w:t xml:space="preserve">Amongst exchanges in the Europe - Africa - Middle East, EUREX recorded trading of 34.3 million contracts, followed by Moscow Exchange (7.9 million contracts) and Borsa Istanbul (4.3 million contracts). </w:t>
      </w:r>
    </w:p>
    <w:p w:rsidR="002B2DA3" w:rsidRPr="00D73581" w:rsidRDefault="002B2DA3" w:rsidP="00C0009A">
      <w:pPr>
        <w:pStyle w:val="ListParagraph"/>
        <w:numPr>
          <w:ilvl w:val="0"/>
          <w:numId w:val="12"/>
        </w:numPr>
        <w:spacing w:after="0" w:line="240" w:lineRule="auto"/>
        <w:ind w:left="360"/>
        <w:jc w:val="both"/>
        <w:rPr>
          <w:rFonts w:ascii="Garamond" w:hAnsi="Garamond"/>
          <w:sz w:val="24"/>
        </w:rPr>
      </w:pPr>
      <w:r w:rsidRPr="00D730D7">
        <w:rPr>
          <w:rFonts w:ascii="Garamond" w:hAnsi="Garamond"/>
          <w:sz w:val="24"/>
        </w:rPr>
        <w:t xml:space="preserve">Amongst </w:t>
      </w:r>
      <w:r>
        <w:rPr>
          <w:rFonts w:ascii="Garamond" w:hAnsi="Garamond"/>
          <w:sz w:val="24"/>
        </w:rPr>
        <w:t xml:space="preserve">exchanges in the Asia Pacific, </w:t>
      </w:r>
      <w:r w:rsidRPr="00D73581">
        <w:rPr>
          <w:rFonts w:ascii="Garamond" w:hAnsi="Garamond"/>
          <w:sz w:val="24"/>
        </w:rPr>
        <w:t xml:space="preserve">Japan Exchange Group recorded trading of 24.9 million contracts, followed by Singapore Exchange (13.8 million contracts) and Hong Kong Exchanges and Clearing (10.6 million contracts). </w:t>
      </w:r>
    </w:p>
    <w:p w:rsidR="002B2DA3" w:rsidRPr="00E22788" w:rsidRDefault="002B2DA3" w:rsidP="002B2DA3">
      <w:pPr>
        <w:pStyle w:val="ListParagraph"/>
        <w:spacing w:after="0" w:line="240" w:lineRule="auto"/>
        <w:ind w:left="360"/>
        <w:jc w:val="both"/>
        <w:rPr>
          <w:rFonts w:ascii="Garamond" w:hAnsi="Garamond"/>
          <w:sz w:val="24"/>
        </w:rPr>
      </w:pPr>
    </w:p>
    <w:p w:rsidR="002B2DA3" w:rsidRPr="00B15615" w:rsidRDefault="002B2DA3" w:rsidP="002B2DA3">
      <w:pPr>
        <w:jc w:val="both"/>
        <w:outlineLvl w:val="0"/>
        <w:rPr>
          <w:rFonts w:ascii="Garamond" w:hAnsi="Garamond"/>
          <w:b/>
        </w:rPr>
      </w:pPr>
      <w:r w:rsidRPr="00B15615">
        <w:rPr>
          <w:rFonts w:ascii="Garamond" w:hAnsi="Garamond"/>
          <w:b/>
        </w:rPr>
        <w:t>Currency Derivatives:</w:t>
      </w:r>
    </w:p>
    <w:p w:rsidR="002B2DA3" w:rsidRPr="00B15615" w:rsidRDefault="002B2DA3" w:rsidP="002B2DA3">
      <w:pPr>
        <w:jc w:val="both"/>
        <w:rPr>
          <w:rFonts w:ascii="Garamond" w:hAnsi="Garamond"/>
        </w:rPr>
      </w:pPr>
    </w:p>
    <w:p w:rsidR="002B2DA3" w:rsidRPr="00B15615" w:rsidRDefault="002B2DA3" w:rsidP="002B2DA3">
      <w:pPr>
        <w:jc w:val="both"/>
        <w:rPr>
          <w:rFonts w:ascii="Garamond" w:hAnsi="Garamond"/>
        </w:rPr>
      </w:pPr>
      <w:r w:rsidRPr="00B15615">
        <w:rPr>
          <w:rFonts w:ascii="Garamond" w:hAnsi="Garamond"/>
        </w:rPr>
        <w:t xml:space="preserve">As per the latest data available from the World Federation of Exchanges, during </w:t>
      </w:r>
      <w:r>
        <w:rPr>
          <w:rFonts w:ascii="Garamond" w:hAnsi="Garamond"/>
        </w:rPr>
        <w:t>January 2019</w:t>
      </w:r>
      <w:r w:rsidRPr="00B15615">
        <w:rPr>
          <w:rFonts w:ascii="Garamond" w:hAnsi="Garamond"/>
        </w:rPr>
        <w:t>, exchanges across the world showed the following trend in trading of currency derivatives (Table A</w:t>
      </w:r>
      <w:r>
        <w:rPr>
          <w:rFonts w:ascii="Garamond" w:hAnsi="Garamond"/>
        </w:rPr>
        <w:t>7</w:t>
      </w:r>
      <w:r w:rsidRPr="00B15615">
        <w:rPr>
          <w:rFonts w:ascii="Garamond" w:hAnsi="Garamond"/>
        </w:rPr>
        <w:t>):</w:t>
      </w:r>
    </w:p>
    <w:p w:rsidR="002B2DA3" w:rsidRPr="00B15615" w:rsidRDefault="002B2DA3" w:rsidP="002B2DA3">
      <w:pPr>
        <w:jc w:val="both"/>
        <w:rPr>
          <w:rFonts w:ascii="Garamond" w:hAnsi="Garamond"/>
          <w:b/>
        </w:rPr>
      </w:pPr>
    </w:p>
    <w:p w:rsidR="002B2DA3" w:rsidRPr="00B15615" w:rsidRDefault="002B2DA3" w:rsidP="002B2DA3">
      <w:pPr>
        <w:jc w:val="both"/>
        <w:outlineLvl w:val="0"/>
        <w:rPr>
          <w:rFonts w:ascii="Garamond" w:hAnsi="Garamond"/>
          <w:b/>
        </w:rPr>
      </w:pPr>
      <w:r w:rsidRPr="00B15615">
        <w:rPr>
          <w:rFonts w:ascii="Garamond" w:hAnsi="Garamond"/>
          <w:b/>
        </w:rPr>
        <w:t>Currency Options:</w:t>
      </w:r>
    </w:p>
    <w:p w:rsidR="002B2DA3" w:rsidRPr="004931E4" w:rsidRDefault="002B2DA3" w:rsidP="002B2DA3">
      <w:pPr>
        <w:pStyle w:val="ListParagraph"/>
        <w:numPr>
          <w:ilvl w:val="0"/>
          <w:numId w:val="4"/>
        </w:numPr>
        <w:spacing w:after="0" w:line="240" w:lineRule="auto"/>
        <w:ind w:left="360"/>
        <w:jc w:val="both"/>
        <w:rPr>
          <w:rFonts w:ascii="Garamond" w:hAnsi="Garamond"/>
          <w:sz w:val="24"/>
        </w:rPr>
      </w:pPr>
      <w:r w:rsidRPr="002E03D9">
        <w:rPr>
          <w:rFonts w:ascii="Garamond" w:hAnsi="Garamond"/>
          <w:sz w:val="24"/>
        </w:rPr>
        <w:t xml:space="preserve">Amongst </w:t>
      </w:r>
      <w:r w:rsidRPr="00131090">
        <w:rPr>
          <w:rFonts w:ascii="Garamond" w:hAnsi="Garamond"/>
          <w:sz w:val="24"/>
        </w:rPr>
        <w:t xml:space="preserve">exchanges in the Americas, </w:t>
      </w:r>
      <w:r w:rsidRPr="004931E4">
        <w:rPr>
          <w:rFonts w:ascii="Garamond" w:hAnsi="Garamond"/>
          <w:sz w:val="24"/>
        </w:rPr>
        <w:t>CME Group recorded trading of 1.2 million contracts, followed by MexDer (11.7 thousand contracts) and ICE Futures US (0.2 thousand contracts).</w:t>
      </w:r>
    </w:p>
    <w:p w:rsidR="002B2DA3" w:rsidRPr="004931E4" w:rsidRDefault="002B2DA3" w:rsidP="002B2DA3">
      <w:pPr>
        <w:pStyle w:val="ListParagraph"/>
        <w:numPr>
          <w:ilvl w:val="0"/>
          <w:numId w:val="4"/>
        </w:numPr>
        <w:spacing w:after="0" w:line="240" w:lineRule="auto"/>
        <w:ind w:left="360"/>
        <w:jc w:val="both"/>
        <w:rPr>
          <w:rFonts w:ascii="Garamond" w:hAnsi="Garamond"/>
          <w:sz w:val="24"/>
        </w:rPr>
      </w:pPr>
      <w:r w:rsidRPr="002E03D9">
        <w:rPr>
          <w:rFonts w:ascii="Garamond" w:hAnsi="Garamond"/>
          <w:sz w:val="24"/>
        </w:rPr>
        <w:t xml:space="preserve">Amongst </w:t>
      </w:r>
      <w:r w:rsidRPr="00131090">
        <w:rPr>
          <w:rFonts w:ascii="Garamond" w:hAnsi="Garamond"/>
          <w:sz w:val="24"/>
        </w:rPr>
        <w:t xml:space="preserve">exchanges in the Europe - Africa - Middle East, </w:t>
      </w:r>
      <w:r w:rsidRPr="004931E4">
        <w:rPr>
          <w:rFonts w:ascii="Garamond" w:hAnsi="Garamond"/>
          <w:sz w:val="24"/>
        </w:rPr>
        <w:t>Moscow Exchange recorded trading of 1.7 million contracts, followed by Johannesburg Stock Exchange (1.1 million contracts) and Tel-Aviv Stock Exchange (1 million contracts).</w:t>
      </w:r>
    </w:p>
    <w:p w:rsidR="002B2DA3" w:rsidRPr="004931E4" w:rsidRDefault="002B2DA3" w:rsidP="002B2DA3">
      <w:pPr>
        <w:pStyle w:val="ListParagraph"/>
        <w:numPr>
          <w:ilvl w:val="0"/>
          <w:numId w:val="4"/>
        </w:numPr>
        <w:spacing w:after="0" w:line="240" w:lineRule="auto"/>
        <w:ind w:left="360"/>
        <w:jc w:val="both"/>
        <w:rPr>
          <w:rFonts w:ascii="Garamond" w:hAnsi="Garamond"/>
          <w:sz w:val="24"/>
        </w:rPr>
      </w:pPr>
      <w:r w:rsidRPr="002E03D9">
        <w:rPr>
          <w:rFonts w:ascii="Garamond" w:hAnsi="Garamond"/>
          <w:sz w:val="24"/>
        </w:rPr>
        <w:t xml:space="preserve">Amongst </w:t>
      </w:r>
      <w:r w:rsidRPr="00131090">
        <w:rPr>
          <w:rFonts w:ascii="Garamond" w:hAnsi="Garamond"/>
          <w:sz w:val="24"/>
        </w:rPr>
        <w:t xml:space="preserve">exchanges in the Asia Pacific, </w:t>
      </w:r>
      <w:r w:rsidRPr="004931E4">
        <w:rPr>
          <w:rFonts w:ascii="Garamond" w:hAnsi="Garamond"/>
          <w:sz w:val="24"/>
        </w:rPr>
        <w:t xml:space="preserve">National Stock Exchange of India recorded trading of 49.1 million contracts, followed by BSE India </w:t>
      </w:r>
      <w:r>
        <w:rPr>
          <w:rFonts w:ascii="Garamond" w:hAnsi="Garamond"/>
          <w:sz w:val="24"/>
        </w:rPr>
        <w:t>Limited (46.4 million contracts</w:t>
      </w:r>
      <w:r w:rsidRPr="004931E4">
        <w:rPr>
          <w:rFonts w:ascii="Garamond" w:hAnsi="Garamond"/>
          <w:sz w:val="24"/>
        </w:rPr>
        <w:t>.</w:t>
      </w:r>
    </w:p>
    <w:p w:rsidR="002B2DA3" w:rsidRPr="00440919" w:rsidRDefault="002B2DA3" w:rsidP="002B2DA3">
      <w:pPr>
        <w:jc w:val="both"/>
        <w:rPr>
          <w:rFonts w:ascii="Garamond" w:hAnsi="Garamond"/>
          <w:b/>
          <w:color w:val="0000FF"/>
        </w:rPr>
      </w:pPr>
    </w:p>
    <w:p w:rsidR="002B2DA3" w:rsidRPr="0073585C" w:rsidRDefault="002B2DA3" w:rsidP="002B2DA3">
      <w:pPr>
        <w:jc w:val="both"/>
        <w:outlineLvl w:val="0"/>
        <w:rPr>
          <w:rFonts w:ascii="Garamond" w:hAnsi="Garamond"/>
          <w:b/>
        </w:rPr>
      </w:pPr>
      <w:r w:rsidRPr="0073585C">
        <w:rPr>
          <w:rFonts w:ascii="Garamond" w:hAnsi="Garamond"/>
          <w:b/>
        </w:rPr>
        <w:t>Currency Futures:</w:t>
      </w:r>
    </w:p>
    <w:p w:rsidR="002B2DA3" w:rsidRPr="00D73581" w:rsidRDefault="002B2DA3" w:rsidP="002B2DA3">
      <w:pPr>
        <w:pStyle w:val="ListParagraph"/>
        <w:numPr>
          <w:ilvl w:val="0"/>
          <w:numId w:val="4"/>
        </w:numPr>
        <w:spacing w:after="0" w:line="240" w:lineRule="auto"/>
        <w:ind w:left="360"/>
        <w:jc w:val="both"/>
        <w:rPr>
          <w:rFonts w:ascii="Garamond" w:hAnsi="Garamond"/>
          <w:sz w:val="24"/>
        </w:rPr>
      </w:pPr>
      <w:r w:rsidRPr="002E03D9">
        <w:rPr>
          <w:rFonts w:ascii="Garamond" w:hAnsi="Garamond"/>
          <w:sz w:val="24"/>
        </w:rPr>
        <w:t xml:space="preserve">Amongst </w:t>
      </w:r>
      <w:r w:rsidRPr="0073585C">
        <w:rPr>
          <w:rFonts w:ascii="Garamond" w:hAnsi="Garamond"/>
          <w:sz w:val="24"/>
        </w:rPr>
        <w:t xml:space="preserve">exchanges in the Americas, </w:t>
      </w:r>
      <w:r w:rsidRPr="00D73581">
        <w:rPr>
          <w:rFonts w:ascii="Garamond" w:hAnsi="Garamond"/>
          <w:sz w:val="24"/>
        </w:rPr>
        <w:t xml:space="preserve">CME Group recorded trading of 16.4 million contracts, followed by ICE Futures US (0.5 million contracts) and MexDer (0.2 million contracts). </w:t>
      </w:r>
    </w:p>
    <w:p w:rsidR="002B2DA3" w:rsidRPr="00D73581" w:rsidRDefault="002B2DA3" w:rsidP="002B2DA3">
      <w:pPr>
        <w:pStyle w:val="ListParagraph"/>
        <w:numPr>
          <w:ilvl w:val="0"/>
          <w:numId w:val="4"/>
        </w:numPr>
        <w:spacing w:after="0" w:line="240" w:lineRule="auto"/>
        <w:ind w:left="360"/>
        <w:jc w:val="both"/>
        <w:rPr>
          <w:rFonts w:ascii="Garamond" w:hAnsi="Garamond"/>
          <w:sz w:val="24"/>
        </w:rPr>
      </w:pPr>
      <w:r w:rsidRPr="002E03D9">
        <w:rPr>
          <w:rFonts w:ascii="Garamond" w:hAnsi="Garamond"/>
          <w:sz w:val="24"/>
        </w:rPr>
        <w:lastRenderedPageBreak/>
        <w:t xml:space="preserve">Amongst </w:t>
      </w:r>
      <w:r w:rsidRPr="0073585C">
        <w:rPr>
          <w:rFonts w:ascii="Garamond" w:hAnsi="Garamond"/>
          <w:sz w:val="24"/>
        </w:rPr>
        <w:t xml:space="preserve">exchanges in the Europe - Africa - Middle East, </w:t>
      </w:r>
      <w:r w:rsidRPr="00D73581">
        <w:rPr>
          <w:rFonts w:ascii="Garamond" w:hAnsi="Garamond"/>
          <w:sz w:val="24"/>
        </w:rPr>
        <w:t xml:space="preserve">Moscow Exchange recorded trading of 33 million contracts, followed by Borsa Istanbul (7.9 million contracts) and Johannesburg Stock Exchange (1.8 million contracts). </w:t>
      </w:r>
    </w:p>
    <w:p w:rsidR="002B2DA3" w:rsidRPr="00D73581" w:rsidRDefault="002B2DA3" w:rsidP="002B2DA3">
      <w:pPr>
        <w:pStyle w:val="ListParagraph"/>
        <w:numPr>
          <w:ilvl w:val="0"/>
          <w:numId w:val="4"/>
        </w:numPr>
        <w:spacing w:after="0" w:line="240" w:lineRule="auto"/>
        <w:ind w:left="360"/>
        <w:jc w:val="both"/>
        <w:rPr>
          <w:rFonts w:ascii="Garamond" w:hAnsi="Garamond"/>
          <w:sz w:val="24"/>
        </w:rPr>
      </w:pPr>
      <w:r w:rsidRPr="002E03D9">
        <w:rPr>
          <w:rFonts w:ascii="Garamond" w:hAnsi="Garamond"/>
          <w:sz w:val="24"/>
        </w:rPr>
        <w:t xml:space="preserve">Amongst </w:t>
      </w:r>
      <w:r w:rsidRPr="0073585C">
        <w:rPr>
          <w:rFonts w:ascii="Garamond" w:hAnsi="Garamond"/>
          <w:sz w:val="24"/>
        </w:rPr>
        <w:t xml:space="preserve">exchanges in the Asia Pacific, </w:t>
      </w:r>
      <w:r w:rsidRPr="00D73581">
        <w:rPr>
          <w:rFonts w:ascii="Garamond" w:hAnsi="Garamond"/>
          <w:sz w:val="24"/>
        </w:rPr>
        <w:t xml:space="preserve">National Stock Exchange of India recorded trading of 55.7 million contracts, followed by BSE India Limited (34 million contracts) and Korea Exchange (7 million contracts). </w:t>
      </w:r>
    </w:p>
    <w:p w:rsidR="002B2DA3" w:rsidRPr="004931E4" w:rsidRDefault="002B2DA3" w:rsidP="002B2DA3">
      <w:pPr>
        <w:pStyle w:val="ListParagraph"/>
        <w:spacing w:after="0" w:line="240" w:lineRule="auto"/>
        <w:ind w:left="360"/>
        <w:jc w:val="both"/>
        <w:rPr>
          <w:rFonts w:ascii="Garamond" w:hAnsi="Garamond"/>
          <w:sz w:val="24"/>
        </w:rPr>
      </w:pPr>
    </w:p>
    <w:p w:rsidR="002B2DA3" w:rsidRPr="007D16CA" w:rsidRDefault="002B2DA3" w:rsidP="002B2DA3">
      <w:pPr>
        <w:jc w:val="both"/>
        <w:outlineLvl w:val="0"/>
        <w:rPr>
          <w:rFonts w:ascii="Garamond" w:hAnsi="Garamond"/>
          <w:b/>
        </w:rPr>
      </w:pPr>
      <w:r w:rsidRPr="007D16CA">
        <w:rPr>
          <w:rFonts w:ascii="Garamond" w:hAnsi="Garamond"/>
          <w:b/>
        </w:rPr>
        <w:t>Interest Rate Derivatives:</w:t>
      </w:r>
    </w:p>
    <w:p w:rsidR="002B2DA3" w:rsidRPr="007D16CA" w:rsidRDefault="002B2DA3" w:rsidP="002B2DA3">
      <w:pPr>
        <w:jc w:val="both"/>
        <w:rPr>
          <w:rFonts w:ascii="Garamond" w:hAnsi="Garamond"/>
          <w:b/>
        </w:rPr>
      </w:pPr>
    </w:p>
    <w:p w:rsidR="002B2DA3" w:rsidRPr="007D16CA" w:rsidRDefault="002B2DA3" w:rsidP="002B2DA3">
      <w:pPr>
        <w:jc w:val="both"/>
        <w:rPr>
          <w:rFonts w:ascii="Garamond" w:hAnsi="Garamond"/>
        </w:rPr>
      </w:pPr>
      <w:r w:rsidRPr="007D16CA">
        <w:rPr>
          <w:rFonts w:ascii="Garamond" w:hAnsi="Garamond"/>
        </w:rPr>
        <w:t xml:space="preserve">As per the latest data available from the World Federation of Exchanges, during </w:t>
      </w:r>
      <w:r>
        <w:rPr>
          <w:rFonts w:ascii="Garamond" w:hAnsi="Garamond"/>
        </w:rPr>
        <w:t>January 2019</w:t>
      </w:r>
      <w:r w:rsidRPr="007D16CA">
        <w:rPr>
          <w:rFonts w:ascii="Garamond" w:hAnsi="Garamond"/>
        </w:rPr>
        <w:t>, exchanges across the world showed the following trend in trading of int</w:t>
      </w:r>
      <w:r>
        <w:rPr>
          <w:rFonts w:ascii="Garamond" w:hAnsi="Garamond"/>
        </w:rPr>
        <w:t>erest rate derivatives (Table A8</w:t>
      </w:r>
      <w:r w:rsidRPr="007D16CA">
        <w:rPr>
          <w:rFonts w:ascii="Garamond" w:hAnsi="Garamond"/>
        </w:rPr>
        <w:t>):</w:t>
      </w:r>
    </w:p>
    <w:p w:rsidR="002B2DA3" w:rsidRPr="007D16CA" w:rsidRDefault="002B2DA3" w:rsidP="002B2DA3">
      <w:pPr>
        <w:jc w:val="both"/>
        <w:rPr>
          <w:rFonts w:ascii="Garamond" w:hAnsi="Garamond"/>
          <w:b/>
        </w:rPr>
      </w:pPr>
    </w:p>
    <w:p w:rsidR="002B2DA3" w:rsidRPr="007D16CA" w:rsidRDefault="002B2DA3" w:rsidP="002B2DA3">
      <w:pPr>
        <w:jc w:val="both"/>
        <w:outlineLvl w:val="0"/>
        <w:rPr>
          <w:rFonts w:ascii="Garamond" w:hAnsi="Garamond"/>
          <w:b/>
        </w:rPr>
      </w:pPr>
      <w:r w:rsidRPr="007D16CA">
        <w:rPr>
          <w:rFonts w:ascii="Garamond" w:hAnsi="Garamond"/>
          <w:b/>
        </w:rPr>
        <w:t>Interest Rate Options:</w:t>
      </w:r>
    </w:p>
    <w:p w:rsidR="002B2DA3" w:rsidRPr="00BC1DD0" w:rsidRDefault="002B2DA3" w:rsidP="002B2DA3">
      <w:pPr>
        <w:pStyle w:val="ListParagraph"/>
        <w:numPr>
          <w:ilvl w:val="0"/>
          <w:numId w:val="4"/>
        </w:numPr>
        <w:spacing w:after="0" w:line="240" w:lineRule="auto"/>
        <w:ind w:left="360"/>
        <w:jc w:val="both"/>
        <w:rPr>
          <w:rFonts w:ascii="Garamond" w:hAnsi="Garamond"/>
          <w:sz w:val="24"/>
        </w:rPr>
      </w:pPr>
      <w:r w:rsidRPr="007D16CA">
        <w:rPr>
          <w:rFonts w:ascii="Garamond" w:hAnsi="Garamond"/>
          <w:sz w:val="24"/>
        </w:rPr>
        <w:t xml:space="preserve">Among exchanges in the Americas, </w:t>
      </w:r>
      <w:r w:rsidRPr="00BC1DD0">
        <w:rPr>
          <w:rFonts w:ascii="Garamond" w:hAnsi="Garamond"/>
          <w:sz w:val="24"/>
        </w:rPr>
        <w:t>CME Group recorded trading of 57.2 million contracts, followed by Bourse de Montreal (0.1 million contracts).</w:t>
      </w:r>
    </w:p>
    <w:p w:rsidR="002B2DA3" w:rsidRPr="008A078F" w:rsidRDefault="002B2DA3" w:rsidP="002B2DA3">
      <w:pPr>
        <w:pStyle w:val="ListParagraph"/>
        <w:numPr>
          <w:ilvl w:val="0"/>
          <w:numId w:val="4"/>
        </w:numPr>
        <w:spacing w:after="0" w:line="240" w:lineRule="auto"/>
        <w:ind w:left="360"/>
        <w:jc w:val="both"/>
        <w:rPr>
          <w:rFonts w:ascii="Garamond" w:hAnsi="Garamond"/>
          <w:sz w:val="24"/>
        </w:rPr>
      </w:pPr>
      <w:r w:rsidRPr="008A078F">
        <w:rPr>
          <w:rFonts w:ascii="Garamond" w:hAnsi="Garamond"/>
          <w:sz w:val="24"/>
        </w:rPr>
        <w:t xml:space="preserve">Among exchanges in the Europe, Africa and Middle East, </w:t>
      </w:r>
      <w:r w:rsidRPr="00BC1DD0">
        <w:rPr>
          <w:rFonts w:ascii="Garamond" w:hAnsi="Garamond"/>
          <w:sz w:val="24"/>
        </w:rPr>
        <w:t>EUREX recorded trading of 5.5 million contracts, followed by Nasdaq Nordic Exchanges (0.7 million contracts).</w:t>
      </w:r>
      <w:r w:rsidRPr="008A078F">
        <w:rPr>
          <w:rFonts w:ascii="Garamond" w:hAnsi="Garamond"/>
          <w:sz w:val="24"/>
        </w:rPr>
        <w:t xml:space="preserve"> </w:t>
      </w:r>
    </w:p>
    <w:p w:rsidR="002B2DA3" w:rsidRPr="001A0B8E" w:rsidRDefault="002B2DA3" w:rsidP="002B2DA3">
      <w:pPr>
        <w:pStyle w:val="ListParagraph"/>
        <w:numPr>
          <w:ilvl w:val="0"/>
          <w:numId w:val="4"/>
        </w:numPr>
        <w:spacing w:after="0" w:line="240" w:lineRule="auto"/>
        <w:ind w:left="360"/>
        <w:jc w:val="both"/>
        <w:rPr>
          <w:rFonts w:ascii="Garamond" w:hAnsi="Garamond"/>
          <w:sz w:val="24"/>
        </w:rPr>
      </w:pPr>
      <w:r>
        <w:rPr>
          <w:rFonts w:ascii="Garamond" w:hAnsi="Garamond"/>
          <w:sz w:val="24"/>
        </w:rPr>
        <w:t>Among exchanges in the Asia</w:t>
      </w:r>
      <w:r w:rsidRPr="001A0B8E">
        <w:rPr>
          <w:rFonts w:ascii="Garamond" w:hAnsi="Garamond"/>
          <w:sz w:val="24"/>
        </w:rPr>
        <w:t xml:space="preserve"> Pacific, </w:t>
      </w:r>
      <w:r w:rsidRPr="00BC1DD0">
        <w:rPr>
          <w:rFonts w:ascii="Garamond" w:hAnsi="Garamond"/>
          <w:sz w:val="24"/>
        </w:rPr>
        <w:t>Australian Securities Exchange recorded trading of 86.9 thousand contracts, followed by Japan Exchange Group (47.9 thousands contracts).</w:t>
      </w:r>
    </w:p>
    <w:p w:rsidR="002B2DA3" w:rsidRPr="00440919" w:rsidRDefault="002B2DA3" w:rsidP="002B2DA3">
      <w:pPr>
        <w:jc w:val="both"/>
        <w:rPr>
          <w:rFonts w:ascii="Garamond" w:hAnsi="Garamond"/>
          <w:color w:val="0000FF"/>
        </w:rPr>
      </w:pPr>
    </w:p>
    <w:p w:rsidR="002B2DA3" w:rsidRPr="00A54BA9" w:rsidRDefault="002B2DA3" w:rsidP="002B2DA3">
      <w:pPr>
        <w:jc w:val="both"/>
        <w:outlineLvl w:val="0"/>
        <w:rPr>
          <w:rFonts w:ascii="Garamond" w:hAnsi="Garamond"/>
          <w:b/>
        </w:rPr>
      </w:pPr>
      <w:r w:rsidRPr="00A54BA9">
        <w:rPr>
          <w:rFonts w:ascii="Garamond" w:hAnsi="Garamond"/>
          <w:b/>
        </w:rPr>
        <w:t>Interest Rate Futures:</w:t>
      </w:r>
    </w:p>
    <w:p w:rsidR="002B2DA3" w:rsidRPr="00BC1DD0" w:rsidRDefault="002B2DA3" w:rsidP="002B2DA3">
      <w:pPr>
        <w:pStyle w:val="ListParagraph"/>
        <w:numPr>
          <w:ilvl w:val="0"/>
          <w:numId w:val="4"/>
        </w:numPr>
        <w:spacing w:after="0" w:line="240" w:lineRule="auto"/>
        <w:ind w:left="360"/>
        <w:jc w:val="both"/>
        <w:rPr>
          <w:rFonts w:ascii="Garamond" w:hAnsi="Garamond"/>
          <w:sz w:val="24"/>
        </w:rPr>
      </w:pPr>
      <w:r w:rsidRPr="00BC1DD0">
        <w:rPr>
          <w:rFonts w:ascii="Garamond" w:hAnsi="Garamond"/>
          <w:sz w:val="24"/>
        </w:rPr>
        <w:t xml:space="preserve">Among exchanges in the Americas, Bourse de Montreal recorded trading of 144.1 million contracts, followed by CME Group (4.8 million contracts) and Bolsa de Valores de Colombia (0.2 million contracts). </w:t>
      </w:r>
    </w:p>
    <w:p w:rsidR="002B2DA3" w:rsidRPr="00BC1DD0" w:rsidRDefault="002B2DA3" w:rsidP="002B2DA3">
      <w:pPr>
        <w:pStyle w:val="ListParagraph"/>
        <w:numPr>
          <w:ilvl w:val="0"/>
          <w:numId w:val="4"/>
        </w:numPr>
        <w:spacing w:after="0" w:line="240" w:lineRule="auto"/>
        <w:ind w:left="360"/>
        <w:jc w:val="both"/>
        <w:rPr>
          <w:rFonts w:ascii="Garamond" w:hAnsi="Garamond"/>
          <w:sz w:val="24"/>
        </w:rPr>
      </w:pPr>
      <w:r w:rsidRPr="00BC1DD0">
        <w:rPr>
          <w:rFonts w:ascii="Garamond" w:hAnsi="Garamond"/>
          <w:sz w:val="24"/>
        </w:rPr>
        <w:t xml:space="preserve">Among exchanges in the Europe - Africa - Middle East, EUREX recorded trading of 35.5 million contracts, followed by Johannesburg Stock Exchange (1.9 million contracts) and Nasdaq Nordic Exchanges (0.8 million contracts). </w:t>
      </w:r>
    </w:p>
    <w:p w:rsidR="002B2DA3" w:rsidRPr="00BC1DD0" w:rsidRDefault="002B2DA3" w:rsidP="002B2DA3">
      <w:pPr>
        <w:pStyle w:val="ListParagraph"/>
        <w:numPr>
          <w:ilvl w:val="0"/>
          <w:numId w:val="4"/>
        </w:numPr>
        <w:spacing w:after="0" w:line="240" w:lineRule="auto"/>
        <w:ind w:left="360"/>
        <w:jc w:val="both"/>
        <w:rPr>
          <w:rFonts w:ascii="Garamond" w:hAnsi="Garamond"/>
          <w:sz w:val="24"/>
        </w:rPr>
      </w:pPr>
      <w:r>
        <w:rPr>
          <w:rFonts w:ascii="Garamond" w:hAnsi="Garamond"/>
          <w:sz w:val="24"/>
        </w:rPr>
        <w:t>Among exchanges in the Asia</w:t>
      </w:r>
      <w:r w:rsidRPr="00A54BA9">
        <w:rPr>
          <w:rFonts w:ascii="Garamond" w:hAnsi="Garamond"/>
          <w:sz w:val="24"/>
        </w:rPr>
        <w:t xml:space="preserve"> Pacific, </w:t>
      </w:r>
      <w:r w:rsidRPr="00BC1DD0">
        <w:rPr>
          <w:rFonts w:ascii="Garamond" w:hAnsi="Garamond"/>
          <w:sz w:val="24"/>
        </w:rPr>
        <w:t xml:space="preserve">Australian Securities Exchange recorded trading of 10 million contracts, followed by National Stock Exchange of India (2.6 million contracts) and Singapore Exchange (1.4 million contracts). </w:t>
      </w:r>
    </w:p>
    <w:p w:rsidR="002B2DA3" w:rsidRPr="00BC1DD0" w:rsidRDefault="002B2DA3" w:rsidP="002B2DA3">
      <w:pPr>
        <w:jc w:val="both"/>
        <w:rPr>
          <w:rFonts w:ascii="Garamond" w:hAnsi="Garamond"/>
        </w:rPr>
      </w:pPr>
    </w:p>
    <w:p w:rsidR="002B2DA3" w:rsidRPr="00440919" w:rsidRDefault="002B2DA3" w:rsidP="002B2DA3">
      <w:pPr>
        <w:jc w:val="both"/>
        <w:rPr>
          <w:rFonts w:ascii="Garamond" w:hAnsi="Garamond"/>
          <w:color w:val="0000FF"/>
        </w:rPr>
      </w:pPr>
    </w:p>
    <w:p w:rsidR="002B2DA3" w:rsidRPr="008420C8" w:rsidRDefault="002B2DA3" w:rsidP="002B2DA3">
      <w:pPr>
        <w:jc w:val="both"/>
        <w:outlineLvl w:val="0"/>
        <w:rPr>
          <w:rFonts w:ascii="Garamond" w:hAnsi="Garamond"/>
          <w:b/>
        </w:rPr>
      </w:pPr>
      <w:r w:rsidRPr="008420C8">
        <w:rPr>
          <w:rFonts w:ascii="Garamond" w:hAnsi="Garamond"/>
          <w:b/>
        </w:rPr>
        <w:t>Commodity Derivatives:</w:t>
      </w:r>
    </w:p>
    <w:p w:rsidR="002B2DA3" w:rsidRPr="008420C8" w:rsidRDefault="002B2DA3" w:rsidP="002B2DA3">
      <w:pPr>
        <w:jc w:val="both"/>
        <w:rPr>
          <w:rFonts w:ascii="Garamond" w:hAnsi="Garamond"/>
        </w:rPr>
      </w:pPr>
    </w:p>
    <w:p w:rsidR="002B2DA3" w:rsidRPr="008420C8" w:rsidRDefault="002B2DA3" w:rsidP="002B2DA3">
      <w:pPr>
        <w:jc w:val="both"/>
        <w:rPr>
          <w:rFonts w:ascii="Garamond" w:hAnsi="Garamond"/>
        </w:rPr>
      </w:pPr>
      <w:r w:rsidRPr="008420C8">
        <w:rPr>
          <w:rFonts w:ascii="Garamond" w:hAnsi="Garamond"/>
        </w:rPr>
        <w:t xml:space="preserve">As per the latest data available from the World Federation of Exchanges, during </w:t>
      </w:r>
      <w:r>
        <w:rPr>
          <w:rFonts w:ascii="Garamond" w:hAnsi="Garamond"/>
        </w:rPr>
        <w:t>January 2019</w:t>
      </w:r>
      <w:r w:rsidRPr="008420C8">
        <w:rPr>
          <w:rFonts w:ascii="Garamond" w:hAnsi="Garamond"/>
        </w:rPr>
        <w:t>, exchanges across the world showed the following trend in trading of commodity derivatives (Table A</w:t>
      </w:r>
      <w:r>
        <w:rPr>
          <w:rFonts w:ascii="Garamond" w:hAnsi="Garamond"/>
        </w:rPr>
        <w:t>9</w:t>
      </w:r>
      <w:r w:rsidRPr="008420C8">
        <w:rPr>
          <w:rFonts w:ascii="Garamond" w:hAnsi="Garamond"/>
        </w:rPr>
        <w:t>):</w:t>
      </w:r>
    </w:p>
    <w:p w:rsidR="002B2DA3" w:rsidRPr="008420C8" w:rsidRDefault="002B2DA3" w:rsidP="002B2DA3">
      <w:pPr>
        <w:jc w:val="both"/>
        <w:rPr>
          <w:rFonts w:ascii="Garamond" w:hAnsi="Garamond"/>
        </w:rPr>
      </w:pPr>
    </w:p>
    <w:p w:rsidR="002B2DA3" w:rsidRPr="008420C8" w:rsidRDefault="002B2DA3" w:rsidP="002B2DA3">
      <w:pPr>
        <w:jc w:val="both"/>
        <w:outlineLvl w:val="0"/>
        <w:rPr>
          <w:rFonts w:ascii="Garamond" w:hAnsi="Garamond"/>
          <w:b/>
        </w:rPr>
      </w:pPr>
      <w:r w:rsidRPr="008420C8">
        <w:rPr>
          <w:rFonts w:ascii="Garamond" w:hAnsi="Garamond"/>
          <w:b/>
        </w:rPr>
        <w:t>Commodity Options:</w:t>
      </w:r>
    </w:p>
    <w:p w:rsidR="002B2DA3" w:rsidRPr="00FB5FB4" w:rsidRDefault="002B2DA3" w:rsidP="002B2DA3">
      <w:pPr>
        <w:pStyle w:val="ListParagraph"/>
        <w:numPr>
          <w:ilvl w:val="0"/>
          <w:numId w:val="4"/>
        </w:numPr>
        <w:spacing w:after="0" w:line="240" w:lineRule="auto"/>
        <w:ind w:left="360"/>
        <w:jc w:val="both"/>
        <w:rPr>
          <w:rFonts w:ascii="Garamond" w:hAnsi="Garamond"/>
          <w:sz w:val="24"/>
        </w:rPr>
      </w:pPr>
      <w:r w:rsidRPr="00FB5FB4">
        <w:rPr>
          <w:rFonts w:ascii="Garamond" w:hAnsi="Garamond"/>
          <w:sz w:val="24"/>
        </w:rPr>
        <w:t>Among exchanges in the Americas, CME Group recorded trading of 11.1 million contracts, followed by ICE Fut</w:t>
      </w:r>
      <w:r>
        <w:rPr>
          <w:rFonts w:ascii="Garamond" w:hAnsi="Garamond"/>
          <w:sz w:val="24"/>
        </w:rPr>
        <w:t>ures US (1.1 million contracts).</w:t>
      </w:r>
    </w:p>
    <w:p w:rsidR="002B2DA3" w:rsidRPr="00FB5FB4" w:rsidRDefault="002B2DA3" w:rsidP="002B2DA3">
      <w:pPr>
        <w:pStyle w:val="ListParagraph"/>
        <w:numPr>
          <w:ilvl w:val="0"/>
          <w:numId w:val="4"/>
        </w:numPr>
        <w:spacing w:after="0" w:line="240" w:lineRule="auto"/>
        <w:ind w:left="360"/>
        <w:jc w:val="both"/>
        <w:rPr>
          <w:rFonts w:ascii="Garamond" w:hAnsi="Garamond"/>
          <w:sz w:val="24"/>
        </w:rPr>
      </w:pPr>
      <w:r w:rsidRPr="00FB5FB4">
        <w:rPr>
          <w:rFonts w:ascii="Garamond" w:hAnsi="Garamond"/>
          <w:sz w:val="24"/>
        </w:rPr>
        <w:t>Among exchanges in the Europe - Africa - Middle East, Moscow Exchange recorded trading of 0.5 million contracts, followed by EUREX (0.4 million contracts) and Euronext (0.1 million contracts).</w:t>
      </w:r>
    </w:p>
    <w:p w:rsidR="002B2DA3" w:rsidRPr="00FB5FB4" w:rsidRDefault="002B2DA3" w:rsidP="002B2DA3">
      <w:pPr>
        <w:pStyle w:val="ListParagraph"/>
        <w:numPr>
          <w:ilvl w:val="0"/>
          <w:numId w:val="4"/>
        </w:numPr>
        <w:spacing w:after="0" w:line="240" w:lineRule="auto"/>
        <w:ind w:left="360"/>
        <w:jc w:val="both"/>
        <w:rPr>
          <w:rFonts w:ascii="Garamond" w:hAnsi="Garamond"/>
          <w:sz w:val="24"/>
        </w:rPr>
      </w:pPr>
      <w:r w:rsidRPr="00FB5FB4">
        <w:rPr>
          <w:rFonts w:ascii="Garamond" w:hAnsi="Garamond"/>
          <w:sz w:val="24"/>
        </w:rPr>
        <w:t>Among exchanges in the Asia – Pacific, Dalian Commodity Exchange recorded trading of 0.7 million contracts, followed by Zhengzhou Commodity Exchange (0.6 million contracts) and Singapore Exchange (0.4 million contracts).</w:t>
      </w:r>
    </w:p>
    <w:p w:rsidR="002B2DA3" w:rsidRPr="00FB5FB4" w:rsidRDefault="002B2DA3" w:rsidP="002B2DA3">
      <w:pPr>
        <w:pStyle w:val="ListParagraph"/>
        <w:spacing w:after="0" w:line="240" w:lineRule="auto"/>
        <w:ind w:left="360"/>
        <w:jc w:val="both"/>
        <w:rPr>
          <w:rFonts w:ascii="Garamond" w:hAnsi="Garamond"/>
          <w:color w:val="0000FF"/>
          <w:sz w:val="24"/>
        </w:rPr>
      </w:pPr>
    </w:p>
    <w:p w:rsidR="00AD7686" w:rsidRDefault="00AD7686">
      <w:pPr>
        <w:rPr>
          <w:rFonts w:ascii="Garamond" w:hAnsi="Garamond"/>
          <w:b/>
        </w:rPr>
      </w:pPr>
      <w:r>
        <w:rPr>
          <w:rFonts w:ascii="Garamond" w:hAnsi="Garamond"/>
          <w:b/>
        </w:rPr>
        <w:br w:type="page"/>
      </w:r>
    </w:p>
    <w:p w:rsidR="002B2DA3" w:rsidRPr="00E266EE" w:rsidRDefault="002B2DA3" w:rsidP="002B2DA3">
      <w:pPr>
        <w:jc w:val="both"/>
        <w:outlineLvl w:val="0"/>
        <w:rPr>
          <w:rFonts w:ascii="Garamond" w:hAnsi="Garamond"/>
          <w:b/>
        </w:rPr>
      </w:pPr>
      <w:r w:rsidRPr="00E266EE">
        <w:rPr>
          <w:rFonts w:ascii="Garamond" w:hAnsi="Garamond"/>
          <w:b/>
        </w:rPr>
        <w:lastRenderedPageBreak/>
        <w:t>Commodity Futures:</w:t>
      </w:r>
    </w:p>
    <w:p w:rsidR="002B2DA3" w:rsidRPr="00FB5FB4" w:rsidRDefault="002B2DA3" w:rsidP="002B2DA3">
      <w:pPr>
        <w:pStyle w:val="ListParagraph"/>
        <w:numPr>
          <w:ilvl w:val="0"/>
          <w:numId w:val="4"/>
        </w:numPr>
        <w:spacing w:after="0" w:line="240" w:lineRule="auto"/>
        <w:ind w:left="360"/>
        <w:jc w:val="both"/>
        <w:rPr>
          <w:rFonts w:ascii="Garamond" w:hAnsi="Garamond"/>
          <w:sz w:val="24"/>
        </w:rPr>
      </w:pPr>
      <w:r w:rsidRPr="00E266EE">
        <w:rPr>
          <w:rFonts w:ascii="Garamond" w:hAnsi="Garamond"/>
          <w:sz w:val="24"/>
        </w:rPr>
        <w:t xml:space="preserve">Among exchanges in the Americas, </w:t>
      </w:r>
      <w:r w:rsidRPr="00FB5FB4">
        <w:rPr>
          <w:rFonts w:ascii="Garamond" w:hAnsi="Garamond"/>
          <w:sz w:val="24"/>
        </w:rPr>
        <w:t xml:space="preserve">CME Group recorded trading of 76.1 million contracts, followed by ICE Futures US (6.3 million contracts) and Bolsa de Valores de Colombia (0 million contracts). </w:t>
      </w:r>
    </w:p>
    <w:p w:rsidR="002B2DA3" w:rsidRPr="00FB5FB4" w:rsidRDefault="002B2DA3" w:rsidP="002B2DA3">
      <w:pPr>
        <w:pStyle w:val="ListParagraph"/>
        <w:numPr>
          <w:ilvl w:val="0"/>
          <w:numId w:val="4"/>
        </w:numPr>
        <w:spacing w:after="0" w:line="240" w:lineRule="auto"/>
        <w:ind w:left="360"/>
        <w:jc w:val="both"/>
        <w:rPr>
          <w:rFonts w:ascii="Garamond" w:hAnsi="Garamond"/>
          <w:sz w:val="24"/>
        </w:rPr>
      </w:pPr>
      <w:r w:rsidRPr="007D16CA">
        <w:rPr>
          <w:rFonts w:ascii="Garamond" w:hAnsi="Garamond"/>
          <w:sz w:val="24"/>
        </w:rPr>
        <w:t xml:space="preserve">Among exchanges in the Europe - Africa - Middle East, </w:t>
      </w:r>
      <w:r w:rsidRPr="00FB5FB4">
        <w:rPr>
          <w:rFonts w:ascii="Garamond" w:hAnsi="Garamond"/>
          <w:sz w:val="24"/>
        </w:rPr>
        <w:t>Moscow Exchange recorded trading of 45.4 million contracts, followed by Borsa Istanbul (3.2 million contracts) and Euronext (0.8 million contracts).</w:t>
      </w:r>
    </w:p>
    <w:p w:rsidR="002B2DA3" w:rsidRPr="00FB5FB4" w:rsidRDefault="002B2DA3" w:rsidP="002B2DA3">
      <w:pPr>
        <w:pStyle w:val="ListParagraph"/>
        <w:numPr>
          <w:ilvl w:val="0"/>
          <w:numId w:val="4"/>
        </w:numPr>
        <w:spacing w:after="0" w:line="240" w:lineRule="auto"/>
        <w:ind w:left="360"/>
        <w:jc w:val="both"/>
        <w:rPr>
          <w:rFonts w:ascii="Garamond" w:hAnsi="Garamond"/>
          <w:sz w:val="24"/>
        </w:rPr>
      </w:pPr>
      <w:r w:rsidRPr="00784052">
        <w:rPr>
          <w:rFonts w:ascii="Garamond" w:hAnsi="Garamond"/>
          <w:sz w:val="24"/>
        </w:rPr>
        <w:t xml:space="preserve">Among exchanges in the Asia – Pacific, </w:t>
      </w:r>
      <w:r w:rsidRPr="00FB5FB4">
        <w:rPr>
          <w:rFonts w:ascii="Garamond" w:hAnsi="Garamond"/>
          <w:sz w:val="24"/>
        </w:rPr>
        <w:t>Shanghai Futures Exchange recorded trading of 107.3 million contracts, followed by Zhengzhou Commodity Exchange (78.7 million contracts) and Dalian Commodity Exchange (76 million contracts).</w:t>
      </w:r>
    </w:p>
    <w:p w:rsidR="002B2DA3" w:rsidRPr="00784052" w:rsidRDefault="002B2DA3" w:rsidP="002B2DA3">
      <w:pPr>
        <w:pStyle w:val="ListParagraph"/>
        <w:numPr>
          <w:ilvl w:val="0"/>
          <w:numId w:val="4"/>
        </w:numPr>
        <w:spacing w:after="0" w:line="240" w:lineRule="auto"/>
        <w:ind w:left="360"/>
        <w:jc w:val="both"/>
        <w:rPr>
          <w:rFonts w:ascii="Garamond" w:hAnsi="Garamond"/>
          <w:sz w:val="24"/>
        </w:rPr>
      </w:pPr>
      <w:r w:rsidRPr="00784052">
        <w:rPr>
          <w:rFonts w:ascii="Garamond" w:hAnsi="Garamond"/>
          <w:color w:val="0000FF"/>
          <w:sz w:val="24"/>
        </w:rPr>
        <w:br w:type="page"/>
      </w:r>
    </w:p>
    <w:p w:rsidR="002B2DA3" w:rsidRDefault="002B2DA3" w:rsidP="002B2DA3">
      <w:pPr>
        <w:outlineLvl w:val="0"/>
        <w:rPr>
          <w:rFonts w:ascii="Garamond" w:hAnsi="Garamond"/>
          <w:b/>
        </w:rPr>
      </w:pPr>
      <w:r w:rsidRPr="00E85F14">
        <w:rPr>
          <w:rFonts w:ascii="Garamond" w:hAnsi="Garamond"/>
          <w:b/>
        </w:rPr>
        <w:lastRenderedPageBreak/>
        <w:t>Table A</w:t>
      </w:r>
      <w:r>
        <w:rPr>
          <w:rFonts w:ascii="Garamond" w:hAnsi="Garamond"/>
          <w:b/>
        </w:rPr>
        <w:t>5</w:t>
      </w:r>
      <w:r w:rsidRPr="00E85F14">
        <w:rPr>
          <w:rFonts w:ascii="Garamond" w:hAnsi="Garamond"/>
          <w:b/>
        </w:rPr>
        <w:t>: Stock Options and Stock Futures Traded in Major Exchanges</w:t>
      </w:r>
    </w:p>
    <w:tbl>
      <w:tblPr>
        <w:tblW w:w="5000" w:type="pct"/>
        <w:jc w:val="center"/>
        <w:tblCellMar>
          <w:left w:w="14" w:type="dxa"/>
          <w:right w:w="14" w:type="dxa"/>
        </w:tblCellMar>
        <w:tblLook w:val="04A0" w:firstRow="1" w:lastRow="0" w:firstColumn="1" w:lastColumn="0" w:noHBand="0" w:noVBand="1"/>
      </w:tblPr>
      <w:tblGrid>
        <w:gridCol w:w="2665"/>
        <w:gridCol w:w="1021"/>
        <w:gridCol w:w="932"/>
        <w:gridCol w:w="1025"/>
        <w:gridCol w:w="1021"/>
        <w:gridCol w:w="949"/>
        <w:gridCol w:w="917"/>
        <w:gridCol w:w="788"/>
      </w:tblGrid>
      <w:tr w:rsidR="002B2DA3" w:rsidRPr="00955098" w:rsidTr="002B2DA3">
        <w:trPr>
          <w:trHeight w:hRule="exact" w:val="216"/>
          <w:jc w:val="center"/>
        </w:trPr>
        <w:tc>
          <w:tcPr>
            <w:tcW w:w="1430"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2B2DA3" w:rsidRPr="00955098" w:rsidRDefault="002B2DA3" w:rsidP="002B2DA3">
            <w:pPr>
              <w:jc w:val="center"/>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Exchange</w:t>
            </w:r>
          </w:p>
        </w:tc>
        <w:tc>
          <w:tcPr>
            <w:tcW w:w="3147" w:type="pct"/>
            <w:gridSpan w:val="6"/>
            <w:tcBorders>
              <w:top w:val="single" w:sz="4" w:space="0" w:color="auto"/>
              <w:left w:val="nil"/>
              <w:bottom w:val="single" w:sz="4" w:space="0" w:color="auto"/>
              <w:right w:val="single" w:sz="4" w:space="0" w:color="auto"/>
            </w:tcBorders>
            <w:shd w:val="clear" w:color="000000" w:fill="B4C6E7"/>
            <w:vAlign w:val="center"/>
            <w:hideMark/>
          </w:tcPr>
          <w:p w:rsidR="002B2DA3" w:rsidRPr="00955098" w:rsidRDefault="002B2DA3" w:rsidP="002B2DA3">
            <w:pPr>
              <w:jc w:val="center"/>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Jan-19</w:t>
            </w:r>
          </w:p>
        </w:tc>
        <w:tc>
          <w:tcPr>
            <w:tcW w:w="423"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2B2DA3" w:rsidRPr="00955098" w:rsidRDefault="002B2DA3" w:rsidP="002B2DA3">
            <w:pPr>
              <w:jc w:val="center"/>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 xml:space="preserve">Trading days </w:t>
            </w:r>
            <w:r w:rsidRPr="00955098">
              <w:rPr>
                <w:rFonts w:ascii="Garamond" w:eastAsia="Times New Roman" w:hAnsi="Garamond" w:cs="Calibri"/>
                <w:b/>
                <w:bCs/>
                <w:color w:val="000000"/>
                <w:sz w:val="16"/>
                <w:szCs w:val="20"/>
              </w:rPr>
              <w:br/>
              <w:t>Jan 2019</w:t>
            </w:r>
          </w:p>
        </w:tc>
      </w:tr>
      <w:tr w:rsidR="002B2DA3" w:rsidRPr="00955098" w:rsidTr="002B2DA3">
        <w:trPr>
          <w:trHeight w:hRule="exact" w:val="216"/>
          <w:jc w:val="center"/>
        </w:trPr>
        <w:tc>
          <w:tcPr>
            <w:tcW w:w="1430" w:type="pct"/>
            <w:vMerge/>
            <w:tcBorders>
              <w:top w:val="single" w:sz="4" w:space="0" w:color="auto"/>
              <w:left w:val="single" w:sz="4" w:space="0" w:color="auto"/>
              <w:bottom w:val="single" w:sz="4" w:space="0" w:color="auto"/>
              <w:right w:val="single" w:sz="4" w:space="0" w:color="auto"/>
            </w:tcBorders>
            <w:vAlign w:val="center"/>
            <w:hideMark/>
          </w:tcPr>
          <w:p w:rsidR="002B2DA3" w:rsidRPr="00955098" w:rsidRDefault="002B2DA3" w:rsidP="002B2DA3">
            <w:pPr>
              <w:rPr>
                <w:rFonts w:ascii="Garamond" w:eastAsia="Times New Roman" w:hAnsi="Garamond" w:cs="Calibri"/>
                <w:b/>
                <w:bCs/>
                <w:color w:val="000000"/>
                <w:sz w:val="16"/>
                <w:szCs w:val="20"/>
              </w:rPr>
            </w:pPr>
          </w:p>
        </w:tc>
        <w:tc>
          <w:tcPr>
            <w:tcW w:w="1598" w:type="pct"/>
            <w:gridSpan w:val="3"/>
            <w:tcBorders>
              <w:top w:val="single" w:sz="4" w:space="0" w:color="auto"/>
              <w:left w:val="nil"/>
              <w:bottom w:val="single" w:sz="4" w:space="0" w:color="auto"/>
              <w:right w:val="single" w:sz="4" w:space="0" w:color="auto"/>
            </w:tcBorders>
            <w:shd w:val="clear" w:color="000000" w:fill="B4C6E7"/>
            <w:vAlign w:val="center"/>
            <w:hideMark/>
          </w:tcPr>
          <w:p w:rsidR="002B2DA3" w:rsidRPr="00955098" w:rsidRDefault="002B2DA3" w:rsidP="002B2DA3">
            <w:pPr>
              <w:jc w:val="center"/>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Stock options</w:t>
            </w:r>
          </w:p>
        </w:tc>
        <w:tc>
          <w:tcPr>
            <w:tcW w:w="1549" w:type="pct"/>
            <w:gridSpan w:val="3"/>
            <w:tcBorders>
              <w:top w:val="single" w:sz="4" w:space="0" w:color="auto"/>
              <w:left w:val="nil"/>
              <w:bottom w:val="single" w:sz="4" w:space="0" w:color="auto"/>
              <w:right w:val="single" w:sz="4" w:space="0" w:color="auto"/>
            </w:tcBorders>
            <w:shd w:val="clear" w:color="000000" w:fill="B4C6E7"/>
            <w:vAlign w:val="center"/>
            <w:hideMark/>
          </w:tcPr>
          <w:p w:rsidR="002B2DA3" w:rsidRPr="00955098" w:rsidRDefault="002B2DA3" w:rsidP="002B2DA3">
            <w:pPr>
              <w:jc w:val="center"/>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Single stock futures</w:t>
            </w:r>
          </w:p>
        </w:tc>
        <w:tc>
          <w:tcPr>
            <w:tcW w:w="423" w:type="pct"/>
            <w:vMerge/>
            <w:tcBorders>
              <w:top w:val="single" w:sz="4" w:space="0" w:color="auto"/>
              <w:left w:val="single" w:sz="4" w:space="0" w:color="auto"/>
              <w:bottom w:val="single" w:sz="4" w:space="0" w:color="auto"/>
              <w:right w:val="single" w:sz="4" w:space="0" w:color="auto"/>
            </w:tcBorders>
            <w:vAlign w:val="center"/>
            <w:hideMark/>
          </w:tcPr>
          <w:p w:rsidR="002B2DA3" w:rsidRPr="00955098" w:rsidRDefault="002B2DA3" w:rsidP="002B2DA3">
            <w:pPr>
              <w:rPr>
                <w:rFonts w:ascii="Garamond" w:eastAsia="Times New Roman" w:hAnsi="Garamond" w:cs="Calibri"/>
                <w:b/>
                <w:bCs/>
                <w:color w:val="000000"/>
                <w:sz w:val="16"/>
                <w:szCs w:val="20"/>
              </w:rPr>
            </w:pPr>
          </w:p>
        </w:tc>
      </w:tr>
      <w:tr w:rsidR="002B2DA3" w:rsidRPr="00955098" w:rsidTr="002B2DA3">
        <w:trPr>
          <w:trHeight w:hRule="exact" w:val="568"/>
          <w:jc w:val="center"/>
        </w:trPr>
        <w:tc>
          <w:tcPr>
            <w:tcW w:w="1430" w:type="pct"/>
            <w:vMerge/>
            <w:tcBorders>
              <w:top w:val="single" w:sz="4" w:space="0" w:color="auto"/>
              <w:left w:val="single" w:sz="4" w:space="0" w:color="auto"/>
              <w:bottom w:val="single" w:sz="4" w:space="0" w:color="auto"/>
              <w:right w:val="single" w:sz="4" w:space="0" w:color="auto"/>
            </w:tcBorders>
            <w:vAlign w:val="center"/>
            <w:hideMark/>
          </w:tcPr>
          <w:p w:rsidR="002B2DA3" w:rsidRPr="00955098" w:rsidRDefault="002B2DA3" w:rsidP="002B2DA3">
            <w:pPr>
              <w:rPr>
                <w:rFonts w:ascii="Garamond" w:eastAsia="Times New Roman" w:hAnsi="Garamond" w:cs="Calibri"/>
                <w:b/>
                <w:bCs/>
                <w:color w:val="000000"/>
                <w:sz w:val="16"/>
                <w:szCs w:val="20"/>
              </w:rPr>
            </w:pPr>
          </w:p>
        </w:tc>
        <w:tc>
          <w:tcPr>
            <w:tcW w:w="548" w:type="pct"/>
            <w:tcBorders>
              <w:top w:val="nil"/>
              <w:left w:val="nil"/>
              <w:bottom w:val="single" w:sz="4" w:space="0" w:color="auto"/>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Number of</w:t>
            </w:r>
            <w:r w:rsidRPr="00955098">
              <w:rPr>
                <w:rFonts w:ascii="Garamond" w:eastAsia="Times New Roman" w:hAnsi="Garamond" w:cs="Calibri"/>
                <w:b/>
                <w:bCs/>
                <w:color w:val="000000"/>
                <w:sz w:val="16"/>
                <w:szCs w:val="20"/>
              </w:rPr>
              <w:br/>
              <w:t>contracts traded</w:t>
            </w:r>
          </w:p>
        </w:tc>
        <w:tc>
          <w:tcPr>
            <w:tcW w:w="500" w:type="pct"/>
            <w:tcBorders>
              <w:top w:val="nil"/>
              <w:left w:val="nil"/>
              <w:bottom w:val="single" w:sz="4" w:space="0" w:color="auto"/>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Notional</w:t>
            </w:r>
            <w:r w:rsidRPr="00955098">
              <w:rPr>
                <w:rFonts w:ascii="Garamond" w:eastAsia="Times New Roman" w:hAnsi="Garamond" w:cs="Calibri"/>
                <w:b/>
                <w:bCs/>
                <w:color w:val="000000"/>
                <w:sz w:val="16"/>
                <w:szCs w:val="20"/>
              </w:rPr>
              <w:br/>
              <w:t>turnover</w:t>
            </w:r>
          </w:p>
        </w:tc>
        <w:tc>
          <w:tcPr>
            <w:tcW w:w="550" w:type="pct"/>
            <w:tcBorders>
              <w:top w:val="nil"/>
              <w:left w:val="nil"/>
              <w:bottom w:val="single" w:sz="4" w:space="0" w:color="auto"/>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Open</w:t>
            </w:r>
            <w:r w:rsidRPr="00955098">
              <w:rPr>
                <w:rFonts w:ascii="Garamond" w:eastAsia="Times New Roman" w:hAnsi="Garamond" w:cs="Calibri"/>
                <w:b/>
                <w:bCs/>
                <w:color w:val="000000"/>
                <w:sz w:val="16"/>
                <w:szCs w:val="20"/>
              </w:rPr>
              <w:br/>
              <w:t>interest</w:t>
            </w:r>
          </w:p>
        </w:tc>
        <w:tc>
          <w:tcPr>
            <w:tcW w:w="548" w:type="pct"/>
            <w:tcBorders>
              <w:top w:val="nil"/>
              <w:left w:val="nil"/>
              <w:bottom w:val="single" w:sz="4" w:space="0" w:color="auto"/>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Number of</w:t>
            </w:r>
            <w:r w:rsidRPr="00955098">
              <w:rPr>
                <w:rFonts w:ascii="Garamond" w:eastAsia="Times New Roman" w:hAnsi="Garamond" w:cs="Calibri"/>
                <w:b/>
                <w:bCs/>
                <w:color w:val="000000"/>
                <w:sz w:val="16"/>
                <w:szCs w:val="20"/>
              </w:rPr>
              <w:br/>
              <w:t>contracts traded</w:t>
            </w:r>
          </w:p>
        </w:tc>
        <w:tc>
          <w:tcPr>
            <w:tcW w:w="509" w:type="pct"/>
            <w:tcBorders>
              <w:top w:val="nil"/>
              <w:left w:val="nil"/>
              <w:bottom w:val="single" w:sz="4" w:space="0" w:color="auto"/>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Notional</w:t>
            </w:r>
            <w:r w:rsidRPr="00955098">
              <w:rPr>
                <w:rFonts w:ascii="Garamond" w:eastAsia="Times New Roman" w:hAnsi="Garamond" w:cs="Calibri"/>
                <w:b/>
                <w:bCs/>
                <w:color w:val="000000"/>
                <w:sz w:val="16"/>
                <w:szCs w:val="20"/>
              </w:rPr>
              <w:br/>
              <w:t>turnover</w:t>
            </w:r>
          </w:p>
        </w:tc>
        <w:tc>
          <w:tcPr>
            <w:tcW w:w="492" w:type="pct"/>
            <w:tcBorders>
              <w:top w:val="nil"/>
              <w:left w:val="nil"/>
              <w:bottom w:val="single" w:sz="4" w:space="0" w:color="auto"/>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Open</w:t>
            </w:r>
            <w:r w:rsidRPr="00955098">
              <w:rPr>
                <w:rFonts w:ascii="Garamond" w:eastAsia="Times New Roman" w:hAnsi="Garamond" w:cs="Calibri"/>
                <w:b/>
                <w:bCs/>
                <w:color w:val="000000"/>
                <w:sz w:val="16"/>
                <w:szCs w:val="20"/>
              </w:rPr>
              <w:br/>
              <w:t>interest</w:t>
            </w:r>
          </w:p>
        </w:tc>
        <w:tc>
          <w:tcPr>
            <w:tcW w:w="423" w:type="pct"/>
            <w:vMerge/>
            <w:tcBorders>
              <w:top w:val="single" w:sz="4" w:space="0" w:color="auto"/>
              <w:left w:val="single" w:sz="4" w:space="0" w:color="auto"/>
              <w:bottom w:val="single" w:sz="4" w:space="0" w:color="auto"/>
              <w:right w:val="single" w:sz="4" w:space="0" w:color="auto"/>
            </w:tcBorders>
            <w:vAlign w:val="center"/>
            <w:hideMark/>
          </w:tcPr>
          <w:p w:rsidR="002B2DA3" w:rsidRPr="00955098" w:rsidRDefault="002B2DA3" w:rsidP="002B2DA3">
            <w:pPr>
              <w:rPr>
                <w:rFonts w:ascii="Garamond" w:eastAsia="Times New Roman" w:hAnsi="Garamond" w:cs="Calibri"/>
                <w:b/>
                <w:bCs/>
                <w:color w:val="000000"/>
                <w:sz w:val="16"/>
                <w:szCs w:val="20"/>
              </w:rPr>
            </w:pPr>
          </w:p>
        </w:tc>
      </w:tr>
      <w:tr w:rsidR="002B2DA3" w:rsidRPr="00955098" w:rsidTr="002B2DA3">
        <w:trPr>
          <w:trHeight w:hRule="exact" w:val="216"/>
          <w:jc w:val="center"/>
        </w:trPr>
        <w:tc>
          <w:tcPr>
            <w:tcW w:w="5000" w:type="pct"/>
            <w:gridSpan w:val="8"/>
            <w:tcBorders>
              <w:top w:val="single" w:sz="4" w:space="0" w:color="auto"/>
              <w:left w:val="single" w:sz="4" w:space="0" w:color="auto"/>
              <w:bottom w:val="single" w:sz="4" w:space="0" w:color="auto"/>
              <w:right w:val="single" w:sz="4" w:space="0" w:color="000000"/>
            </w:tcBorders>
            <w:shd w:val="clear" w:color="000000" w:fill="D9E1F2"/>
            <w:vAlign w:val="center"/>
            <w:hideMark/>
          </w:tcPr>
          <w:p w:rsidR="002B2DA3" w:rsidRPr="00955098" w:rsidRDefault="002B2DA3" w:rsidP="002B2DA3">
            <w:pPr>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Americas</w:t>
            </w:r>
          </w:p>
        </w:tc>
      </w:tr>
      <w:tr w:rsidR="002B2DA3" w:rsidRPr="00955098" w:rsidTr="002B2DA3">
        <w:trPr>
          <w:trHeight w:hRule="exact" w:val="216"/>
          <w:jc w:val="center"/>
        </w:trPr>
        <w:tc>
          <w:tcPr>
            <w:tcW w:w="1430" w:type="pct"/>
            <w:tcBorders>
              <w:top w:val="nil"/>
              <w:left w:val="single" w:sz="4" w:space="0" w:color="auto"/>
              <w:bottom w:val="nil"/>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BATS Global Markets - US</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24,072,706 </w:t>
            </w:r>
          </w:p>
        </w:tc>
        <w:tc>
          <w:tcPr>
            <w:tcW w:w="50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50"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0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492"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w:t>
            </w:r>
          </w:p>
        </w:tc>
      </w:tr>
      <w:tr w:rsidR="002B2DA3" w:rsidRPr="00955098" w:rsidTr="002B2DA3">
        <w:trPr>
          <w:trHeight w:hRule="exact" w:val="216"/>
          <w:jc w:val="center"/>
        </w:trPr>
        <w:tc>
          <w:tcPr>
            <w:tcW w:w="1430" w:type="pct"/>
            <w:tcBorders>
              <w:top w:val="nil"/>
              <w:left w:val="single" w:sz="4" w:space="0" w:color="auto"/>
              <w:bottom w:val="nil"/>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BM&amp;FBOVESPA</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89,182,616 </w:t>
            </w:r>
          </w:p>
        </w:tc>
        <w:tc>
          <w:tcPr>
            <w:tcW w:w="50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74,737 </w:t>
            </w:r>
          </w:p>
        </w:tc>
        <w:tc>
          <w:tcPr>
            <w:tcW w:w="550"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23,334,700 </w:t>
            </w:r>
          </w:p>
        </w:tc>
        <w:tc>
          <w:tcPr>
            <w:tcW w:w="5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   </w:t>
            </w:r>
          </w:p>
        </w:tc>
        <w:tc>
          <w:tcPr>
            <w:tcW w:w="50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   </w:t>
            </w:r>
          </w:p>
        </w:tc>
        <w:tc>
          <w:tcPr>
            <w:tcW w:w="492"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21 </w:t>
            </w:r>
          </w:p>
        </w:tc>
      </w:tr>
      <w:tr w:rsidR="002B2DA3" w:rsidRPr="00955098" w:rsidTr="002B2DA3">
        <w:trPr>
          <w:trHeight w:hRule="exact" w:val="216"/>
          <w:jc w:val="center"/>
        </w:trPr>
        <w:tc>
          <w:tcPr>
            <w:tcW w:w="1430" w:type="pct"/>
            <w:tcBorders>
              <w:top w:val="nil"/>
              <w:left w:val="single" w:sz="4" w:space="0" w:color="auto"/>
              <w:bottom w:val="nil"/>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Bolsa de Comercio de Buenos Aires</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2,648,008 </w:t>
            </w:r>
          </w:p>
        </w:tc>
        <w:tc>
          <w:tcPr>
            <w:tcW w:w="50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   </w:t>
            </w:r>
          </w:p>
        </w:tc>
        <w:tc>
          <w:tcPr>
            <w:tcW w:w="550"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   </w:t>
            </w:r>
          </w:p>
        </w:tc>
        <w:tc>
          <w:tcPr>
            <w:tcW w:w="5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   </w:t>
            </w:r>
          </w:p>
        </w:tc>
        <w:tc>
          <w:tcPr>
            <w:tcW w:w="50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   </w:t>
            </w:r>
          </w:p>
        </w:tc>
        <w:tc>
          <w:tcPr>
            <w:tcW w:w="492"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22 </w:t>
            </w:r>
          </w:p>
        </w:tc>
      </w:tr>
      <w:tr w:rsidR="002B2DA3" w:rsidRPr="00955098" w:rsidTr="002B2DA3">
        <w:trPr>
          <w:trHeight w:hRule="exact" w:val="216"/>
          <w:jc w:val="center"/>
        </w:trPr>
        <w:tc>
          <w:tcPr>
            <w:tcW w:w="1430" w:type="pct"/>
            <w:tcBorders>
              <w:top w:val="nil"/>
              <w:left w:val="single" w:sz="4" w:space="0" w:color="auto"/>
              <w:bottom w:val="nil"/>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Bolsa de Valores de Colombia</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0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   </w:t>
            </w:r>
          </w:p>
        </w:tc>
        <w:tc>
          <w:tcPr>
            <w:tcW w:w="550"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   </w:t>
            </w:r>
          </w:p>
        </w:tc>
        <w:tc>
          <w:tcPr>
            <w:tcW w:w="5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4,774 </w:t>
            </w:r>
          </w:p>
        </w:tc>
        <w:tc>
          <w:tcPr>
            <w:tcW w:w="50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13 </w:t>
            </w:r>
          </w:p>
        </w:tc>
        <w:tc>
          <w:tcPr>
            <w:tcW w:w="492"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12,664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21 </w:t>
            </w:r>
          </w:p>
        </w:tc>
      </w:tr>
      <w:tr w:rsidR="002B2DA3" w:rsidRPr="00955098" w:rsidTr="002B2DA3">
        <w:trPr>
          <w:trHeight w:hRule="exact" w:val="216"/>
          <w:jc w:val="center"/>
        </w:trPr>
        <w:tc>
          <w:tcPr>
            <w:tcW w:w="1430" w:type="pct"/>
            <w:tcBorders>
              <w:top w:val="nil"/>
              <w:left w:val="single" w:sz="4" w:space="0" w:color="auto"/>
              <w:bottom w:val="nil"/>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Bourse de Montreal</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2,757,998 </w:t>
            </w:r>
          </w:p>
        </w:tc>
        <w:tc>
          <w:tcPr>
            <w:tcW w:w="50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50"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305,819 </w:t>
            </w:r>
          </w:p>
        </w:tc>
        <w:tc>
          <w:tcPr>
            <w:tcW w:w="50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492"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w:t>
            </w:r>
          </w:p>
        </w:tc>
      </w:tr>
      <w:tr w:rsidR="002B2DA3" w:rsidRPr="00955098" w:rsidTr="002B2DA3">
        <w:trPr>
          <w:trHeight w:hRule="exact" w:val="216"/>
          <w:jc w:val="center"/>
        </w:trPr>
        <w:tc>
          <w:tcPr>
            <w:tcW w:w="1430" w:type="pct"/>
            <w:tcBorders>
              <w:top w:val="nil"/>
              <w:left w:val="single" w:sz="4" w:space="0" w:color="auto"/>
              <w:bottom w:val="nil"/>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Chicago Board Options Exchange</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40,947,230 </w:t>
            </w:r>
          </w:p>
        </w:tc>
        <w:tc>
          <w:tcPr>
            <w:tcW w:w="50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50"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142,501,000 </w:t>
            </w:r>
          </w:p>
        </w:tc>
        <w:tc>
          <w:tcPr>
            <w:tcW w:w="5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0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492"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21 </w:t>
            </w:r>
          </w:p>
        </w:tc>
      </w:tr>
      <w:tr w:rsidR="002B2DA3" w:rsidRPr="00955098" w:rsidTr="002B2DA3">
        <w:trPr>
          <w:trHeight w:hRule="exact" w:val="216"/>
          <w:jc w:val="center"/>
        </w:trPr>
        <w:tc>
          <w:tcPr>
            <w:tcW w:w="1430" w:type="pct"/>
            <w:tcBorders>
              <w:top w:val="nil"/>
              <w:left w:val="single" w:sz="4" w:space="0" w:color="auto"/>
              <w:bottom w:val="nil"/>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International Securities Exchange</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26,219,527 </w:t>
            </w:r>
          </w:p>
        </w:tc>
        <w:tc>
          <w:tcPr>
            <w:tcW w:w="50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50"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0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492"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w:t>
            </w:r>
          </w:p>
        </w:tc>
      </w:tr>
      <w:tr w:rsidR="002B2DA3" w:rsidRPr="00955098" w:rsidTr="002B2DA3">
        <w:trPr>
          <w:trHeight w:hRule="exact" w:val="216"/>
          <w:jc w:val="center"/>
        </w:trPr>
        <w:tc>
          <w:tcPr>
            <w:tcW w:w="1430" w:type="pct"/>
            <w:tcBorders>
              <w:top w:val="nil"/>
              <w:left w:val="single" w:sz="4" w:space="0" w:color="auto"/>
              <w:bottom w:val="nil"/>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MexDer</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11,855 </w:t>
            </w:r>
          </w:p>
        </w:tc>
        <w:tc>
          <w:tcPr>
            <w:tcW w:w="50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 </w:t>
            </w:r>
          </w:p>
        </w:tc>
        <w:tc>
          <w:tcPr>
            <w:tcW w:w="550"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84,135 </w:t>
            </w:r>
          </w:p>
        </w:tc>
        <w:tc>
          <w:tcPr>
            <w:tcW w:w="5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1,100 </w:t>
            </w:r>
          </w:p>
        </w:tc>
        <w:tc>
          <w:tcPr>
            <w:tcW w:w="50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0 </w:t>
            </w:r>
          </w:p>
        </w:tc>
        <w:tc>
          <w:tcPr>
            <w:tcW w:w="492"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2,200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22 </w:t>
            </w:r>
          </w:p>
        </w:tc>
      </w:tr>
      <w:tr w:rsidR="002B2DA3" w:rsidRPr="00955098" w:rsidTr="002B2DA3">
        <w:trPr>
          <w:trHeight w:hRule="exact" w:val="216"/>
          <w:jc w:val="center"/>
        </w:trPr>
        <w:tc>
          <w:tcPr>
            <w:tcW w:w="1430" w:type="pct"/>
            <w:tcBorders>
              <w:top w:val="nil"/>
              <w:left w:val="single" w:sz="4" w:space="0" w:color="auto"/>
              <w:bottom w:val="nil"/>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Miami International Securities Exchange</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10,040,081 </w:t>
            </w:r>
          </w:p>
        </w:tc>
        <w:tc>
          <w:tcPr>
            <w:tcW w:w="50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50"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0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492"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w:t>
            </w:r>
          </w:p>
        </w:tc>
      </w:tr>
      <w:tr w:rsidR="002B2DA3" w:rsidRPr="00955098" w:rsidTr="002B2DA3">
        <w:trPr>
          <w:trHeight w:hRule="exact" w:val="216"/>
          <w:jc w:val="center"/>
        </w:trPr>
        <w:tc>
          <w:tcPr>
            <w:tcW w:w="1430" w:type="pct"/>
            <w:tcBorders>
              <w:top w:val="nil"/>
              <w:left w:val="single" w:sz="4" w:space="0" w:color="auto"/>
              <w:bottom w:val="nil"/>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Nasdaq - US</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61,323,067 </w:t>
            </w:r>
          </w:p>
        </w:tc>
        <w:tc>
          <w:tcPr>
            <w:tcW w:w="50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50"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0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492"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w:t>
            </w:r>
          </w:p>
        </w:tc>
      </w:tr>
      <w:tr w:rsidR="002B2DA3" w:rsidRPr="00955098" w:rsidTr="002B2DA3">
        <w:trPr>
          <w:trHeight w:hRule="exact" w:val="216"/>
          <w:jc w:val="center"/>
        </w:trPr>
        <w:tc>
          <w:tcPr>
            <w:tcW w:w="1430" w:type="pct"/>
            <w:tcBorders>
              <w:top w:val="nil"/>
              <w:left w:val="single" w:sz="4" w:space="0" w:color="auto"/>
              <w:bottom w:val="nil"/>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NYSE</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37,867,712 </w:t>
            </w:r>
          </w:p>
        </w:tc>
        <w:tc>
          <w:tcPr>
            <w:tcW w:w="50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15,892 </w:t>
            </w:r>
          </w:p>
        </w:tc>
        <w:tc>
          <w:tcPr>
            <w:tcW w:w="550"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09"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492"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21 </w:t>
            </w:r>
          </w:p>
        </w:tc>
      </w:tr>
      <w:tr w:rsidR="002B2DA3" w:rsidRPr="00955098" w:rsidTr="002B2DA3">
        <w:trPr>
          <w:trHeight w:hRule="exact" w:val="216"/>
          <w:jc w:val="center"/>
        </w:trPr>
        <w:tc>
          <w:tcPr>
            <w:tcW w:w="1430" w:type="pct"/>
            <w:tcBorders>
              <w:top w:val="single" w:sz="4" w:space="0" w:color="auto"/>
              <w:left w:val="single" w:sz="4" w:space="0" w:color="auto"/>
              <w:bottom w:val="single" w:sz="4" w:space="0" w:color="auto"/>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Total region</w:t>
            </w:r>
          </w:p>
        </w:tc>
        <w:tc>
          <w:tcPr>
            <w:tcW w:w="548" w:type="pct"/>
            <w:tcBorders>
              <w:top w:val="single" w:sz="4" w:space="0" w:color="auto"/>
              <w:left w:val="nil"/>
              <w:bottom w:val="single" w:sz="4" w:space="0" w:color="auto"/>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 xml:space="preserve">   295,070,800 </w:t>
            </w:r>
          </w:p>
        </w:tc>
        <w:tc>
          <w:tcPr>
            <w:tcW w:w="500" w:type="pct"/>
            <w:tcBorders>
              <w:top w:val="single" w:sz="4" w:space="0" w:color="auto"/>
              <w:left w:val="nil"/>
              <w:bottom w:val="single" w:sz="4" w:space="0" w:color="auto"/>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 </w:t>
            </w:r>
          </w:p>
        </w:tc>
        <w:tc>
          <w:tcPr>
            <w:tcW w:w="550" w:type="pct"/>
            <w:tcBorders>
              <w:top w:val="single" w:sz="4" w:space="0" w:color="auto"/>
              <w:left w:val="nil"/>
              <w:bottom w:val="single" w:sz="4" w:space="0" w:color="auto"/>
              <w:right w:val="nil"/>
            </w:tcBorders>
            <w:shd w:val="clear" w:color="auto" w:fill="auto"/>
            <w:vAlign w:val="center"/>
            <w:hideMark/>
          </w:tcPr>
          <w:p w:rsidR="002B2DA3" w:rsidRPr="00955098" w:rsidRDefault="002B2DA3" w:rsidP="002B2DA3">
            <w:pPr>
              <w:jc w:val="right"/>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 </w:t>
            </w:r>
          </w:p>
        </w:tc>
        <w:tc>
          <w:tcPr>
            <w:tcW w:w="54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 xml:space="preserve">           311,693 </w:t>
            </w:r>
          </w:p>
        </w:tc>
        <w:tc>
          <w:tcPr>
            <w:tcW w:w="509" w:type="pct"/>
            <w:tcBorders>
              <w:top w:val="single" w:sz="4" w:space="0" w:color="auto"/>
              <w:left w:val="nil"/>
              <w:bottom w:val="single" w:sz="4" w:space="0" w:color="auto"/>
              <w:right w:val="nil"/>
            </w:tcBorders>
            <w:shd w:val="clear" w:color="auto" w:fill="auto"/>
            <w:vAlign w:val="center"/>
            <w:hideMark/>
          </w:tcPr>
          <w:p w:rsidR="002B2DA3" w:rsidRPr="00955098" w:rsidRDefault="002B2DA3" w:rsidP="002B2DA3">
            <w:pPr>
              <w:jc w:val="right"/>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 </w:t>
            </w:r>
          </w:p>
        </w:tc>
        <w:tc>
          <w:tcPr>
            <w:tcW w:w="49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 </w:t>
            </w:r>
          </w:p>
        </w:tc>
        <w:tc>
          <w:tcPr>
            <w:tcW w:w="423" w:type="pct"/>
            <w:tcBorders>
              <w:top w:val="single" w:sz="4" w:space="0" w:color="auto"/>
              <w:left w:val="nil"/>
              <w:bottom w:val="single" w:sz="4" w:space="0" w:color="auto"/>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 </w:t>
            </w:r>
          </w:p>
        </w:tc>
      </w:tr>
      <w:tr w:rsidR="002B2DA3" w:rsidRPr="00955098" w:rsidTr="002B2DA3">
        <w:trPr>
          <w:trHeight w:hRule="exact" w:val="216"/>
          <w:jc w:val="center"/>
        </w:trPr>
        <w:tc>
          <w:tcPr>
            <w:tcW w:w="5000" w:type="pct"/>
            <w:gridSpan w:val="8"/>
            <w:tcBorders>
              <w:top w:val="nil"/>
              <w:left w:val="single" w:sz="4" w:space="0" w:color="auto"/>
              <w:bottom w:val="single" w:sz="4" w:space="0" w:color="auto"/>
              <w:right w:val="single" w:sz="4" w:space="0" w:color="000000"/>
            </w:tcBorders>
            <w:shd w:val="clear" w:color="000000" w:fill="D9E1F2"/>
            <w:vAlign w:val="center"/>
            <w:hideMark/>
          </w:tcPr>
          <w:p w:rsidR="002B2DA3" w:rsidRPr="00955098" w:rsidRDefault="002B2DA3" w:rsidP="002B2DA3">
            <w:pPr>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Asia - Pacific</w:t>
            </w:r>
          </w:p>
        </w:tc>
      </w:tr>
      <w:tr w:rsidR="002B2DA3" w:rsidRPr="00955098" w:rsidTr="002B2DA3">
        <w:trPr>
          <w:trHeight w:hRule="exact" w:val="216"/>
          <w:jc w:val="center"/>
        </w:trPr>
        <w:tc>
          <w:tcPr>
            <w:tcW w:w="1430" w:type="pct"/>
            <w:tcBorders>
              <w:top w:val="nil"/>
              <w:left w:val="single" w:sz="4" w:space="0" w:color="auto"/>
              <w:bottom w:val="nil"/>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Australian Securities Exchange</w:t>
            </w:r>
          </w:p>
        </w:tc>
        <w:tc>
          <w:tcPr>
            <w:tcW w:w="548"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5,156,054 </w:t>
            </w:r>
          </w:p>
        </w:tc>
        <w:tc>
          <w:tcPr>
            <w:tcW w:w="500"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9,714 </w:t>
            </w:r>
          </w:p>
        </w:tc>
        <w:tc>
          <w:tcPr>
            <w:tcW w:w="55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6,696,170 </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51,180 </w:t>
            </w:r>
          </w:p>
        </w:tc>
        <w:tc>
          <w:tcPr>
            <w:tcW w:w="50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102 </w:t>
            </w:r>
          </w:p>
        </w:tc>
        <w:tc>
          <w:tcPr>
            <w:tcW w:w="492"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669,361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22</w:t>
            </w:r>
          </w:p>
        </w:tc>
      </w:tr>
      <w:tr w:rsidR="002B2DA3" w:rsidRPr="00955098" w:rsidTr="002B2DA3">
        <w:trPr>
          <w:trHeight w:hRule="exact" w:val="216"/>
          <w:jc w:val="center"/>
        </w:trPr>
        <w:tc>
          <w:tcPr>
            <w:tcW w:w="1430" w:type="pct"/>
            <w:tcBorders>
              <w:top w:val="nil"/>
              <w:left w:val="single" w:sz="4" w:space="0" w:color="auto"/>
              <w:bottom w:val="nil"/>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BSE India Limited</w:t>
            </w:r>
          </w:p>
        </w:tc>
        <w:tc>
          <w:tcPr>
            <w:tcW w:w="548"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00"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5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7 </w:t>
            </w:r>
          </w:p>
        </w:tc>
        <w:tc>
          <w:tcPr>
            <w:tcW w:w="50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0 </w:t>
            </w:r>
          </w:p>
        </w:tc>
        <w:tc>
          <w:tcPr>
            <w:tcW w:w="492"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23</w:t>
            </w:r>
          </w:p>
        </w:tc>
      </w:tr>
      <w:tr w:rsidR="002B2DA3" w:rsidRPr="00955098" w:rsidTr="002B2DA3">
        <w:trPr>
          <w:trHeight w:hRule="exact" w:val="216"/>
          <w:jc w:val="center"/>
        </w:trPr>
        <w:tc>
          <w:tcPr>
            <w:tcW w:w="1430" w:type="pct"/>
            <w:tcBorders>
              <w:top w:val="nil"/>
              <w:left w:val="single" w:sz="4" w:space="0" w:color="auto"/>
              <w:bottom w:val="nil"/>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Hong Kong Exchanges and Clearing</w:t>
            </w:r>
          </w:p>
        </w:tc>
        <w:tc>
          <w:tcPr>
            <w:tcW w:w="548"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9,672,657 </w:t>
            </w:r>
          </w:p>
        </w:tc>
        <w:tc>
          <w:tcPr>
            <w:tcW w:w="500"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33,275 </w:t>
            </w:r>
          </w:p>
        </w:tc>
        <w:tc>
          <w:tcPr>
            <w:tcW w:w="55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8,170,880 </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126,200 </w:t>
            </w:r>
          </w:p>
        </w:tc>
        <w:tc>
          <w:tcPr>
            <w:tcW w:w="50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526 </w:t>
            </w:r>
          </w:p>
        </w:tc>
        <w:tc>
          <w:tcPr>
            <w:tcW w:w="492"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22,605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22</w:t>
            </w:r>
          </w:p>
        </w:tc>
      </w:tr>
      <w:tr w:rsidR="002B2DA3" w:rsidRPr="00955098" w:rsidTr="002B2DA3">
        <w:trPr>
          <w:trHeight w:hRule="exact" w:val="216"/>
          <w:jc w:val="center"/>
        </w:trPr>
        <w:tc>
          <w:tcPr>
            <w:tcW w:w="1430" w:type="pct"/>
            <w:tcBorders>
              <w:top w:val="nil"/>
              <w:left w:val="single" w:sz="4" w:space="0" w:color="auto"/>
              <w:bottom w:val="nil"/>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Japan Exchange Group</w:t>
            </w:r>
          </w:p>
        </w:tc>
        <w:tc>
          <w:tcPr>
            <w:tcW w:w="548"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19,689 </w:t>
            </w:r>
          </w:p>
        </w:tc>
        <w:tc>
          <w:tcPr>
            <w:tcW w:w="500"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5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68,291 </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0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492"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19</w:t>
            </w:r>
          </w:p>
        </w:tc>
      </w:tr>
      <w:tr w:rsidR="002B2DA3" w:rsidRPr="00955098" w:rsidTr="002B2DA3">
        <w:trPr>
          <w:trHeight w:hRule="exact" w:val="216"/>
          <w:jc w:val="center"/>
        </w:trPr>
        <w:tc>
          <w:tcPr>
            <w:tcW w:w="1430" w:type="pct"/>
            <w:tcBorders>
              <w:top w:val="nil"/>
              <w:left w:val="single" w:sz="4" w:space="0" w:color="auto"/>
              <w:bottom w:val="nil"/>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Korea Exchange</w:t>
            </w:r>
          </w:p>
        </w:tc>
        <w:tc>
          <w:tcPr>
            <w:tcW w:w="548"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1,345,326 </w:t>
            </w:r>
          </w:p>
        </w:tc>
        <w:tc>
          <w:tcPr>
            <w:tcW w:w="500"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5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366,715 </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60,917,053 </w:t>
            </w:r>
          </w:p>
        </w:tc>
        <w:tc>
          <w:tcPr>
            <w:tcW w:w="50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29,733 </w:t>
            </w:r>
          </w:p>
        </w:tc>
        <w:tc>
          <w:tcPr>
            <w:tcW w:w="492"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3,492,150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22</w:t>
            </w:r>
          </w:p>
        </w:tc>
      </w:tr>
      <w:tr w:rsidR="002B2DA3" w:rsidRPr="00955098" w:rsidTr="002B2DA3">
        <w:trPr>
          <w:trHeight w:hRule="exact" w:val="216"/>
          <w:jc w:val="center"/>
        </w:trPr>
        <w:tc>
          <w:tcPr>
            <w:tcW w:w="1430" w:type="pct"/>
            <w:tcBorders>
              <w:top w:val="nil"/>
              <w:left w:val="single" w:sz="4" w:space="0" w:color="auto"/>
              <w:bottom w:val="nil"/>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National Stock Exchange of India</w:t>
            </w:r>
          </w:p>
        </w:tc>
        <w:tc>
          <w:tcPr>
            <w:tcW w:w="548"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18,672,433 </w:t>
            </w:r>
          </w:p>
        </w:tc>
        <w:tc>
          <w:tcPr>
            <w:tcW w:w="500"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159,675 </w:t>
            </w:r>
          </w:p>
        </w:tc>
        <w:tc>
          <w:tcPr>
            <w:tcW w:w="55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215,434 </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21,835,896 </w:t>
            </w:r>
          </w:p>
        </w:tc>
        <w:tc>
          <w:tcPr>
            <w:tcW w:w="50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180,244 </w:t>
            </w:r>
          </w:p>
        </w:tc>
        <w:tc>
          <w:tcPr>
            <w:tcW w:w="492"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1,762,210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23</w:t>
            </w:r>
          </w:p>
        </w:tc>
      </w:tr>
      <w:tr w:rsidR="002B2DA3" w:rsidRPr="00955098" w:rsidTr="002B2DA3">
        <w:trPr>
          <w:trHeight w:hRule="exact" w:val="216"/>
          <w:jc w:val="center"/>
        </w:trPr>
        <w:tc>
          <w:tcPr>
            <w:tcW w:w="1430" w:type="pct"/>
            <w:tcBorders>
              <w:top w:val="nil"/>
              <w:left w:val="single" w:sz="4" w:space="0" w:color="auto"/>
              <w:bottom w:val="nil"/>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TAIFEX</w:t>
            </w:r>
          </w:p>
        </w:tc>
        <w:tc>
          <w:tcPr>
            <w:tcW w:w="548"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17,275 </w:t>
            </w:r>
          </w:p>
        </w:tc>
        <w:tc>
          <w:tcPr>
            <w:tcW w:w="500"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77 </w:t>
            </w:r>
          </w:p>
        </w:tc>
        <w:tc>
          <w:tcPr>
            <w:tcW w:w="55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6,673 </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1,495,364 </w:t>
            </w:r>
          </w:p>
        </w:tc>
        <w:tc>
          <w:tcPr>
            <w:tcW w:w="50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10,367 </w:t>
            </w:r>
          </w:p>
        </w:tc>
        <w:tc>
          <w:tcPr>
            <w:tcW w:w="492"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109,380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21</w:t>
            </w:r>
          </w:p>
        </w:tc>
      </w:tr>
      <w:tr w:rsidR="002B2DA3" w:rsidRPr="00955098" w:rsidTr="002B2DA3">
        <w:trPr>
          <w:trHeight w:hRule="exact" w:val="216"/>
          <w:jc w:val="center"/>
        </w:trPr>
        <w:tc>
          <w:tcPr>
            <w:tcW w:w="1430" w:type="pct"/>
            <w:tcBorders>
              <w:top w:val="nil"/>
              <w:left w:val="single" w:sz="4" w:space="0" w:color="auto"/>
              <w:bottom w:val="nil"/>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Thailand Futures Exchange</w:t>
            </w:r>
          </w:p>
        </w:tc>
        <w:tc>
          <w:tcPr>
            <w:tcW w:w="548" w:type="pct"/>
            <w:tcBorders>
              <w:top w:val="nil"/>
              <w:left w:val="nil"/>
              <w:bottom w:val="nil"/>
              <w:right w:val="nil"/>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NA</w:t>
            </w:r>
          </w:p>
        </w:tc>
        <w:tc>
          <w:tcPr>
            <w:tcW w:w="500"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NA</w:t>
            </w:r>
          </w:p>
        </w:tc>
        <w:tc>
          <w:tcPr>
            <w:tcW w:w="55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NA</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3,626,547 </w:t>
            </w:r>
          </w:p>
        </w:tc>
        <w:tc>
          <w:tcPr>
            <w:tcW w:w="50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NA</w:t>
            </w:r>
          </w:p>
        </w:tc>
        <w:tc>
          <w:tcPr>
            <w:tcW w:w="492"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2010410</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22</w:t>
            </w:r>
          </w:p>
        </w:tc>
      </w:tr>
      <w:tr w:rsidR="002B2DA3" w:rsidRPr="00955098" w:rsidTr="002B2DA3">
        <w:trPr>
          <w:trHeight w:hRule="exact" w:val="216"/>
          <w:jc w:val="center"/>
        </w:trPr>
        <w:tc>
          <w:tcPr>
            <w:tcW w:w="1430" w:type="pct"/>
            <w:tcBorders>
              <w:top w:val="single" w:sz="4" w:space="0" w:color="auto"/>
              <w:left w:val="single" w:sz="4" w:space="0" w:color="auto"/>
              <w:bottom w:val="single" w:sz="4" w:space="0" w:color="auto"/>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Total region</w:t>
            </w:r>
          </w:p>
        </w:tc>
        <w:tc>
          <w:tcPr>
            <w:tcW w:w="548" w:type="pct"/>
            <w:tcBorders>
              <w:top w:val="single" w:sz="4" w:space="0" w:color="auto"/>
              <w:left w:val="nil"/>
              <w:bottom w:val="single" w:sz="4" w:space="0" w:color="auto"/>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 xml:space="preserve">     34,883,434 </w:t>
            </w:r>
          </w:p>
        </w:tc>
        <w:tc>
          <w:tcPr>
            <w:tcW w:w="500" w:type="pct"/>
            <w:tcBorders>
              <w:top w:val="single" w:sz="4" w:space="0" w:color="auto"/>
              <w:left w:val="nil"/>
              <w:bottom w:val="single" w:sz="4" w:space="0" w:color="auto"/>
              <w:right w:val="single" w:sz="4" w:space="0" w:color="auto"/>
            </w:tcBorders>
            <w:shd w:val="clear" w:color="auto" w:fill="auto"/>
            <w:vAlign w:val="center"/>
            <w:hideMark/>
          </w:tcPr>
          <w:p w:rsidR="002B2DA3" w:rsidRPr="00955098" w:rsidRDefault="002B2DA3" w:rsidP="002B2DA3">
            <w:pPr>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 </w:t>
            </w:r>
          </w:p>
        </w:tc>
        <w:tc>
          <w:tcPr>
            <w:tcW w:w="550" w:type="pct"/>
            <w:tcBorders>
              <w:top w:val="single" w:sz="4" w:space="0" w:color="auto"/>
              <w:left w:val="nil"/>
              <w:bottom w:val="single" w:sz="4" w:space="0" w:color="auto"/>
              <w:right w:val="single" w:sz="4" w:space="0" w:color="auto"/>
            </w:tcBorders>
            <w:shd w:val="clear" w:color="auto" w:fill="auto"/>
            <w:vAlign w:val="center"/>
            <w:hideMark/>
          </w:tcPr>
          <w:p w:rsidR="002B2DA3" w:rsidRPr="00955098" w:rsidRDefault="002B2DA3" w:rsidP="002B2DA3">
            <w:pPr>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 </w:t>
            </w:r>
          </w:p>
        </w:tc>
        <w:tc>
          <w:tcPr>
            <w:tcW w:w="548" w:type="pct"/>
            <w:tcBorders>
              <w:top w:val="single" w:sz="4" w:space="0" w:color="auto"/>
              <w:left w:val="nil"/>
              <w:bottom w:val="single" w:sz="4" w:space="0" w:color="auto"/>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 xml:space="preserve">     88,052,247 </w:t>
            </w:r>
          </w:p>
        </w:tc>
        <w:tc>
          <w:tcPr>
            <w:tcW w:w="509" w:type="pct"/>
            <w:tcBorders>
              <w:top w:val="single" w:sz="4" w:space="0" w:color="auto"/>
              <w:left w:val="nil"/>
              <w:bottom w:val="single" w:sz="4" w:space="0" w:color="auto"/>
              <w:right w:val="single" w:sz="4" w:space="0" w:color="auto"/>
            </w:tcBorders>
            <w:shd w:val="clear" w:color="auto" w:fill="auto"/>
            <w:vAlign w:val="center"/>
            <w:hideMark/>
          </w:tcPr>
          <w:p w:rsidR="002B2DA3" w:rsidRPr="00955098" w:rsidRDefault="002B2DA3" w:rsidP="002B2DA3">
            <w:pPr>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 </w:t>
            </w:r>
          </w:p>
        </w:tc>
        <w:tc>
          <w:tcPr>
            <w:tcW w:w="492" w:type="pct"/>
            <w:tcBorders>
              <w:top w:val="single" w:sz="4" w:space="0" w:color="auto"/>
              <w:left w:val="nil"/>
              <w:bottom w:val="single" w:sz="4" w:space="0" w:color="auto"/>
              <w:right w:val="single" w:sz="4" w:space="0" w:color="auto"/>
            </w:tcBorders>
            <w:shd w:val="clear" w:color="auto" w:fill="auto"/>
            <w:vAlign w:val="center"/>
            <w:hideMark/>
          </w:tcPr>
          <w:p w:rsidR="002B2DA3" w:rsidRPr="00955098" w:rsidRDefault="002B2DA3" w:rsidP="002B2DA3">
            <w:pPr>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 </w:t>
            </w:r>
          </w:p>
        </w:tc>
        <w:tc>
          <w:tcPr>
            <w:tcW w:w="423" w:type="pct"/>
            <w:tcBorders>
              <w:top w:val="single" w:sz="4" w:space="0" w:color="auto"/>
              <w:left w:val="nil"/>
              <w:bottom w:val="single" w:sz="4" w:space="0" w:color="auto"/>
              <w:right w:val="single" w:sz="4" w:space="0" w:color="auto"/>
            </w:tcBorders>
            <w:shd w:val="clear" w:color="auto" w:fill="auto"/>
            <w:vAlign w:val="center"/>
            <w:hideMark/>
          </w:tcPr>
          <w:p w:rsidR="002B2DA3" w:rsidRPr="00955098" w:rsidRDefault="002B2DA3" w:rsidP="002B2DA3">
            <w:pPr>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 </w:t>
            </w:r>
          </w:p>
        </w:tc>
      </w:tr>
      <w:tr w:rsidR="002B2DA3" w:rsidRPr="00955098" w:rsidTr="002B2DA3">
        <w:trPr>
          <w:trHeight w:hRule="exact" w:val="216"/>
          <w:jc w:val="center"/>
        </w:trPr>
        <w:tc>
          <w:tcPr>
            <w:tcW w:w="5000" w:type="pct"/>
            <w:gridSpan w:val="8"/>
            <w:tcBorders>
              <w:top w:val="single" w:sz="4" w:space="0" w:color="auto"/>
              <w:left w:val="single" w:sz="4" w:space="0" w:color="auto"/>
              <w:bottom w:val="single" w:sz="4" w:space="0" w:color="auto"/>
              <w:right w:val="single" w:sz="4" w:space="0" w:color="000000"/>
            </w:tcBorders>
            <w:shd w:val="clear" w:color="000000" w:fill="D9E1F2"/>
            <w:vAlign w:val="center"/>
            <w:hideMark/>
          </w:tcPr>
          <w:p w:rsidR="002B2DA3" w:rsidRPr="00955098" w:rsidRDefault="002B2DA3" w:rsidP="002B2DA3">
            <w:pPr>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Europe - Africa - Middle East</w:t>
            </w:r>
          </w:p>
        </w:tc>
      </w:tr>
      <w:tr w:rsidR="002B2DA3" w:rsidRPr="00955098" w:rsidTr="002B2DA3">
        <w:trPr>
          <w:trHeight w:hRule="exact" w:val="216"/>
          <w:jc w:val="center"/>
        </w:trPr>
        <w:tc>
          <w:tcPr>
            <w:tcW w:w="1430" w:type="pct"/>
            <w:tcBorders>
              <w:top w:val="nil"/>
              <w:left w:val="single" w:sz="4" w:space="0" w:color="auto"/>
              <w:bottom w:val="nil"/>
              <w:right w:val="nil"/>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Athens Derivatives Exchange</w:t>
            </w:r>
          </w:p>
        </w:tc>
        <w:tc>
          <w:tcPr>
            <w:tcW w:w="5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1,230 </w:t>
            </w:r>
          </w:p>
        </w:tc>
        <w:tc>
          <w:tcPr>
            <w:tcW w:w="50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0 </w:t>
            </w:r>
          </w:p>
        </w:tc>
        <w:tc>
          <w:tcPr>
            <w:tcW w:w="55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1,161 </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387,343 </w:t>
            </w:r>
          </w:p>
        </w:tc>
        <w:tc>
          <w:tcPr>
            <w:tcW w:w="50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64 </w:t>
            </w:r>
          </w:p>
        </w:tc>
        <w:tc>
          <w:tcPr>
            <w:tcW w:w="492"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274,401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22 </w:t>
            </w:r>
          </w:p>
        </w:tc>
      </w:tr>
      <w:tr w:rsidR="002B2DA3" w:rsidRPr="00955098" w:rsidTr="002B2DA3">
        <w:trPr>
          <w:trHeight w:hRule="exact" w:val="216"/>
          <w:jc w:val="center"/>
        </w:trPr>
        <w:tc>
          <w:tcPr>
            <w:tcW w:w="1430" w:type="pct"/>
            <w:tcBorders>
              <w:top w:val="nil"/>
              <w:left w:val="single" w:sz="4" w:space="0" w:color="auto"/>
              <w:bottom w:val="nil"/>
              <w:right w:val="nil"/>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BME Spanish Exchanges</w:t>
            </w:r>
          </w:p>
        </w:tc>
        <w:tc>
          <w:tcPr>
            <w:tcW w:w="5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1,306,256 </w:t>
            </w:r>
          </w:p>
        </w:tc>
        <w:tc>
          <w:tcPr>
            <w:tcW w:w="50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1,353 </w:t>
            </w:r>
          </w:p>
        </w:tc>
        <w:tc>
          <w:tcPr>
            <w:tcW w:w="55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6,789,650 </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1,767,053 </w:t>
            </w:r>
          </w:p>
        </w:tc>
        <w:tc>
          <w:tcPr>
            <w:tcW w:w="50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946 </w:t>
            </w:r>
          </w:p>
        </w:tc>
        <w:tc>
          <w:tcPr>
            <w:tcW w:w="492"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1,286,180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22 </w:t>
            </w:r>
          </w:p>
        </w:tc>
      </w:tr>
      <w:tr w:rsidR="002B2DA3" w:rsidRPr="00955098" w:rsidTr="002B2DA3">
        <w:trPr>
          <w:trHeight w:hRule="exact" w:val="216"/>
          <w:jc w:val="center"/>
        </w:trPr>
        <w:tc>
          <w:tcPr>
            <w:tcW w:w="1430" w:type="pct"/>
            <w:tcBorders>
              <w:top w:val="nil"/>
              <w:left w:val="single" w:sz="4" w:space="0" w:color="auto"/>
              <w:bottom w:val="nil"/>
              <w:right w:val="nil"/>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Borsa Istanbul</w:t>
            </w:r>
          </w:p>
        </w:tc>
        <w:tc>
          <w:tcPr>
            <w:tcW w:w="5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199,472 </w:t>
            </w:r>
          </w:p>
        </w:tc>
        <w:tc>
          <w:tcPr>
            <w:tcW w:w="50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29 </w:t>
            </w:r>
          </w:p>
        </w:tc>
        <w:tc>
          <w:tcPr>
            <w:tcW w:w="55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269,769 </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8,712,493 </w:t>
            </w:r>
          </w:p>
        </w:tc>
        <w:tc>
          <w:tcPr>
            <w:tcW w:w="50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1,302 </w:t>
            </w:r>
          </w:p>
        </w:tc>
        <w:tc>
          <w:tcPr>
            <w:tcW w:w="492"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1,172,960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22 </w:t>
            </w:r>
          </w:p>
        </w:tc>
      </w:tr>
      <w:tr w:rsidR="002B2DA3" w:rsidRPr="00955098" w:rsidTr="002B2DA3">
        <w:trPr>
          <w:trHeight w:hRule="exact" w:val="216"/>
          <w:jc w:val="center"/>
        </w:trPr>
        <w:tc>
          <w:tcPr>
            <w:tcW w:w="1430" w:type="pct"/>
            <w:tcBorders>
              <w:top w:val="nil"/>
              <w:left w:val="single" w:sz="4" w:space="0" w:color="auto"/>
              <w:bottom w:val="nil"/>
              <w:right w:val="nil"/>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Budapest Stock Exchange</w:t>
            </w:r>
          </w:p>
        </w:tc>
        <w:tc>
          <w:tcPr>
            <w:tcW w:w="5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   </w:t>
            </w:r>
          </w:p>
        </w:tc>
        <w:tc>
          <w:tcPr>
            <w:tcW w:w="50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   </w:t>
            </w:r>
          </w:p>
        </w:tc>
        <w:tc>
          <w:tcPr>
            <w:tcW w:w="55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   </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16,015 </w:t>
            </w:r>
          </w:p>
        </w:tc>
        <w:tc>
          <w:tcPr>
            <w:tcW w:w="50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98 </w:t>
            </w:r>
          </w:p>
        </w:tc>
        <w:tc>
          <w:tcPr>
            <w:tcW w:w="492"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7,140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22 </w:t>
            </w:r>
          </w:p>
        </w:tc>
      </w:tr>
      <w:tr w:rsidR="002B2DA3" w:rsidRPr="00955098" w:rsidTr="002B2DA3">
        <w:trPr>
          <w:trHeight w:hRule="exact" w:val="216"/>
          <w:jc w:val="center"/>
        </w:trPr>
        <w:tc>
          <w:tcPr>
            <w:tcW w:w="1430" w:type="pct"/>
            <w:tcBorders>
              <w:top w:val="nil"/>
              <w:left w:val="single" w:sz="4" w:space="0" w:color="auto"/>
              <w:bottom w:val="nil"/>
              <w:right w:val="nil"/>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Dubai Gold &amp; Commodities Exchange</w:t>
            </w:r>
          </w:p>
        </w:tc>
        <w:tc>
          <w:tcPr>
            <w:tcW w:w="5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0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5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188,382 </w:t>
            </w:r>
          </w:p>
        </w:tc>
        <w:tc>
          <w:tcPr>
            <w:tcW w:w="50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302 </w:t>
            </w:r>
          </w:p>
        </w:tc>
        <w:tc>
          <w:tcPr>
            <w:tcW w:w="492"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499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22 </w:t>
            </w:r>
          </w:p>
        </w:tc>
      </w:tr>
      <w:tr w:rsidR="002B2DA3" w:rsidRPr="00955098" w:rsidTr="002B2DA3">
        <w:trPr>
          <w:trHeight w:hRule="exact" w:val="216"/>
          <w:jc w:val="center"/>
        </w:trPr>
        <w:tc>
          <w:tcPr>
            <w:tcW w:w="1430" w:type="pct"/>
            <w:tcBorders>
              <w:top w:val="nil"/>
              <w:left w:val="single" w:sz="4" w:space="0" w:color="auto"/>
              <w:bottom w:val="nil"/>
              <w:right w:val="nil"/>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EUREX</w:t>
            </w:r>
          </w:p>
        </w:tc>
        <w:tc>
          <w:tcPr>
            <w:tcW w:w="5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17,270,119 </w:t>
            </w:r>
          </w:p>
        </w:tc>
        <w:tc>
          <w:tcPr>
            <w:tcW w:w="50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81,315 </w:t>
            </w:r>
          </w:p>
        </w:tc>
        <w:tc>
          <w:tcPr>
            <w:tcW w:w="55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54,550,200 </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16,570,890 </w:t>
            </w:r>
          </w:p>
        </w:tc>
        <w:tc>
          <w:tcPr>
            <w:tcW w:w="50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53,402 </w:t>
            </w:r>
          </w:p>
        </w:tc>
        <w:tc>
          <w:tcPr>
            <w:tcW w:w="492"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15,981,400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22 </w:t>
            </w:r>
          </w:p>
        </w:tc>
      </w:tr>
      <w:tr w:rsidR="002B2DA3" w:rsidRPr="00955098" w:rsidTr="002B2DA3">
        <w:trPr>
          <w:trHeight w:hRule="exact" w:val="216"/>
          <w:jc w:val="center"/>
        </w:trPr>
        <w:tc>
          <w:tcPr>
            <w:tcW w:w="1430" w:type="pct"/>
            <w:tcBorders>
              <w:top w:val="nil"/>
              <w:left w:val="single" w:sz="4" w:space="0" w:color="auto"/>
              <w:bottom w:val="nil"/>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Euronext</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5,889,261 </w:t>
            </w:r>
          </w:p>
        </w:tc>
        <w:tc>
          <w:tcPr>
            <w:tcW w:w="50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23,027 </w:t>
            </w:r>
          </w:p>
        </w:tc>
        <w:tc>
          <w:tcPr>
            <w:tcW w:w="55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14,329,100 </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13,435 </w:t>
            </w:r>
          </w:p>
        </w:tc>
        <w:tc>
          <w:tcPr>
            <w:tcW w:w="50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172 </w:t>
            </w:r>
          </w:p>
        </w:tc>
        <w:tc>
          <w:tcPr>
            <w:tcW w:w="492"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289,442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22 </w:t>
            </w:r>
          </w:p>
        </w:tc>
      </w:tr>
      <w:tr w:rsidR="002B2DA3" w:rsidRPr="00955098" w:rsidTr="002B2DA3">
        <w:trPr>
          <w:trHeight w:hRule="exact" w:val="216"/>
          <w:jc w:val="center"/>
        </w:trPr>
        <w:tc>
          <w:tcPr>
            <w:tcW w:w="1430" w:type="pct"/>
            <w:tcBorders>
              <w:top w:val="nil"/>
              <w:left w:val="single" w:sz="4" w:space="0" w:color="auto"/>
              <w:bottom w:val="nil"/>
              <w:right w:val="nil"/>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Johannesburg Stock Exchange</w:t>
            </w:r>
          </w:p>
        </w:tc>
        <w:tc>
          <w:tcPr>
            <w:tcW w:w="5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409,384 </w:t>
            </w:r>
          </w:p>
        </w:tc>
        <w:tc>
          <w:tcPr>
            <w:tcW w:w="50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97 </w:t>
            </w:r>
          </w:p>
        </w:tc>
        <w:tc>
          <w:tcPr>
            <w:tcW w:w="55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1,275,180 </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342,805 </w:t>
            </w:r>
          </w:p>
        </w:tc>
        <w:tc>
          <w:tcPr>
            <w:tcW w:w="50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594 </w:t>
            </w:r>
          </w:p>
        </w:tc>
        <w:tc>
          <w:tcPr>
            <w:tcW w:w="492"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963,916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22 </w:t>
            </w:r>
          </w:p>
        </w:tc>
      </w:tr>
      <w:tr w:rsidR="002B2DA3" w:rsidRPr="00955098" w:rsidTr="002B2DA3">
        <w:trPr>
          <w:trHeight w:hRule="exact" w:val="216"/>
          <w:jc w:val="center"/>
        </w:trPr>
        <w:tc>
          <w:tcPr>
            <w:tcW w:w="1430" w:type="pct"/>
            <w:tcBorders>
              <w:top w:val="nil"/>
              <w:left w:val="single" w:sz="4" w:space="0" w:color="auto"/>
              <w:bottom w:val="nil"/>
              <w:right w:val="nil"/>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Moscow Exchange</w:t>
            </w:r>
          </w:p>
        </w:tc>
        <w:tc>
          <w:tcPr>
            <w:tcW w:w="5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94,702 </w:t>
            </w:r>
          </w:p>
        </w:tc>
        <w:tc>
          <w:tcPr>
            <w:tcW w:w="50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27 </w:t>
            </w:r>
          </w:p>
        </w:tc>
        <w:tc>
          <w:tcPr>
            <w:tcW w:w="55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133,484 </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14,327,760 </w:t>
            </w:r>
          </w:p>
        </w:tc>
        <w:tc>
          <w:tcPr>
            <w:tcW w:w="50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4,121 </w:t>
            </w:r>
          </w:p>
        </w:tc>
        <w:tc>
          <w:tcPr>
            <w:tcW w:w="492"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1,551,350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20 </w:t>
            </w:r>
          </w:p>
        </w:tc>
      </w:tr>
      <w:tr w:rsidR="002B2DA3" w:rsidRPr="00955098" w:rsidTr="002B2DA3">
        <w:trPr>
          <w:trHeight w:hRule="exact" w:val="216"/>
          <w:jc w:val="center"/>
        </w:trPr>
        <w:tc>
          <w:tcPr>
            <w:tcW w:w="1430" w:type="pct"/>
            <w:tcBorders>
              <w:top w:val="nil"/>
              <w:left w:val="single" w:sz="4" w:space="0" w:color="auto"/>
              <w:bottom w:val="nil"/>
              <w:right w:val="nil"/>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Nasdaq Nordic Exchanges</w:t>
            </w:r>
          </w:p>
        </w:tc>
        <w:tc>
          <w:tcPr>
            <w:tcW w:w="5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2,380,563 </w:t>
            </w:r>
          </w:p>
        </w:tc>
        <w:tc>
          <w:tcPr>
            <w:tcW w:w="50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2,952 </w:t>
            </w:r>
          </w:p>
        </w:tc>
        <w:tc>
          <w:tcPr>
            <w:tcW w:w="55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3,399,310 </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538,328 </w:t>
            </w:r>
          </w:p>
        </w:tc>
        <w:tc>
          <w:tcPr>
            <w:tcW w:w="50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712 </w:t>
            </w:r>
          </w:p>
        </w:tc>
        <w:tc>
          <w:tcPr>
            <w:tcW w:w="492"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574,968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22 </w:t>
            </w:r>
          </w:p>
        </w:tc>
      </w:tr>
      <w:tr w:rsidR="002B2DA3" w:rsidRPr="00955098" w:rsidTr="002B2DA3">
        <w:trPr>
          <w:trHeight w:hRule="exact" w:val="216"/>
          <w:jc w:val="center"/>
        </w:trPr>
        <w:tc>
          <w:tcPr>
            <w:tcW w:w="1430" w:type="pct"/>
            <w:tcBorders>
              <w:top w:val="nil"/>
              <w:left w:val="single" w:sz="4" w:space="0" w:color="auto"/>
              <w:bottom w:val="nil"/>
              <w:right w:val="nil"/>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Oslo Bors</w:t>
            </w:r>
          </w:p>
        </w:tc>
        <w:tc>
          <w:tcPr>
            <w:tcW w:w="5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102,310 </w:t>
            </w:r>
          </w:p>
        </w:tc>
        <w:tc>
          <w:tcPr>
            <w:tcW w:w="50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203 </w:t>
            </w:r>
          </w:p>
        </w:tc>
        <w:tc>
          <w:tcPr>
            <w:tcW w:w="55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227,579 </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48,822 </w:t>
            </w:r>
          </w:p>
        </w:tc>
        <w:tc>
          <w:tcPr>
            <w:tcW w:w="50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44 </w:t>
            </w:r>
          </w:p>
        </w:tc>
        <w:tc>
          <w:tcPr>
            <w:tcW w:w="492"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70,913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   </w:t>
            </w:r>
          </w:p>
        </w:tc>
      </w:tr>
      <w:tr w:rsidR="002B2DA3" w:rsidRPr="00955098" w:rsidTr="002B2DA3">
        <w:trPr>
          <w:trHeight w:hRule="exact" w:val="216"/>
          <w:jc w:val="center"/>
        </w:trPr>
        <w:tc>
          <w:tcPr>
            <w:tcW w:w="1430" w:type="pct"/>
            <w:tcBorders>
              <w:top w:val="nil"/>
              <w:left w:val="single" w:sz="4" w:space="0" w:color="auto"/>
              <w:bottom w:val="nil"/>
              <w:right w:val="nil"/>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Tehran Stock Exchange</w:t>
            </w:r>
          </w:p>
        </w:tc>
        <w:tc>
          <w:tcPr>
            <w:tcW w:w="5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429,682 </w:t>
            </w:r>
          </w:p>
        </w:tc>
        <w:tc>
          <w:tcPr>
            <w:tcW w:w="50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0 </w:t>
            </w:r>
          </w:p>
        </w:tc>
        <w:tc>
          <w:tcPr>
            <w:tcW w:w="55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 </w:t>
            </w:r>
          </w:p>
        </w:tc>
        <w:tc>
          <w:tcPr>
            <w:tcW w:w="50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3 </w:t>
            </w:r>
          </w:p>
        </w:tc>
        <w:tc>
          <w:tcPr>
            <w:tcW w:w="492"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22 </w:t>
            </w:r>
          </w:p>
        </w:tc>
      </w:tr>
      <w:tr w:rsidR="002B2DA3" w:rsidRPr="00955098" w:rsidTr="002B2DA3">
        <w:trPr>
          <w:trHeight w:hRule="exact" w:val="216"/>
          <w:jc w:val="center"/>
        </w:trPr>
        <w:tc>
          <w:tcPr>
            <w:tcW w:w="1430" w:type="pct"/>
            <w:tcBorders>
              <w:top w:val="nil"/>
              <w:left w:val="single" w:sz="4" w:space="0" w:color="auto"/>
              <w:bottom w:val="nil"/>
              <w:right w:val="nil"/>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Tel-Aviv Stock Exchange</w:t>
            </w:r>
          </w:p>
        </w:tc>
        <w:tc>
          <w:tcPr>
            <w:tcW w:w="5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43,939 </w:t>
            </w:r>
          </w:p>
        </w:tc>
        <w:tc>
          <w:tcPr>
            <w:tcW w:w="50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311 </w:t>
            </w:r>
          </w:p>
        </w:tc>
        <w:tc>
          <w:tcPr>
            <w:tcW w:w="55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29,608 </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50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492"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NA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23 </w:t>
            </w:r>
          </w:p>
        </w:tc>
      </w:tr>
      <w:tr w:rsidR="002B2DA3" w:rsidRPr="00955098" w:rsidTr="002B2DA3">
        <w:trPr>
          <w:trHeight w:hRule="exact" w:val="216"/>
          <w:jc w:val="center"/>
        </w:trPr>
        <w:tc>
          <w:tcPr>
            <w:tcW w:w="1430" w:type="pct"/>
            <w:tcBorders>
              <w:top w:val="nil"/>
              <w:left w:val="single" w:sz="4" w:space="0" w:color="auto"/>
              <w:bottom w:val="nil"/>
              <w:right w:val="nil"/>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Warsaw Stock Exchange</w:t>
            </w:r>
          </w:p>
        </w:tc>
        <w:tc>
          <w:tcPr>
            <w:tcW w:w="548" w:type="pct"/>
            <w:tcBorders>
              <w:top w:val="nil"/>
              <w:left w:val="single" w:sz="4" w:space="0" w:color="auto"/>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   </w:t>
            </w:r>
          </w:p>
        </w:tc>
        <w:tc>
          <w:tcPr>
            <w:tcW w:w="50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   </w:t>
            </w:r>
          </w:p>
        </w:tc>
        <w:tc>
          <w:tcPr>
            <w:tcW w:w="550"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   </w:t>
            </w:r>
          </w:p>
        </w:tc>
        <w:tc>
          <w:tcPr>
            <w:tcW w:w="548"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105,683 </w:t>
            </w:r>
          </w:p>
        </w:tc>
        <w:tc>
          <w:tcPr>
            <w:tcW w:w="509"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243 </w:t>
            </w:r>
          </w:p>
        </w:tc>
        <w:tc>
          <w:tcPr>
            <w:tcW w:w="492"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19,466 </w:t>
            </w:r>
          </w:p>
        </w:tc>
        <w:tc>
          <w:tcPr>
            <w:tcW w:w="423" w:type="pct"/>
            <w:tcBorders>
              <w:top w:val="nil"/>
              <w:left w:val="nil"/>
              <w:bottom w:val="nil"/>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xml:space="preserve">            22 </w:t>
            </w:r>
          </w:p>
        </w:tc>
      </w:tr>
      <w:tr w:rsidR="002B2DA3" w:rsidRPr="00955098" w:rsidTr="002B2DA3">
        <w:trPr>
          <w:trHeight w:hRule="exact" w:val="216"/>
          <w:jc w:val="center"/>
        </w:trPr>
        <w:tc>
          <w:tcPr>
            <w:tcW w:w="1430" w:type="pct"/>
            <w:tcBorders>
              <w:top w:val="single" w:sz="4" w:space="0" w:color="auto"/>
              <w:left w:val="single" w:sz="4" w:space="0" w:color="auto"/>
              <w:bottom w:val="single" w:sz="4" w:space="0" w:color="auto"/>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Total region</w:t>
            </w:r>
          </w:p>
        </w:tc>
        <w:tc>
          <w:tcPr>
            <w:tcW w:w="548" w:type="pct"/>
            <w:tcBorders>
              <w:top w:val="single" w:sz="4" w:space="0" w:color="auto"/>
              <w:left w:val="nil"/>
              <w:bottom w:val="single" w:sz="4" w:space="0" w:color="auto"/>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 xml:space="preserve">      28,126,918 </w:t>
            </w:r>
          </w:p>
        </w:tc>
        <w:tc>
          <w:tcPr>
            <w:tcW w:w="500" w:type="pct"/>
            <w:tcBorders>
              <w:top w:val="single" w:sz="4" w:space="0" w:color="auto"/>
              <w:left w:val="nil"/>
              <w:bottom w:val="single" w:sz="4" w:space="0" w:color="auto"/>
              <w:right w:val="single" w:sz="4" w:space="0" w:color="auto"/>
            </w:tcBorders>
            <w:shd w:val="clear" w:color="auto" w:fill="auto"/>
            <w:vAlign w:val="center"/>
            <w:hideMark/>
          </w:tcPr>
          <w:p w:rsidR="002B2DA3" w:rsidRPr="00955098" w:rsidRDefault="002B2DA3" w:rsidP="002B2DA3">
            <w:pPr>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 </w:t>
            </w:r>
          </w:p>
        </w:tc>
        <w:tc>
          <w:tcPr>
            <w:tcW w:w="550" w:type="pct"/>
            <w:tcBorders>
              <w:top w:val="single" w:sz="4" w:space="0" w:color="auto"/>
              <w:left w:val="nil"/>
              <w:bottom w:val="single" w:sz="4" w:space="0" w:color="auto"/>
              <w:right w:val="single" w:sz="4" w:space="0" w:color="auto"/>
            </w:tcBorders>
            <w:shd w:val="clear" w:color="auto" w:fill="auto"/>
            <w:vAlign w:val="center"/>
            <w:hideMark/>
          </w:tcPr>
          <w:p w:rsidR="002B2DA3" w:rsidRPr="00955098" w:rsidRDefault="002B2DA3" w:rsidP="002B2DA3">
            <w:pPr>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 </w:t>
            </w:r>
          </w:p>
        </w:tc>
        <w:tc>
          <w:tcPr>
            <w:tcW w:w="548" w:type="pct"/>
            <w:tcBorders>
              <w:top w:val="single" w:sz="4" w:space="0" w:color="auto"/>
              <w:left w:val="nil"/>
              <w:bottom w:val="single" w:sz="4" w:space="0" w:color="auto"/>
              <w:right w:val="single" w:sz="4" w:space="0" w:color="auto"/>
            </w:tcBorders>
            <w:shd w:val="clear" w:color="auto" w:fill="auto"/>
            <w:vAlign w:val="center"/>
            <w:hideMark/>
          </w:tcPr>
          <w:p w:rsidR="002B2DA3" w:rsidRPr="00955098" w:rsidRDefault="002B2DA3" w:rsidP="002B2DA3">
            <w:pPr>
              <w:jc w:val="right"/>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 xml:space="preserve">      43,019,011 </w:t>
            </w:r>
          </w:p>
        </w:tc>
        <w:tc>
          <w:tcPr>
            <w:tcW w:w="509" w:type="pct"/>
            <w:tcBorders>
              <w:top w:val="single" w:sz="4" w:space="0" w:color="auto"/>
              <w:left w:val="nil"/>
              <w:bottom w:val="single" w:sz="4" w:space="0" w:color="auto"/>
              <w:right w:val="single" w:sz="4" w:space="0" w:color="auto"/>
            </w:tcBorders>
            <w:shd w:val="clear" w:color="auto" w:fill="auto"/>
            <w:vAlign w:val="center"/>
            <w:hideMark/>
          </w:tcPr>
          <w:p w:rsidR="002B2DA3" w:rsidRPr="00955098" w:rsidRDefault="002B2DA3" w:rsidP="002B2DA3">
            <w:pPr>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 </w:t>
            </w:r>
          </w:p>
        </w:tc>
        <w:tc>
          <w:tcPr>
            <w:tcW w:w="492" w:type="pct"/>
            <w:tcBorders>
              <w:top w:val="single" w:sz="4" w:space="0" w:color="auto"/>
              <w:left w:val="nil"/>
              <w:bottom w:val="single" w:sz="4" w:space="0" w:color="auto"/>
              <w:right w:val="single" w:sz="4" w:space="0" w:color="auto"/>
            </w:tcBorders>
            <w:shd w:val="clear" w:color="auto" w:fill="auto"/>
            <w:vAlign w:val="center"/>
            <w:hideMark/>
          </w:tcPr>
          <w:p w:rsidR="002B2DA3" w:rsidRPr="00955098" w:rsidRDefault="002B2DA3" w:rsidP="002B2DA3">
            <w:pPr>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 </w:t>
            </w:r>
          </w:p>
        </w:tc>
        <w:tc>
          <w:tcPr>
            <w:tcW w:w="423" w:type="pct"/>
            <w:tcBorders>
              <w:top w:val="single" w:sz="4" w:space="0" w:color="auto"/>
              <w:left w:val="nil"/>
              <w:bottom w:val="single" w:sz="4" w:space="0" w:color="auto"/>
              <w:right w:val="single" w:sz="4" w:space="0" w:color="auto"/>
            </w:tcBorders>
            <w:shd w:val="clear" w:color="auto" w:fill="auto"/>
            <w:vAlign w:val="center"/>
            <w:hideMark/>
          </w:tcPr>
          <w:p w:rsidR="002B2DA3" w:rsidRPr="00955098" w:rsidRDefault="002B2DA3" w:rsidP="002B2DA3">
            <w:pPr>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 </w:t>
            </w:r>
          </w:p>
        </w:tc>
      </w:tr>
      <w:tr w:rsidR="002B2DA3" w:rsidRPr="00955098" w:rsidTr="002B2DA3">
        <w:trPr>
          <w:trHeight w:hRule="exact" w:val="216"/>
          <w:jc w:val="center"/>
        </w:trPr>
        <w:tc>
          <w:tcPr>
            <w:tcW w:w="1430" w:type="pct"/>
            <w:tcBorders>
              <w:top w:val="nil"/>
              <w:left w:val="single" w:sz="4" w:space="0" w:color="auto"/>
              <w:bottom w:val="single" w:sz="4" w:space="0" w:color="auto"/>
              <w:right w:val="nil"/>
            </w:tcBorders>
            <w:shd w:val="clear" w:color="000000" w:fill="B4C6E7"/>
            <w:vAlign w:val="center"/>
            <w:hideMark/>
          </w:tcPr>
          <w:p w:rsidR="002B2DA3" w:rsidRPr="00955098" w:rsidRDefault="002B2DA3" w:rsidP="002B2DA3">
            <w:pPr>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Total</w:t>
            </w:r>
          </w:p>
        </w:tc>
        <w:tc>
          <w:tcPr>
            <w:tcW w:w="548" w:type="pct"/>
            <w:tcBorders>
              <w:top w:val="nil"/>
              <w:left w:val="single" w:sz="4" w:space="0" w:color="auto"/>
              <w:bottom w:val="single" w:sz="4" w:space="0" w:color="auto"/>
              <w:right w:val="single" w:sz="4" w:space="0" w:color="auto"/>
            </w:tcBorders>
            <w:shd w:val="clear" w:color="000000" w:fill="B4C6E7"/>
            <w:vAlign w:val="center"/>
            <w:hideMark/>
          </w:tcPr>
          <w:p w:rsidR="002B2DA3" w:rsidRPr="00955098" w:rsidRDefault="002B2DA3" w:rsidP="002B2DA3">
            <w:pPr>
              <w:jc w:val="right"/>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 xml:space="preserve">    358,081,152 </w:t>
            </w:r>
          </w:p>
        </w:tc>
        <w:tc>
          <w:tcPr>
            <w:tcW w:w="500" w:type="pct"/>
            <w:tcBorders>
              <w:top w:val="nil"/>
              <w:left w:val="nil"/>
              <w:bottom w:val="single" w:sz="4" w:space="0" w:color="auto"/>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w:t>
            </w:r>
          </w:p>
        </w:tc>
        <w:tc>
          <w:tcPr>
            <w:tcW w:w="550" w:type="pct"/>
            <w:tcBorders>
              <w:top w:val="nil"/>
              <w:left w:val="nil"/>
              <w:bottom w:val="single" w:sz="4" w:space="0" w:color="auto"/>
              <w:right w:val="nil"/>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w:t>
            </w:r>
          </w:p>
        </w:tc>
        <w:tc>
          <w:tcPr>
            <w:tcW w:w="548" w:type="pct"/>
            <w:tcBorders>
              <w:top w:val="nil"/>
              <w:left w:val="single" w:sz="4" w:space="0" w:color="auto"/>
              <w:bottom w:val="single" w:sz="4" w:space="0" w:color="auto"/>
              <w:right w:val="single" w:sz="4" w:space="0" w:color="auto"/>
            </w:tcBorders>
            <w:shd w:val="clear" w:color="000000" w:fill="B4C6E7"/>
            <w:vAlign w:val="center"/>
            <w:hideMark/>
          </w:tcPr>
          <w:p w:rsidR="002B2DA3" w:rsidRPr="00955098" w:rsidRDefault="002B2DA3" w:rsidP="002B2DA3">
            <w:pPr>
              <w:jc w:val="right"/>
              <w:rPr>
                <w:rFonts w:ascii="Garamond" w:eastAsia="Times New Roman" w:hAnsi="Garamond" w:cs="Calibri"/>
                <w:b/>
                <w:bCs/>
                <w:color w:val="000000"/>
                <w:sz w:val="16"/>
                <w:szCs w:val="20"/>
              </w:rPr>
            </w:pPr>
            <w:r w:rsidRPr="00955098">
              <w:rPr>
                <w:rFonts w:ascii="Garamond" w:eastAsia="Times New Roman" w:hAnsi="Garamond" w:cs="Calibri"/>
                <w:b/>
                <w:bCs/>
                <w:color w:val="000000"/>
                <w:sz w:val="16"/>
                <w:szCs w:val="20"/>
              </w:rPr>
              <w:t xml:space="preserve">    131,382,951 </w:t>
            </w:r>
          </w:p>
        </w:tc>
        <w:tc>
          <w:tcPr>
            <w:tcW w:w="509" w:type="pct"/>
            <w:tcBorders>
              <w:top w:val="nil"/>
              <w:left w:val="nil"/>
              <w:bottom w:val="single" w:sz="4" w:space="0" w:color="auto"/>
              <w:right w:val="nil"/>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w:t>
            </w:r>
          </w:p>
        </w:tc>
        <w:tc>
          <w:tcPr>
            <w:tcW w:w="492" w:type="pct"/>
            <w:tcBorders>
              <w:top w:val="nil"/>
              <w:left w:val="single" w:sz="4" w:space="0" w:color="auto"/>
              <w:bottom w:val="single" w:sz="4" w:space="0" w:color="auto"/>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w:t>
            </w:r>
          </w:p>
        </w:tc>
        <w:tc>
          <w:tcPr>
            <w:tcW w:w="423" w:type="pct"/>
            <w:tcBorders>
              <w:top w:val="nil"/>
              <w:left w:val="nil"/>
              <w:bottom w:val="single" w:sz="4" w:space="0" w:color="auto"/>
              <w:right w:val="single" w:sz="4" w:space="0" w:color="auto"/>
            </w:tcBorders>
            <w:shd w:val="clear" w:color="000000" w:fill="B4C6E7"/>
            <w:vAlign w:val="center"/>
            <w:hideMark/>
          </w:tcPr>
          <w:p w:rsidR="002B2DA3" w:rsidRPr="00955098" w:rsidRDefault="002B2DA3" w:rsidP="002B2DA3">
            <w:pPr>
              <w:rPr>
                <w:rFonts w:ascii="Garamond" w:eastAsia="Times New Roman" w:hAnsi="Garamond" w:cs="Calibri"/>
                <w:color w:val="000000"/>
                <w:sz w:val="16"/>
                <w:szCs w:val="20"/>
              </w:rPr>
            </w:pPr>
            <w:r w:rsidRPr="00955098">
              <w:rPr>
                <w:rFonts w:ascii="Garamond" w:eastAsia="Times New Roman" w:hAnsi="Garamond" w:cs="Calibri"/>
                <w:color w:val="000000"/>
                <w:sz w:val="16"/>
                <w:szCs w:val="20"/>
              </w:rPr>
              <w:t> </w:t>
            </w:r>
          </w:p>
        </w:tc>
      </w:tr>
    </w:tbl>
    <w:p w:rsidR="002B2DA3" w:rsidRDefault="002B2DA3" w:rsidP="002B2DA3">
      <w:pPr>
        <w:ind w:left="-270"/>
        <w:outlineLvl w:val="0"/>
        <w:rPr>
          <w:rFonts w:ascii="Garamond" w:hAnsi="Garamond"/>
          <w:b/>
        </w:rPr>
      </w:pPr>
    </w:p>
    <w:p w:rsidR="002B2DA3" w:rsidRPr="00E85F14" w:rsidRDefault="002B2DA3" w:rsidP="002B2DA3">
      <w:pPr>
        <w:jc w:val="both"/>
        <w:outlineLvl w:val="0"/>
        <w:rPr>
          <w:rFonts w:ascii="Garamond" w:hAnsi="Garamond"/>
          <w:b/>
          <w:sz w:val="20"/>
        </w:rPr>
      </w:pPr>
      <w:r w:rsidRPr="00E85F14">
        <w:rPr>
          <w:rFonts w:ascii="Garamond" w:hAnsi="Garamond"/>
          <w:b/>
          <w:sz w:val="20"/>
        </w:rPr>
        <w:t xml:space="preserve">NA: </w:t>
      </w:r>
      <w:r w:rsidRPr="00E85F14">
        <w:rPr>
          <w:rFonts w:ascii="Garamond" w:hAnsi="Garamond"/>
          <w:sz w:val="20"/>
        </w:rPr>
        <w:t>Not Available</w:t>
      </w:r>
    </w:p>
    <w:p w:rsidR="002B2DA3" w:rsidRPr="00E85F14" w:rsidRDefault="002B2DA3" w:rsidP="002B2DA3">
      <w:pPr>
        <w:jc w:val="both"/>
        <w:rPr>
          <w:rFonts w:ascii="Garamond" w:hAnsi="Garamond"/>
          <w:sz w:val="20"/>
        </w:rPr>
      </w:pPr>
      <w:r w:rsidRPr="00E85F14">
        <w:rPr>
          <w:rFonts w:ascii="Garamond" w:hAnsi="Garamond"/>
          <w:b/>
          <w:sz w:val="20"/>
        </w:rPr>
        <w:t xml:space="preserve">Source: </w:t>
      </w:r>
      <w:r w:rsidRPr="00E85F14">
        <w:rPr>
          <w:rFonts w:ascii="Garamond" w:hAnsi="Garamond"/>
          <w:sz w:val="20"/>
        </w:rPr>
        <w:t>World Federation of Exchanges</w:t>
      </w:r>
    </w:p>
    <w:p w:rsidR="002B2DA3" w:rsidRPr="00440919" w:rsidRDefault="002B2DA3" w:rsidP="002B2DA3">
      <w:pPr>
        <w:rPr>
          <w:rFonts w:ascii="Garamond" w:hAnsi="Garamond"/>
          <w:b/>
          <w:color w:val="0000FF"/>
        </w:rPr>
      </w:pPr>
      <w:r w:rsidRPr="00440919">
        <w:rPr>
          <w:rFonts w:ascii="Garamond" w:hAnsi="Garamond"/>
          <w:b/>
          <w:color w:val="0000FF"/>
        </w:rPr>
        <w:br w:type="page"/>
      </w:r>
    </w:p>
    <w:p w:rsidR="002B2DA3" w:rsidRDefault="002B2DA3" w:rsidP="002B2DA3">
      <w:pPr>
        <w:jc w:val="both"/>
        <w:outlineLvl w:val="0"/>
        <w:rPr>
          <w:rFonts w:ascii="Garamond" w:hAnsi="Garamond"/>
          <w:b/>
        </w:rPr>
      </w:pPr>
      <w:r w:rsidRPr="007D16CA">
        <w:rPr>
          <w:rFonts w:ascii="Garamond" w:hAnsi="Garamond"/>
          <w:b/>
        </w:rPr>
        <w:lastRenderedPageBreak/>
        <w:t>Table A</w:t>
      </w:r>
      <w:r>
        <w:rPr>
          <w:rFonts w:ascii="Garamond" w:hAnsi="Garamond"/>
          <w:b/>
        </w:rPr>
        <w:t>6</w:t>
      </w:r>
      <w:r w:rsidRPr="007D16CA">
        <w:rPr>
          <w:rFonts w:ascii="Garamond" w:hAnsi="Garamond"/>
          <w:b/>
        </w:rPr>
        <w:t>: Index Options and Index Futures Traded in Major Exchanges</w:t>
      </w:r>
    </w:p>
    <w:tbl>
      <w:tblPr>
        <w:tblW w:w="10012" w:type="dxa"/>
        <w:jc w:val="center"/>
        <w:tblCellMar>
          <w:left w:w="14" w:type="dxa"/>
          <w:right w:w="14" w:type="dxa"/>
        </w:tblCellMar>
        <w:tblLook w:val="04A0" w:firstRow="1" w:lastRow="0" w:firstColumn="1" w:lastColumn="0" w:noHBand="0" w:noVBand="1"/>
      </w:tblPr>
      <w:tblGrid>
        <w:gridCol w:w="2707"/>
        <w:gridCol w:w="1316"/>
        <w:gridCol w:w="918"/>
        <w:gridCol w:w="906"/>
        <w:gridCol w:w="1316"/>
        <w:gridCol w:w="918"/>
        <w:gridCol w:w="906"/>
        <w:gridCol w:w="1025"/>
      </w:tblGrid>
      <w:tr w:rsidR="002B2DA3" w:rsidRPr="0008532E" w:rsidTr="002B2DA3">
        <w:trPr>
          <w:trHeight w:hRule="exact" w:val="216"/>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2B2DA3" w:rsidRPr="0008532E" w:rsidRDefault="002B2DA3" w:rsidP="002B2DA3">
            <w:pPr>
              <w:jc w:val="center"/>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Exchange</w:t>
            </w:r>
          </w:p>
        </w:tc>
        <w:tc>
          <w:tcPr>
            <w:tcW w:w="0" w:type="auto"/>
            <w:gridSpan w:val="6"/>
            <w:tcBorders>
              <w:top w:val="single" w:sz="4" w:space="0" w:color="auto"/>
              <w:left w:val="nil"/>
              <w:bottom w:val="single" w:sz="4" w:space="0" w:color="auto"/>
              <w:right w:val="single" w:sz="4" w:space="0" w:color="auto"/>
            </w:tcBorders>
            <w:shd w:val="clear" w:color="000000" w:fill="B4C6E7"/>
            <w:vAlign w:val="center"/>
            <w:hideMark/>
          </w:tcPr>
          <w:p w:rsidR="002B2DA3" w:rsidRPr="0008532E" w:rsidRDefault="002B2DA3" w:rsidP="002B2DA3">
            <w:pPr>
              <w:jc w:val="center"/>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Jan-19</w:t>
            </w:r>
          </w:p>
        </w:tc>
        <w:tc>
          <w:tcPr>
            <w:tcW w:w="874"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2B2DA3" w:rsidRPr="0008532E" w:rsidRDefault="002B2DA3" w:rsidP="002B2DA3">
            <w:pPr>
              <w:jc w:val="center"/>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 xml:space="preserve">Trading days </w:t>
            </w:r>
            <w:r w:rsidRPr="0008532E">
              <w:rPr>
                <w:rFonts w:ascii="Garamond" w:eastAsia="Times New Roman" w:hAnsi="Garamond" w:cs="Calibri"/>
                <w:b/>
                <w:bCs/>
                <w:color w:val="000000"/>
                <w:sz w:val="16"/>
                <w:szCs w:val="20"/>
              </w:rPr>
              <w:br/>
              <w:t>Jan 2019</w:t>
            </w:r>
          </w:p>
        </w:tc>
      </w:tr>
      <w:tr w:rsidR="002B2DA3" w:rsidRPr="0008532E" w:rsidTr="002B2DA3">
        <w:trPr>
          <w:trHeight w:hRule="exact" w:val="21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B2DA3" w:rsidRPr="0008532E" w:rsidRDefault="002B2DA3" w:rsidP="002B2DA3">
            <w:pPr>
              <w:rPr>
                <w:rFonts w:ascii="Garamond" w:eastAsia="Times New Roman" w:hAnsi="Garamond" w:cs="Calibri"/>
                <w:b/>
                <w:bCs/>
                <w:color w:val="000000"/>
                <w:sz w:val="16"/>
                <w:szCs w:val="20"/>
              </w:rPr>
            </w:pPr>
          </w:p>
        </w:tc>
        <w:tc>
          <w:tcPr>
            <w:tcW w:w="0" w:type="auto"/>
            <w:gridSpan w:val="3"/>
            <w:tcBorders>
              <w:top w:val="single" w:sz="4" w:space="0" w:color="auto"/>
              <w:left w:val="nil"/>
              <w:bottom w:val="single" w:sz="4" w:space="0" w:color="auto"/>
              <w:right w:val="single" w:sz="4" w:space="0" w:color="auto"/>
            </w:tcBorders>
            <w:shd w:val="clear" w:color="000000" w:fill="B4C6E7"/>
            <w:vAlign w:val="center"/>
            <w:hideMark/>
          </w:tcPr>
          <w:p w:rsidR="002B2DA3" w:rsidRPr="0008532E" w:rsidRDefault="002B2DA3" w:rsidP="002B2DA3">
            <w:pPr>
              <w:jc w:val="center"/>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Stock index options</w:t>
            </w:r>
          </w:p>
        </w:tc>
        <w:tc>
          <w:tcPr>
            <w:tcW w:w="0" w:type="auto"/>
            <w:gridSpan w:val="3"/>
            <w:tcBorders>
              <w:top w:val="single" w:sz="4" w:space="0" w:color="auto"/>
              <w:left w:val="nil"/>
              <w:bottom w:val="single" w:sz="4" w:space="0" w:color="auto"/>
              <w:right w:val="single" w:sz="4" w:space="0" w:color="auto"/>
            </w:tcBorders>
            <w:shd w:val="clear" w:color="000000" w:fill="B4C6E7"/>
            <w:vAlign w:val="center"/>
            <w:hideMark/>
          </w:tcPr>
          <w:p w:rsidR="002B2DA3" w:rsidRPr="0008532E" w:rsidRDefault="002B2DA3" w:rsidP="002B2DA3">
            <w:pPr>
              <w:jc w:val="center"/>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Stock index futures</w:t>
            </w:r>
          </w:p>
        </w:tc>
        <w:tc>
          <w:tcPr>
            <w:tcW w:w="874" w:type="dxa"/>
            <w:vMerge/>
            <w:tcBorders>
              <w:top w:val="single" w:sz="4" w:space="0" w:color="auto"/>
              <w:left w:val="single" w:sz="4" w:space="0" w:color="auto"/>
              <w:bottom w:val="single" w:sz="4" w:space="0" w:color="auto"/>
              <w:right w:val="single" w:sz="4" w:space="0" w:color="auto"/>
            </w:tcBorders>
            <w:vAlign w:val="center"/>
            <w:hideMark/>
          </w:tcPr>
          <w:p w:rsidR="002B2DA3" w:rsidRPr="0008532E" w:rsidRDefault="002B2DA3" w:rsidP="002B2DA3">
            <w:pPr>
              <w:rPr>
                <w:rFonts w:ascii="Garamond" w:eastAsia="Times New Roman" w:hAnsi="Garamond" w:cs="Calibri"/>
                <w:b/>
                <w:bCs/>
                <w:color w:val="000000"/>
                <w:sz w:val="16"/>
                <w:szCs w:val="20"/>
              </w:rPr>
            </w:pPr>
          </w:p>
        </w:tc>
      </w:tr>
      <w:tr w:rsidR="002B2DA3" w:rsidRPr="0008532E" w:rsidTr="002B2DA3">
        <w:trPr>
          <w:trHeight w:hRule="exact" w:val="56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B2DA3" w:rsidRPr="0008532E" w:rsidRDefault="002B2DA3" w:rsidP="002B2DA3">
            <w:pPr>
              <w:rPr>
                <w:rFonts w:ascii="Garamond" w:eastAsia="Times New Roman" w:hAnsi="Garamond" w:cs="Calibri"/>
                <w:b/>
                <w:bCs/>
                <w:color w:val="000000"/>
                <w:sz w:val="16"/>
                <w:szCs w:val="20"/>
              </w:rPr>
            </w:pPr>
          </w:p>
        </w:tc>
        <w:tc>
          <w:tcPr>
            <w:tcW w:w="0" w:type="auto"/>
            <w:tcBorders>
              <w:top w:val="nil"/>
              <w:left w:val="nil"/>
              <w:bottom w:val="single" w:sz="4" w:space="0" w:color="auto"/>
              <w:right w:val="single" w:sz="4" w:space="0" w:color="auto"/>
            </w:tcBorders>
            <w:shd w:val="clear" w:color="000000" w:fill="B4C6E7"/>
            <w:vAlign w:val="center"/>
            <w:hideMark/>
          </w:tcPr>
          <w:p w:rsidR="002B2DA3" w:rsidRPr="0008532E" w:rsidRDefault="002B2DA3" w:rsidP="002B2DA3">
            <w:pPr>
              <w:jc w:val="center"/>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Number of</w:t>
            </w:r>
            <w:r w:rsidRPr="0008532E">
              <w:rPr>
                <w:rFonts w:ascii="Garamond" w:eastAsia="Times New Roman" w:hAnsi="Garamond" w:cs="Calibri"/>
                <w:b/>
                <w:bCs/>
                <w:color w:val="000000"/>
                <w:sz w:val="16"/>
                <w:szCs w:val="20"/>
              </w:rPr>
              <w:br/>
              <w:t>contracts traded</w:t>
            </w:r>
          </w:p>
        </w:tc>
        <w:tc>
          <w:tcPr>
            <w:tcW w:w="0" w:type="auto"/>
            <w:tcBorders>
              <w:top w:val="nil"/>
              <w:left w:val="nil"/>
              <w:bottom w:val="single" w:sz="4" w:space="0" w:color="auto"/>
              <w:right w:val="single" w:sz="4" w:space="0" w:color="auto"/>
            </w:tcBorders>
            <w:shd w:val="clear" w:color="000000" w:fill="B4C6E7"/>
            <w:vAlign w:val="center"/>
            <w:hideMark/>
          </w:tcPr>
          <w:p w:rsidR="002B2DA3" w:rsidRPr="0008532E" w:rsidRDefault="002B2DA3" w:rsidP="002B2DA3">
            <w:pPr>
              <w:jc w:val="center"/>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Notional</w:t>
            </w:r>
            <w:r w:rsidRPr="0008532E">
              <w:rPr>
                <w:rFonts w:ascii="Garamond" w:eastAsia="Times New Roman" w:hAnsi="Garamond" w:cs="Calibri"/>
                <w:b/>
                <w:bCs/>
                <w:color w:val="000000"/>
                <w:sz w:val="16"/>
                <w:szCs w:val="20"/>
              </w:rPr>
              <w:br/>
              <w:t>turnover</w:t>
            </w:r>
          </w:p>
        </w:tc>
        <w:tc>
          <w:tcPr>
            <w:tcW w:w="0" w:type="auto"/>
            <w:tcBorders>
              <w:top w:val="nil"/>
              <w:left w:val="nil"/>
              <w:bottom w:val="single" w:sz="4" w:space="0" w:color="auto"/>
              <w:right w:val="single" w:sz="4" w:space="0" w:color="auto"/>
            </w:tcBorders>
            <w:shd w:val="clear" w:color="000000" w:fill="B4C6E7"/>
            <w:vAlign w:val="center"/>
            <w:hideMark/>
          </w:tcPr>
          <w:p w:rsidR="002B2DA3" w:rsidRPr="0008532E" w:rsidRDefault="002B2DA3" w:rsidP="002B2DA3">
            <w:pPr>
              <w:jc w:val="center"/>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Open</w:t>
            </w:r>
            <w:r w:rsidRPr="0008532E">
              <w:rPr>
                <w:rFonts w:ascii="Garamond" w:eastAsia="Times New Roman" w:hAnsi="Garamond" w:cs="Calibri"/>
                <w:b/>
                <w:bCs/>
                <w:color w:val="000000"/>
                <w:sz w:val="16"/>
                <w:szCs w:val="20"/>
              </w:rPr>
              <w:br/>
              <w:t>interest</w:t>
            </w:r>
          </w:p>
        </w:tc>
        <w:tc>
          <w:tcPr>
            <w:tcW w:w="0" w:type="auto"/>
            <w:tcBorders>
              <w:top w:val="nil"/>
              <w:left w:val="nil"/>
              <w:bottom w:val="single" w:sz="4" w:space="0" w:color="auto"/>
              <w:right w:val="single" w:sz="4" w:space="0" w:color="auto"/>
            </w:tcBorders>
            <w:shd w:val="clear" w:color="000000" w:fill="B4C6E7"/>
            <w:vAlign w:val="center"/>
            <w:hideMark/>
          </w:tcPr>
          <w:p w:rsidR="002B2DA3" w:rsidRPr="0008532E" w:rsidRDefault="002B2DA3" w:rsidP="002B2DA3">
            <w:pPr>
              <w:jc w:val="center"/>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Number of</w:t>
            </w:r>
            <w:r w:rsidRPr="0008532E">
              <w:rPr>
                <w:rFonts w:ascii="Garamond" w:eastAsia="Times New Roman" w:hAnsi="Garamond" w:cs="Calibri"/>
                <w:b/>
                <w:bCs/>
                <w:color w:val="000000"/>
                <w:sz w:val="16"/>
                <w:szCs w:val="20"/>
              </w:rPr>
              <w:br/>
              <w:t>contracts traded</w:t>
            </w:r>
          </w:p>
        </w:tc>
        <w:tc>
          <w:tcPr>
            <w:tcW w:w="0" w:type="auto"/>
            <w:tcBorders>
              <w:top w:val="nil"/>
              <w:left w:val="nil"/>
              <w:bottom w:val="single" w:sz="4" w:space="0" w:color="auto"/>
              <w:right w:val="single" w:sz="4" w:space="0" w:color="auto"/>
            </w:tcBorders>
            <w:shd w:val="clear" w:color="000000" w:fill="B4C6E7"/>
            <w:vAlign w:val="center"/>
            <w:hideMark/>
          </w:tcPr>
          <w:p w:rsidR="002B2DA3" w:rsidRPr="0008532E" w:rsidRDefault="002B2DA3" w:rsidP="002B2DA3">
            <w:pPr>
              <w:jc w:val="center"/>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Notional</w:t>
            </w:r>
            <w:r w:rsidRPr="0008532E">
              <w:rPr>
                <w:rFonts w:ascii="Garamond" w:eastAsia="Times New Roman" w:hAnsi="Garamond" w:cs="Calibri"/>
                <w:b/>
                <w:bCs/>
                <w:color w:val="000000"/>
                <w:sz w:val="16"/>
                <w:szCs w:val="20"/>
              </w:rPr>
              <w:br/>
              <w:t>turnover</w:t>
            </w:r>
          </w:p>
        </w:tc>
        <w:tc>
          <w:tcPr>
            <w:tcW w:w="0" w:type="auto"/>
            <w:tcBorders>
              <w:top w:val="nil"/>
              <w:left w:val="nil"/>
              <w:bottom w:val="single" w:sz="4" w:space="0" w:color="auto"/>
              <w:right w:val="single" w:sz="4" w:space="0" w:color="auto"/>
            </w:tcBorders>
            <w:shd w:val="clear" w:color="000000" w:fill="B4C6E7"/>
            <w:vAlign w:val="center"/>
            <w:hideMark/>
          </w:tcPr>
          <w:p w:rsidR="002B2DA3" w:rsidRPr="0008532E" w:rsidRDefault="002B2DA3" w:rsidP="002B2DA3">
            <w:pPr>
              <w:jc w:val="center"/>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Open</w:t>
            </w:r>
            <w:r w:rsidRPr="0008532E">
              <w:rPr>
                <w:rFonts w:ascii="Garamond" w:eastAsia="Times New Roman" w:hAnsi="Garamond" w:cs="Calibri"/>
                <w:b/>
                <w:bCs/>
                <w:color w:val="000000"/>
                <w:sz w:val="16"/>
                <w:szCs w:val="20"/>
              </w:rPr>
              <w:br/>
              <w:t>interest</w:t>
            </w:r>
          </w:p>
        </w:tc>
        <w:tc>
          <w:tcPr>
            <w:tcW w:w="874" w:type="dxa"/>
            <w:vMerge/>
            <w:tcBorders>
              <w:top w:val="single" w:sz="4" w:space="0" w:color="auto"/>
              <w:left w:val="single" w:sz="4" w:space="0" w:color="auto"/>
              <w:bottom w:val="single" w:sz="4" w:space="0" w:color="auto"/>
              <w:right w:val="single" w:sz="4" w:space="0" w:color="auto"/>
            </w:tcBorders>
            <w:vAlign w:val="center"/>
            <w:hideMark/>
          </w:tcPr>
          <w:p w:rsidR="002B2DA3" w:rsidRPr="0008532E" w:rsidRDefault="002B2DA3" w:rsidP="002B2DA3">
            <w:pPr>
              <w:rPr>
                <w:rFonts w:ascii="Garamond" w:eastAsia="Times New Roman" w:hAnsi="Garamond" w:cs="Calibri"/>
                <w:b/>
                <w:bCs/>
                <w:color w:val="000000"/>
                <w:sz w:val="16"/>
                <w:szCs w:val="20"/>
              </w:rPr>
            </w:pPr>
          </w:p>
        </w:tc>
      </w:tr>
      <w:tr w:rsidR="002B2DA3" w:rsidRPr="0008532E" w:rsidTr="002B2DA3">
        <w:trPr>
          <w:trHeight w:hRule="exact" w:val="216"/>
          <w:jc w:val="center"/>
        </w:trPr>
        <w:tc>
          <w:tcPr>
            <w:tcW w:w="10012"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2B2DA3" w:rsidRPr="0008532E" w:rsidRDefault="002B2DA3" w:rsidP="002B2DA3">
            <w:pPr>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Americas</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BATS Global Markets - US</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32,059 </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BM&amp;FBOVESPA</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2,719,082 </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32,802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455,370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105,567,263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600,993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21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Bolsa de Comercio de Buenos Aires</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   </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6,238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6,094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22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Bolsa de Valores de Colombia</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   </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265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3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356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21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Bourse de Montreal</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7,433 </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415,989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CBOE Futures Exchange</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4,948,014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352,980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21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Chicago Board Options Exchange</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40,685,911 </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23,968,900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21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CME Group</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13,981,547 </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2,326,510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4,230,700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54,467,828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6,862,220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4,259,090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21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ICE Futures US</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152,574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1,797,900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21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International Securities Exchange</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83,977 </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MexDer</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4,501 </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101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4,275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54,906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1,231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40,774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22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Nasdaq - US</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249,474 </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w:t>
            </w:r>
          </w:p>
        </w:tc>
      </w:tr>
      <w:tr w:rsidR="002B2DA3" w:rsidRPr="0008532E" w:rsidTr="002B2DA3">
        <w:trPr>
          <w:trHeight w:hRule="exact" w:val="216"/>
          <w:jc w:val="center"/>
        </w:trPr>
        <w:tc>
          <w:tcPr>
            <w:tcW w:w="0" w:type="auto"/>
            <w:tcBorders>
              <w:top w:val="single" w:sz="4" w:space="0" w:color="auto"/>
              <w:left w:val="single" w:sz="4" w:space="0" w:color="auto"/>
              <w:bottom w:val="single" w:sz="4" w:space="0" w:color="auto"/>
              <w:right w:val="nil"/>
            </w:tcBorders>
            <w:shd w:val="clear" w:color="000000" w:fill="B4C6E7"/>
            <w:vAlign w:val="center"/>
            <w:hideMark/>
          </w:tcPr>
          <w:p w:rsidR="002B2DA3" w:rsidRPr="0008532E" w:rsidRDefault="002B2DA3" w:rsidP="002B2DA3">
            <w:pPr>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Total region</w:t>
            </w:r>
          </w:p>
        </w:tc>
        <w:tc>
          <w:tcPr>
            <w:tcW w:w="0" w:type="auto"/>
            <w:tcBorders>
              <w:top w:val="single" w:sz="4" w:space="0" w:color="auto"/>
              <w:left w:val="single" w:sz="4" w:space="0" w:color="auto"/>
              <w:bottom w:val="single" w:sz="4" w:space="0" w:color="auto"/>
              <w:right w:val="nil"/>
            </w:tcBorders>
            <w:shd w:val="clear" w:color="auto" w:fill="auto"/>
            <w:vAlign w:val="center"/>
            <w:hideMark/>
          </w:tcPr>
          <w:p w:rsidR="002B2DA3" w:rsidRPr="0008532E" w:rsidRDefault="002B2DA3" w:rsidP="002B2DA3">
            <w:pPr>
              <w:jc w:val="right"/>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 xml:space="preserve">   57,763,984 </w:t>
            </w:r>
          </w:p>
        </w:tc>
        <w:tc>
          <w:tcPr>
            <w:tcW w:w="0" w:type="auto"/>
            <w:tcBorders>
              <w:top w:val="single" w:sz="4" w:space="0" w:color="auto"/>
              <w:left w:val="single" w:sz="4" w:space="0" w:color="auto"/>
              <w:bottom w:val="single" w:sz="4" w:space="0" w:color="auto"/>
              <w:right w:val="nil"/>
            </w:tcBorders>
            <w:shd w:val="clear" w:color="auto" w:fill="auto"/>
            <w:vAlign w:val="center"/>
            <w:hideMark/>
          </w:tcPr>
          <w:p w:rsidR="002B2DA3" w:rsidRPr="0008532E" w:rsidRDefault="002B2DA3" w:rsidP="002B2DA3">
            <w:pPr>
              <w:jc w:val="right"/>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 xml:space="preserve">  165,460,503 </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 </w:t>
            </w:r>
          </w:p>
        </w:tc>
        <w:tc>
          <w:tcPr>
            <w:tcW w:w="874" w:type="dxa"/>
            <w:tcBorders>
              <w:top w:val="single" w:sz="4" w:space="0" w:color="auto"/>
              <w:left w:val="nil"/>
              <w:bottom w:val="single" w:sz="4" w:space="0" w:color="auto"/>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 </w:t>
            </w:r>
          </w:p>
        </w:tc>
      </w:tr>
      <w:tr w:rsidR="002B2DA3" w:rsidRPr="0008532E" w:rsidTr="002B2DA3">
        <w:trPr>
          <w:trHeight w:hRule="exact" w:val="216"/>
          <w:jc w:val="center"/>
        </w:trPr>
        <w:tc>
          <w:tcPr>
            <w:tcW w:w="10012"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2B2DA3" w:rsidRPr="0008532E" w:rsidRDefault="002B2DA3" w:rsidP="002B2DA3">
            <w:pPr>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Asia - Pacific</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Australian Securities Exchange</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752,483 </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31,633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792,067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835,745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86,095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282,031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22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Bursa Malaysia Derivatives</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1,390 </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0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514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181,961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3,656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21,402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21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China Financial Futures Exchange</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2,826,176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364,226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197,219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22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Hong Kong Exchanges and Clearing</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3,291,802 </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333,297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2,901,400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10,586,477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1,168,810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748,644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22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Japan Exchange Group</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2,640,911 </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2,038,750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24,945,449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919,678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1,622,490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19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Korea Exchange</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64,040,139 </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3,797,010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4,052,100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8,690,961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380,649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648,470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22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National Stock Exchange of India</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325,734,039 </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2,709,690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1,406,490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6,852,010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66,644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321,854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23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Singapore Exchange</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826,066 </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1,723,050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13,769,316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2,323,160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TAIFEX</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14,856,736 </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235,766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524,151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7,011,278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281,948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146,926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21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Thailand Futures Exchange</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94,630 </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44,287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3,546,273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253,175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22 </w:t>
            </w:r>
          </w:p>
        </w:tc>
      </w:tr>
      <w:tr w:rsidR="002B2DA3" w:rsidRPr="0008532E" w:rsidTr="002B2DA3">
        <w:trPr>
          <w:trHeight w:hRule="exact" w:val="216"/>
          <w:jc w:val="center"/>
        </w:trPr>
        <w:tc>
          <w:tcPr>
            <w:tcW w:w="0" w:type="auto"/>
            <w:tcBorders>
              <w:top w:val="single" w:sz="4" w:space="0" w:color="auto"/>
              <w:left w:val="single" w:sz="4" w:space="0" w:color="auto"/>
              <w:bottom w:val="single" w:sz="4" w:space="0" w:color="auto"/>
              <w:right w:val="nil"/>
            </w:tcBorders>
            <w:shd w:val="clear" w:color="000000" w:fill="B4C6E7"/>
            <w:vAlign w:val="center"/>
            <w:hideMark/>
          </w:tcPr>
          <w:p w:rsidR="002B2DA3" w:rsidRPr="0008532E" w:rsidRDefault="002B2DA3" w:rsidP="002B2DA3">
            <w:pPr>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Total region</w:t>
            </w:r>
          </w:p>
        </w:tc>
        <w:tc>
          <w:tcPr>
            <w:tcW w:w="0" w:type="auto"/>
            <w:tcBorders>
              <w:top w:val="single" w:sz="4" w:space="0" w:color="auto"/>
              <w:left w:val="single" w:sz="4" w:space="0" w:color="auto"/>
              <w:bottom w:val="single" w:sz="4" w:space="0" w:color="auto"/>
              <w:right w:val="nil"/>
            </w:tcBorders>
            <w:shd w:val="clear" w:color="auto" w:fill="auto"/>
            <w:vAlign w:val="center"/>
            <w:hideMark/>
          </w:tcPr>
          <w:p w:rsidR="002B2DA3" w:rsidRPr="0008532E" w:rsidRDefault="002B2DA3" w:rsidP="002B2DA3">
            <w:pPr>
              <w:jc w:val="right"/>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 xml:space="preserve">  412,238,196 </w:t>
            </w:r>
          </w:p>
        </w:tc>
        <w:tc>
          <w:tcPr>
            <w:tcW w:w="0" w:type="auto"/>
            <w:tcBorders>
              <w:top w:val="single" w:sz="4" w:space="0" w:color="auto"/>
              <w:left w:val="single" w:sz="4" w:space="0" w:color="auto"/>
              <w:bottom w:val="single" w:sz="4" w:space="0" w:color="auto"/>
              <w:right w:val="nil"/>
            </w:tcBorders>
            <w:shd w:val="clear" w:color="auto" w:fill="auto"/>
            <w:vAlign w:val="center"/>
            <w:hideMark/>
          </w:tcPr>
          <w:p w:rsidR="002B2DA3" w:rsidRPr="0008532E" w:rsidRDefault="002B2DA3" w:rsidP="002B2DA3">
            <w:pPr>
              <w:jc w:val="right"/>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 xml:space="preserve">   79,245,646 </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 </w:t>
            </w:r>
          </w:p>
        </w:tc>
        <w:tc>
          <w:tcPr>
            <w:tcW w:w="874" w:type="dxa"/>
            <w:tcBorders>
              <w:top w:val="single" w:sz="4" w:space="0" w:color="auto"/>
              <w:left w:val="nil"/>
              <w:bottom w:val="single" w:sz="4" w:space="0" w:color="auto"/>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 </w:t>
            </w:r>
          </w:p>
        </w:tc>
      </w:tr>
      <w:tr w:rsidR="002B2DA3" w:rsidRPr="0008532E" w:rsidTr="002B2DA3">
        <w:trPr>
          <w:trHeight w:hRule="exact" w:val="216"/>
          <w:jc w:val="center"/>
        </w:trPr>
        <w:tc>
          <w:tcPr>
            <w:tcW w:w="10012"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2B2DA3" w:rsidRPr="0008532E" w:rsidRDefault="002B2DA3" w:rsidP="002B2DA3">
            <w:pPr>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Europe - Africa - Middle East</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Athens Derivatives Exchange</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3,942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15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1,690 </w:t>
            </w:r>
          </w:p>
        </w:tc>
        <w:tc>
          <w:tcPr>
            <w:tcW w:w="0" w:type="auto"/>
            <w:tcBorders>
              <w:top w:val="nil"/>
              <w:left w:val="nil"/>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26,876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102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3,597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22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BME Spanish Exchanges</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181,019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1,793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838,572 </w:t>
            </w:r>
          </w:p>
        </w:tc>
        <w:tc>
          <w:tcPr>
            <w:tcW w:w="0" w:type="auto"/>
            <w:tcBorders>
              <w:top w:val="nil"/>
              <w:left w:val="nil"/>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630,005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52,188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145,471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22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Borsa Istanbul</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17,640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43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16,172 </w:t>
            </w:r>
          </w:p>
        </w:tc>
        <w:tc>
          <w:tcPr>
            <w:tcW w:w="0" w:type="auto"/>
            <w:tcBorders>
              <w:top w:val="nil"/>
              <w:left w:val="nil"/>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4,325,039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10,336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448,464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22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Budapest Stock Exchange</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   </w:t>
            </w:r>
          </w:p>
        </w:tc>
        <w:tc>
          <w:tcPr>
            <w:tcW w:w="0" w:type="auto"/>
            <w:tcBorders>
              <w:top w:val="nil"/>
              <w:left w:val="nil"/>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34,818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51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11,948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22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EUREX</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35,346,442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1,248,570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44,786,800 </w:t>
            </w:r>
          </w:p>
        </w:tc>
        <w:tc>
          <w:tcPr>
            <w:tcW w:w="0" w:type="auto"/>
            <w:tcBorders>
              <w:top w:val="nil"/>
              <w:left w:val="nil"/>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34,344,632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1,693,940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9,932,880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22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Euronext</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1,450,605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81,987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811,333 </w:t>
            </w:r>
          </w:p>
        </w:tc>
        <w:tc>
          <w:tcPr>
            <w:tcW w:w="0" w:type="auto"/>
            <w:tcBorders>
              <w:top w:val="nil"/>
              <w:left w:val="nil"/>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3,261,839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222,124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607,169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22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Johannesburg Stock Exchange</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419,216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203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925,459 </w:t>
            </w:r>
          </w:p>
        </w:tc>
        <w:tc>
          <w:tcPr>
            <w:tcW w:w="0" w:type="auto"/>
            <w:tcBorders>
              <w:top w:val="nil"/>
              <w:left w:val="nil"/>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859,162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21,007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548,165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22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Moscow Exchange</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1,322,039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3,092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425,684 </w:t>
            </w:r>
          </w:p>
        </w:tc>
        <w:tc>
          <w:tcPr>
            <w:tcW w:w="0" w:type="auto"/>
            <w:tcBorders>
              <w:top w:val="nil"/>
              <w:left w:val="nil"/>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7,905,608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17,701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483,566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20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Nasdaq Nordic Exchanges</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466,299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7,581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483,394 </w:t>
            </w:r>
          </w:p>
        </w:tc>
        <w:tc>
          <w:tcPr>
            <w:tcW w:w="0" w:type="auto"/>
            <w:tcBorders>
              <w:top w:val="nil"/>
              <w:left w:val="nil"/>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3,317,034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53,458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581,165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22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Oslo Bors</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73,415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660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97,655 </w:t>
            </w:r>
          </w:p>
        </w:tc>
        <w:tc>
          <w:tcPr>
            <w:tcW w:w="0" w:type="auto"/>
            <w:tcBorders>
              <w:top w:val="nil"/>
              <w:left w:val="nil"/>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258,464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2,360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50,447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Tel-Aviv Stock Exchange</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2,317,213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96,004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229,131 </w:t>
            </w:r>
          </w:p>
        </w:tc>
        <w:tc>
          <w:tcPr>
            <w:tcW w:w="0" w:type="auto"/>
            <w:tcBorders>
              <w:top w:val="nil"/>
              <w:left w:val="nil"/>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NA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23 </w:t>
            </w:r>
          </w:p>
        </w:tc>
      </w:tr>
      <w:tr w:rsidR="002B2DA3" w:rsidRPr="0008532E" w:rsidTr="002B2DA3">
        <w:trPr>
          <w:trHeight w:hRule="exact" w:val="216"/>
          <w:jc w:val="center"/>
        </w:trPr>
        <w:tc>
          <w:tcPr>
            <w:tcW w:w="0" w:type="auto"/>
            <w:tcBorders>
              <w:top w:val="nil"/>
              <w:left w:val="single" w:sz="4" w:space="0" w:color="auto"/>
              <w:bottom w:val="nil"/>
              <w:right w:val="nil"/>
            </w:tcBorders>
            <w:shd w:val="clear" w:color="000000" w:fill="B4C6E7"/>
            <w:vAlign w:val="center"/>
            <w:hideMark/>
          </w:tcPr>
          <w:p w:rsidR="002B2DA3" w:rsidRPr="0008532E" w:rsidRDefault="002B2DA3" w:rsidP="002B2DA3">
            <w:pPr>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Warsaw Stock Exchange</w:t>
            </w:r>
          </w:p>
        </w:tc>
        <w:tc>
          <w:tcPr>
            <w:tcW w:w="0" w:type="auto"/>
            <w:tcBorders>
              <w:top w:val="nil"/>
              <w:left w:val="single" w:sz="4" w:space="0" w:color="auto"/>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18,091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114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15,689 </w:t>
            </w:r>
          </w:p>
        </w:tc>
        <w:tc>
          <w:tcPr>
            <w:tcW w:w="0" w:type="auto"/>
            <w:tcBorders>
              <w:top w:val="nil"/>
              <w:left w:val="nil"/>
              <w:bottom w:val="nil"/>
              <w:right w:val="nil"/>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332,147 </w:t>
            </w:r>
          </w:p>
        </w:tc>
        <w:tc>
          <w:tcPr>
            <w:tcW w:w="0" w:type="auto"/>
            <w:tcBorders>
              <w:top w:val="nil"/>
              <w:left w:val="single" w:sz="4" w:space="0" w:color="auto"/>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4,165 </w:t>
            </w:r>
          </w:p>
        </w:tc>
        <w:tc>
          <w:tcPr>
            <w:tcW w:w="0" w:type="auto"/>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57,924 </w:t>
            </w:r>
          </w:p>
        </w:tc>
        <w:tc>
          <w:tcPr>
            <w:tcW w:w="874" w:type="dxa"/>
            <w:tcBorders>
              <w:top w:val="nil"/>
              <w:left w:val="nil"/>
              <w:bottom w:val="nil"/>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color w:val="000000"/>
                <w:sz w:val="16"/>
                <w:szCs w:val="20"/>
              </w:rPr>
            </w:pPr>
            <w:r w:rsidRPr="0008532E">
              <w:rPr>
                <w:rFonts w:ascii="Garamond" w:eastAsia="Times New Roman" w:hAnsi="Garamond" w:cs="Calibri"/>
                <w:color w:val="000000"/>
                <w:sz w:val="16"/>
                <w:szCs w:val="20"/>
              </w:rPr>
              <w:t xml:space="preserve">            22 </w:t>
            </w:r>
          </w:p>
        </w:tc>
      </w:tr>
      <w:tr w:rsidR="002B2DA3" w:rsidRPr="0008532E" w:rsidTr="002B2DA3">
        <w:trPr>
          <w:trHeight w:hRule="exact" w:val="216"/>
          <w:jc w:val="center"/>
        </w:trPr>
        <w:tc>
          <w:tcPr>
            <w:tcW w:w="0" w:type="auto"/>
            <w:tcBorders>
              <w:top w:val="single" w:sz="4" w:space="0" w:color="auto"/>
              <w:left w:val="single" w:sz="4" w:space="0" w:color="auto"/>
              <w:bottom w:val="single" w:sz="4" w:space="0" w:color="auto"/>
              <w:right w:val="nil"/>
            </w:tcBorders>
            <w:shd w:val="clear" w:color="000000" w:fill="B4C6E7"/>
            <w:vAlign w:val="center"/>
            <w:hideMark/>
          </w:tcPr>
          <w:p w:rsidR="002B2DA3" w:rsidRPr="0008532E" w:rsidRDefault="002B2DA3" w:rsidP="002B2DA3">
            <w:pPr>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Total region</w:t>
            </w:r>
          </w:p>
        </w:tc>
        <w:tc>
          <w:tcPr>
            <w:tcW w:w="0" w:type="auto"/>
            <w:tcBorders>
              <w:top w:val="single" w:sz="4" w:space="0" w:color="auto"/>
              <w:left w:val="single" w:sz="4" w:space="0" w:color="auto"/>
              <w:bottom w:val="single" w:sz="4" w:space="0" w:color="auto"/>
              <w:right w:val="nil"/>
            </w:tcBorders>
            <w:shd w:val="clear" w:color="auto" w:fill="auto"/>
            <w:vAlign w:val="center"/>
            <w:hideMark/>
          </w:tcPr>
          <w:p w:rsidR="002B2DA3" w:rsidRPr="0008532E" w:rsidRDefault="002B2DA3" w:rsidP="002B2DA3">
            <w:pPr>
              <w:jc w:val="right"/>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 xml:space="preserve">    41,615,921 </w:t>
            </w:r>
          </w:p>
        </w:tc>
        <w:tc>
          <w:tcPr>
            <w:tcW w:w="0" w:type="auto"/>
            <w:tcBorders>
              <w:top w:val="single" w:sz="4" w:space="0" w:color="auto"/>
              <w:left w:val="single" w:sz="4" w:space="0" w:color="auto"/>
              <w:bottom w:val="single" w:sz="4" w:space="0" w:color="auto"/>
              <w:right w:val="nil"/>
            </w:tcBorders>
            <w:shd w:val="clear" w:color="auto" w:fill="auto"/>
            <w:vAlign w:val="center"/>
            <w:hideMark/>
          </w:tcPr>
          <w:p w:rsidR="002B2DA3" w:rsidRPr="0008532E" w:rsidRDefault="002B2DA3" w:rsidP="002B2DA3">
            <w:pPr>
              <w:jc w:val="right"/>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 xml:space="preserve">   55,295,624 </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 </w:t>
            </w:r>
          </w:p>
        </w:tc>
        <w:tc>
          <w:tcPr>
            <w:tcW w:w="874" w:type="dxa"/>
            <w:tcBorders>
              <w:top w:val="single" w:sz="4" w:space="0" w:color="auto"/>
              <w:left w:val="nil"/>
              <w:bottom w:val="single" w:sz="4" w:space="0" w:color="auto"/>
              <w:right w:val="single" w:sz="4" w:space="0" w:color="auto"/>
            </w:tcBorders>
            <w:shd w:val="clear" w:color="auto" w:fill="auto"/>
            <w:vAlign w:val="center"/>
            <w:hideMark/>
          </w:tcPr>
          <w:p w:rsidR="002B2DA3" w:rsidRPr="0008532E" w:rsidRDefault="002B2DA3" w:rsidP="002B2DA3">
            <w:pPr>
              <w:jc w:val="right"/>
              <w:rPr>
                <w:rFonts w:ascii="Garamond" w:eastAsia="Times New Roman" w:hAnsi="Garamond" w:cs="Calibri"/>
                <w:b/>
                <w:bCs/>
                <w:color w:val="000000"/>
                <w:sz w:val="16"/>
                <w:szCs w:val="20"/>
              </w:rPr>
            </w:pPr>
            <w:r w:rsidRPr="0008532E">
              <w:rPr>
                <w:rFonts w:ascii="Garamond" w:eastAsia="Times New Roman" w:hAnsi="Garamond" w:cs="Calibri"/>
                <w:b/>
                <w:bCs/>
                <w:color w:val="000000"/>
                <w:sz w:val="16"/>
                <w:szCs w:val="20"/>
              </w:rPr>
              <w:t> </w:t>
            </w:r>
          </w:p>
        </w:tc>
      </w:tr>
      <w:tr w:rsidR="002B2DA3" w:rsidRPr="0008532E" w:rsidTr="002B2DA3">
        <w:trPr>
          <w:trHeight w:hRule="exact" w:val="216"/>
          <w:jc w:val="center"/>
        </w:trPr>
        <w:tc>
          <w:tcPr>
            <w:tcW w:w="0" w:type="auto"/>
            <w:tcBorders>
              <w:top w:val="nil"/>
              <w:left w:val="single" w:sz="4" w:space="0" w:color="auto"/>
              <w:bottom w:val="single" w:sz="4" w:space="0" w:color="auto"/>
              <w:right w:val="single" w:sz="4" w:space="0" w:color="auto"/>
            </w:tcBorders>
            <w:shd w:val="clear" w:color="000000" w:fill="B4C6E7"/>
            <w:vAlign w:val="center"/>
            <w:hideMark/>
          </w:tcPr>
          <w:p w:rsidR="002B2DA3" w:rsidRPr="0008532E" w:rsidRDefault="002B2DA3" w:rsidP="002B2DA3">
            <w:pPr>
              <w:rPr>
                <w:rFonts w:ascii="Garamond" w:eastAsia="Times New Roman" w:hAnsi="Garamond" w:cs="Calibri"/>
                <w:b/>
                <w:bCs/>
                <w:sz w:val="16"/>
                <w:szCs w:val="20"/>
              </w:rPr>
            </w:pPr>
            <w:r w:rsidRPr="0008532E">
              <w:rPr>
                <w:rFonts w:ascii="Garamond" w:eastAsia="Times New Roman" w:hAnsi="Garamond" w:cs="Calibri"/>
                <w:b/>
                <w:bCs/>
                <w:sz w:val="16"/>
                <w:szCs w:val="20"/>
              </w:rPr>
              <w:t>Total</w:t>
            </w:r>
          </w:p>
        </w:tc>
        <w:tc>
          <w:tcPr>
            <w:tcW w:w="0" w:type="auto"/>
            <w:tcBorders>
              <w:top w:val="nil"/>
              <w:left w:val="nil"/>
              <w:bottom w:val="single" w:sz="4" w:space="0" w:color="auto"/>
              <w:right w:val="single" w:sz="4" w:space="0" w:color="auto"/>
            </w:tcBorders>
            <w:shd w:val="clear" w:color="000000" w:fill="B4C6E7"/>
            <w:vAlign w:val="center"/>
            <w:hideMark/>
          </w:tcPr>
          <w:p w:rsidR="002B2DA3" w:rsidRPr="0008532E" w:rsidRDefault="002B2DA3" w:rsidP="002B2DA3">
            <w:pPr>
              <w:jc w:val="right"/>
              <w:rPr>
                <w:rFonts w:ascii="Garamond" w:eastAsia="Times New Roman" w:hAnsi="Garamond" w:cs="Calibri"/>
                <w:b/>
                <w:bCs/>
                <w:sz w:val="16"/>
                <w:szCs w:val="20"/>
              </w:rPr>
            </w:pPr>
            <w:r w:rsidRPr="0008532E">
              <w:rPr>
                <w:rFonts w:ascii="Garamond" w:eastAsia="Times New Roman" w:hAnsi="Garamond" w:cs="Calibri"/>
                <w:b/>
                <w:bCs/>
                <w:sz w:val="16"/>
                <w:szCs w:val="20"/>
              </w:rPr>
              <w:t xml:space="preserve">   511,618,101 </w:t>
            </w:r>
          </w:p>
        </w:tc>
        <w:tc>
          <w:tcPr>
            <w:tcW w:w="0" w:type="auto"/>
            <w:tcBorders>
              <w:top w:val="nil"/>
              <w:left w:val="nil"/>
              <w:bottom w:val="single" w:sz="4" w:space="0" w:color="auto"/>
              <w:right w:val="single" w:sz="4" w:space="0" w:color="auto"/>
            </w:tcBorders>
            <w:shd w:val="clear" w:color="000000" w:fill="B4C6E7"/>
            <w:vAlign w:val="center"/>
            <w:hideMark/>
          </w:tcPr>
          <w:p w:rsidR="002B2DA3" w:rsidRPr="0008532E" w:rsidRDefault="002B2DA3" w:rsidP="002B2DA3">
            <w:pPr>
              <w:jc w:val="right"/>
              <w:rPr>
                <w:rFonts w:ascii="Garamond" w:eastAsia="Times New Roman" w:hAnsi="Garamond" w:cs="Calibri"/>
                <w:b/>
                <w:bCs/>
                <w:sz w:val="16"/>
                <w:szCs w:val="20"/>
              </w:rPr>
            </w:pPr>
            <w:r w:rsidRPr="0008532E">
              <w:rPr>
                <w:rFonts w:ascii="Garamond" w:eastAsia="Times New Roman" w:hAnsi="Garamond" w:cs="Calibri"/>
                <w:b/>
                <w:bCs/>
                <w:sz w:val="16"/>
                <w:szCs w:val="20"/>
              </w:rPr>
              <w:t> </w:t>
            </w:r>
          </w:p>
        </w:tc>
        <w:tc>
          <w:tcPr>
            <w:tcW w:w="0" w:type="auto"/>
            <w:tcBorders>
              <w:top w:val="nil"/>
              <w:left w:val="nil"/>
              <w:bottom w:val="single" w:sz="4" w:space="0" w:color="auto"/>
              <w:right w:val="single" w:sz="4" w:space="0" w:color="auto"/>
            </w:tcBorders>
            <w:shd w:val="clear" w:color="000000" w:fill="B4C6E7"/>
            <w:vAlign w:val="center"/>
            <w:hideMark/>
          </w:tcPr>
          <w:p w:rsidR="002B2DA3" w:rsidRPr="0008532E" w:rsidRDefault="002B2DA3" w:rsidP="002B2DA3">
            <w:pPr>
              <w:jc w:val="right"/>
              <w:rPr>
                <w:rFonts w:ascii="Garamond" w:eastAsia="Times New Roman" w:hAnsi="Garamond" w:cs="Calibri"/>
                <w:b/>
                <w:bCs/>
                <w:sz w:val="16"/>
                <w:szCs w:val="20"/>
              </w:rPr>
            </w:pPr>
            <w:r w:rsidRPr="0008532E">
              <w:rPr>
                <w:rFonts w:ascii="Garamond" w:eastAsia="Times New Roman" w:hAnsi="Garamond" w:cs="Calibri"/>
                <w:b/>
                <w:bCs/>
                <w:sz w:val="16"/>
                <w:szCs w:val="20"/>
              </w:rPr>
              <w:t> </w:t>
            </w:r>
          </w:p>
        </w:tc>
        <w:tc>
          <w:tcPr>
            <w:tcW w:w="0" w:type="auto"/>
            <w:tcBorders>
              <w:top w:val="nil"/>
              <w:left w:val="nil"/>
              <w:bottom w:val="single" w:sz="4" w:space="0" w:color="auto"/>
              <w:right w:val="single" w:sz="4" w:space="0" w:color="auto"/>
            </w:tcBorders>
            <w:shd w:val="clear" w:color="000000" w:fill="B4C6E7"/>
            <w:vAlign w:val="center"/>
            <w:hideMark/>
          </w:tcPr>
          <w:p w:rsidR="002B2DA3" w:rsidRPr="0008532E" w:rsidRDefault="002B2DA3" w:rsidP="002B2DA3">
            <w:pPr>
              <w:jc w:val="right"/>
              <w:rPr>
                <w:rFonts w:ascii="Garamond" w:eastAsia="Times New Roman" w:hAnsi="Garamond" w:cs="Calibri"/>
                <w:b/>
                <w:bCs/>
                <w:sz w:val="16"/>
                <w:szCs w:val="20"/>
              </w:rPr>
            </w:pPr>
            <w:r w:rsidRPr="0008532E">
              <w:rPr>
                <w:rFonts w:ascii="Garamond" w:eastAsia="Times New Roman" w:hAnsi="Garamond" w:cs="Calibri"/>
                <w:b/>
                <w:bCs/>
                <w:sz w:val="16"/>
                <w:szCs w:val="20"/>
              </w:rPr>
              <w:t xml:space="preserve">  300,001,773 </w:t>
            </w:r>
          </w:p>
        </w:tc>
        <w:tc>
          <w:tcPr>
            <w:tcW w:w="0" w:type="auto"/>
            <w:tcBorders>
              <w:top w:val="nil"/>
              <w:left w:val="nil"/>
              <w:bottom w:val="single" w:sz="4" w:space="0" w:color="auto"/>
              <w:right w:val="single" w:sz="4" w:space="0" w:color="auto"/>
            </w:tcBorders>
            <w:shd w:val="clear" w:color="000000" w:fill="B4C6E7"/>
            <w:vAlign w:val="center"/>
            <w:hideMark/>
          </w:tcPr>
          <w:p w:rsidR="002B2DA3" w:rsidRPr="0008532E" w:rsidRDefault="002B2DA3" w:rsidP="002B2DA3">
            <w:pPr>
              <w:jc w:val="right"/>
              <w:rPr>
                <w:rFonts w:ascii="Garamond" w:eastAsia="Times New Roman" w:hAnsi="Garamond" w:cs="Calibri"/>
                <w:b/>
                <w:bCs/>
                <w:sz w:val="16"/>
                <w:szCs w:val="20"/>
              </w:rPr>
            </w:pPr>
            <w:r w:rsidRPr="0008532E">
              <w:rPr>
                <w:rFonts w:ascii="Garamond" w:eastAsia="Times New Roman" w:hAnsi="Garamond" w:cs="Calibri"/>
                <w:b/>
                <w:bCs/>
                <w:sz w:val="16"/>
                <w:szCs w:val="20"/>
              </w:rPr>
              <w:t> </w:t>
            </w:r>
          </w:p>
        </w:tc>
        <w:tc>
          <w:tcPr>
            <w:tcW w:w="0" w:type="auto"/>
            <w:tcBorders>
              <w:top w:val="nil"/>
              <w:left w:val="nil"/>
              <w:bottom w:val="single" w:sz="4" w:space="0" w:color="auto"/>
              <w:right w:val="single" w:sz="4" w:space="0" w:color="auto"/>
            </w:tcBorders>
            <w:shd w:val="clear" w:color="000000" w:fill="B4C6E7"/>
            <w:vAlign w:val="center"/>
            <w:hideMark/>
          </w:tcPr>
          <w:p w:rsidR="002B2DA3" w:rsidRPr="0008532E" w:rsidRDefault="002B2DA3" w:rsidP="002B2DA3">
            <w:pPr>
              <w:jc w:val="right"/>
              <w:rPr>
                <w:rFonts w:ascii="Garamond" w:eastAsia="Times New Roman" w:hAnsi="Garamond" w:cs="Calibri"/>
                <w:b/>
                <w:bCs/>
                <w:sz w:val="16"/>
                <w:szCs w:val="20"/>
              </w:rPr>
            </w:pPr>
            <w:r w:rsidRPr="0008532E">
              <w:rPr>
                <w:rFonts w:ascii="Garamond" w:eastAsia="Times New Roman" w:hAnsi="Garamond" w:cs="Calibri"/>
                <w:b/>
                <w:bCs/>
                <w:sz w:val="16"/>
                <w:szCs w:val="20"/>
              </w:rPr>
              <w:t> </w:t>
            </w:r>
          </w:p>
        </w:tc>
        <w:tc>
          <w:tcPr>
            <w:tcW w:w="874" w:type="dxa"/>
            <w:tcBorders>
              <w:top w:val="nil"/>
              <w:left w:val="nil"/>
              <w:bottom w:val="single" w:sz="4" w:space="0" w:color="auto"/>
              <w:right w:val="single" w:sz="4" w:space="0" w:color="auto"/>
            </w:tcBorders>
            <w:shd w:val="clear" w:color="000000" w:fill="B4C6E7"/>
            <w:vAlign w:val="center"/>
            <w:hideMark/>
          </w:tcPr>
          <w:p w:rsidR="002B2DA3" w:rsidRPr="0008532E" w:rsidRDefault="002B2DA3" w:rsidP="002B2DA3">
            <w:pPr>
              <w:jc w:val="right"/>
              <w:rPr>
                <w:rFonts w:ascii="Garamond" w:eastAsia="Times New Roman" w:hAnsi="Garamond" w:cs="Calibri"/>
                <w:b/>
                <w:bCs/>
                <w:sz w:val="16"/>
                <w:szCs w:val="20"/>
              </w:rPr>
            </w:pPr>
            <w:r w:rsidRPr="0008532E">
              <w:rPr>
                <w:rFonts w:ascii="Garamond" w:eastAsia="Times New Roman" w:hAnsi="Garamond" w:cs="Calibri"/>
                <w:b/>
                <w:bCs/>
                <w:sz w:val="16"/>
                <w:szCs w:val="20"/>
              </w:rPr>
              <w:t> </w:t>
            </w:r>
          </w:p>
        </w:tc>
      </w:tr>
    </w:tbl>
    <w:p w:rsidR="002B2DA3" w:rsidRDefault="002B2DA3" w:rsidP="002B2DA3">
      <w:pPr>
        <w:jc w:val="both"/>
        <w:outlineLvl w:val="0"/>
        <w:rPr>
          <w:rFonts w:ascii="Garamond" w:hAnsi="Garamond"/>
          <w:b/>
        </w:rPr>
      </w:pPr>
    </w:p>
    <w:p w:rsidR="002B2DA3" w:rsidRDefault="002B2DA3" w:rsidP="002B2DA3">
      <w:pPr>
        <w:jc w:val="both"/>
        <w:outlineLvl w:val="0"/>
        <w:rPr>
          <w:rFonts w:ascii="Garamond" w:hAnsi="Garamond"/>
          <w:b/>
          <w:sz w:val="20"/>
        </w:rPr>
      </w:pPr>
    </w:p>
    <w:p w:rsidR="002B2DA3" w:rsidRPr="00BD6CE8" w:rsidRDefault="002B2DA3" w:rsidP="002B2DA3">
      <w:pPr>
        <w:jc w:val="both"/>
        <w:outlineLvl w:val="0"/>
        <w:rPr>
          <w:rFonts w:ascii="Garamond" w:hAnsi="Garamond"/>
          <w:b/>
          <w:sz w:val="20"/>
        </w:rPr>
      </w:pPr>
      <w:r w:rsidRPr="00BD6CE8">
        <w:rPr>
          <w:rFonts w:ascii="Garamond" w:hAnsi="Garamond"/>
          <w:b/>
          <w:sz w:val="20"/>
        </w:rPr>
        <w:t xml:space="preserve">NA: </w:t>
      </w:r>
      <w:r w:rsidRPr="00BD6CE8">
        <w:rPr>
          <w:rFonts w:ascii="Garamond" w:hAnsi="Garamond"/>
          <w:sz w:val="20"/>
        </w:rPr>
        <w:t>Not Available</w:t>
      </w:r>
    </w:p>
    <w:p w:rsidR="002B2DA3" w:rsidRPr="00BD6CE8" w:rsidRDefault="002B2DA3" w:rsidP="002B2DA3">
      <w:pPr>
        <w:jc w:val="both"/>
        <w:rPr>
          <w:rFonts w:ascii="Garamond" w:hAnsi="Garamond"/>
          <w:sz w:val="20"/>
        </w:rPr>
      </w:pPr>
      <w:r w:rsidRPr="00BD6CE8">
        <w:rPr>
          <w:rFonts w:ascii="Garamond" w:hAnsi="Garamond"/>
          <w:b/>
          <w:sz w:val="20"/>
        </w:rPr>
        <w:t xml:space="preserve">Source: </w:t>
      </w:r>
      <w:r w:rsidRPr="00BD6CE8">
        <w:rPr>
          <w:rFonts w:ascii="Garamond" w:hAnsi="Garamond"/>
          <w:sz w:val="20"/>
        </w:rPr>
        <w:t>World Federation of Exchanges</w:t>
      </w:r>
    </w:p>
    <w:p w:rsidR="002B2DA3" w:rsidRPr="00BD6CE8" w:rsidRDefault="002B2DA3" w:rsidP="002B2DA3">
      <w:pPr>
        <w:jc w:val="both"/>
        <w:rPr>
          <w:rFonts w:ascii="Garamond" w:hAnsi="Garamond"/>
        </w:rPr>
      </w:pPr>
    </w:p>
    <w:p w:rsidR="002B2DA3" w:rsidRPr="00BD6CE8" w:rsidRDefault="002B2DA3" w:rsidP="002B2DA3">
      <w:pPr>
        <w:jc w:val="both"/>
        <w:rPr>
          <w:rFonts w:ascii="Garamond" w:hAnsi="Garamond"/>
        </w:rPr>
      </w:pPr>
    </w:p>
    <w:p w:rsidR="002B2DA3" w:rsidRPr="00BD6CE8" w:rsidRDefault="002B2DA3" w:rsidP="002B2DA3">
      <w:pPr>
        <w:jc w:val="both"/>
        <w:rPr>
          <w:rFonts w:ascii="Garamond" w:hAnsi="Garamond"/>
        </w:rPr>
      </w:pPr>
    </w:p>
    <w:p w:rsidR="002B2DA3" w:rsidRPr="00BD6CE8" w:rsidRDefault="002B2DA3" w:rsidP="002B2DA3">
      <w:pPr>
        <w:jc w:val="both"/>
        <w:rPr>
          <w:rFonts w:ascii="Garamond" w:hAnsi="Garamond"/>
        </w:rPr>
      </w:pPr>
    </w:p>
    <w:p w:rsidR="002B2DA3" w:rsidRDefault="002B2DA3" w:rsidP="002B2DA3">
      <w:pPr>
        <w:rPr>
          <w:rFonts w:ascii="Garamond" w:hAnsi="Garamond"/>
          <w:b/>
        </w:rPr>
      </w:pPr>
      <w:r>
        <w:rPr>
          <w:rFonts w:ascii="Garamond" w:hAnsi="Garamond"/>
          <w:b/>
        </w:rPr>
        <w:br w:type="page"/>
      </w:r>
    </w:p>
    <w:p w:rsidR="002B2DA3" w:rsidRDefault="002B2DA3" w:rsidP="002B2DA3">
      <w:pPr>
        <w:jc w:val="both"/>
        <w:outlineLvl w:val="0"/>
        <w:rPr>
          <w:rFonts w:ascii="Garamond" w:hAnsi="Garamond"/>
          <w:b/>
        </w:rPr>
      </w:pPr>
      <w:r w:rsidRPr="003E388D">
        <w:rPr>
          <w:rFonts w:ascii="Garamond" w:hAnsi="Garamond"/>
          <w:b/>
        </w:rPr>
        <w:lastRenderedPageBreak/>
        <w:t>Table A</w:t>
      </w:r>
      <w:r>
        <w:rPr>
          <w:rFonts w:ascii="Garamond" w:hAnsi="Garamond"/>
          <w:b/>
        </w:rPr>
        <w:t>7</w:t>
      </w:r>
      <w:r w:rsidRPr="003E388D">
        <w:rPr>
          <w:rFonts w:ascii="Garamond" w:hAnsi="Garamond"/>
          <w:b/>
        </w:rPr>
        <w:t>: Currency Options and Futures Traded in Major Exchanges</w:t>
      </w:r>
    </w:p>
    <w:tbl>
      <w:tblPr>
        <w:tblW w:w="9699" w:type="dxa"/>
        <w:tblInd w:w="14" w:type="dxa"/>
        <w:tblCellMar>
          <w:left w:w="14" w:type="dxa"/>
          <w:right w:w="29" w:type="dxa"/>
        </w:tblCellMar>
        <w:tblLook w:val="04A0" w:firstRow="1" w:lastRow="0" w:firstColumn="1" w:lastColumn="0" w:noHBand="0" w:noVBand="1"/>
      </w:tblPr>
      <w:tblGrid>
        <w:gridCol w:w="2739"/>
        <w:gridCol w:w="1080"/>
        <w:gridCol w:w="860"/>
        <w:gridCol w:w="1000"/>
        <w:gridCol w:w="1100"/>
        <w:gridCol w:w="1060"/>
        <w:gridCol w:w="1000"/>
        <w:gridCol w:w="860"/>
      </w:tblGrid>
      <w:tr w:rsidR="002B2DA3" w:rsidRPr="002F67DE" w:rsidTr="002B2DA3">
        <w:trPr>
          <w:trHeight w:hRule="exact" w:val="216"/>
        </w:trPr>
        <w:tc>
          <w:tcPr>
            <w:tcW w:w="2739"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2B2DA3" w:rsidRPr="002F67DE" w:rsidRDefault="002B2DA3" w:rsidP="002B2DA3">
            <w:pPr>
              <w:jc w:val="center"/>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Exchange</w:t>
            </w:r>
          </w:p>
        </w:tc>
        <w:tc>
          <w:tcPr>
            <w:tcW w:w="6100" w:type="dxa"/>
            <w:gridSpan w:val="6"/>
            <w:tcBorders>
              <w:top w:val="single" w:sz="4" w:space="0" w:color="auto"/>
              <w:left w:val="nil"/>
              <w:bottom w:val="single" w:sz="4" w:space="0" w:color="auto"/>
              <w:right w:val="single" w:sz="4" w:space="0" w:color="auto"/>
            </w:tcBorders>
            <w:shd w:val="clear" w:color="000000" w:fill="B4C6E7"/>
            <w:vAlign w:val="center"/>
            <w:hideMark/>
          </w:tcPr>
          <w:p w:rsidR="002B2DA3" w:rsidRPr="002F67DE" w:rsidRDefault="002B2DA3" w:rsidP="002B2DA3">
            <w:pPr>
              <w:jc w:val="center"/>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Jan-19</w:t>
            </w:r>
          </w:p>
        </w:tc>
        <w:tc>
          <w:tcPr>
            <w:tcW w:w="860"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2B2DA3" w:rsidRPr="002F67DE" w:rsidRDefault="002B2DA3" w:rsidP="002B2DA3">
            <w:pPr>
              <w:jc w:val="center"/>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xml:space="preserve">Trading days </w:t>
            </w:r>
            <w:r w:rsidRPr="002F67DE">
              <w:rPr>
                <w:rFonts w:ascii="Garamond" w:eastAsia="Times New Roman" w:hAnsi="Garamond" w:cs="Calibri"/>
                <w:b/>
                <w:bCs/>
                <w:color w:val="000000"/>
                <w:sz w:val="18"/>
                <w:szCs w:val="20"/>
              </w:rPr>
              <w:br/>
              <w:t>Jan 2019</w:t>
            </w:r>
          </w:p>
        </w:tc>
      </w:tr>
      <w:tr w:rsidR="002B2DA3" w:rsidRPr="002F67DE" w:rsidTr="002B2DA3">
        <w:trPr>
          <w:trHeight w:hRule="exact" w:val="216"/>
        </w:trPr>
        <w:tc>
          <w:tcPr>
            <w:tcW w:w="2739" w:type="dxa"/>
            <w:vMerge/>
            <w:tcBorders>
              <w:top w:val="single" w:sz="4" w:space="0" w:color="auto"/>
              <w:left w:val="single" w:sz="4" w:space="0" w:color="auto"/>
              <w:bottom w:val="single" w:sz="4" w:space="0" w:color="auto"/>
              <w:right w:val="single" w:sz="4" w:space="0" w:color="auto"/>
            </w:tcBorders>
            <w:vAlign w:val="center"/>
            <w:hideMark/>
          </w:tcPr>
          <w:p w:rsidR="002B2DA3" w:rsidRPr="002F67DE" w:rsidRDefault="002B2DA3" w:rsidP="002B2DA3">
            <w:pPr>
              <w:rPr>
                <w:rFonts w:ascii="Garamond" w:eastAsia="Times New Roman" w:hAnsi="Garamond" w:cs="Calibri"/>
                <w:b/>
                <w:bCs/>
                <w:color w:val="000000"/>
                <w:sz w:val="18"/>
                <w:szCs w:val="20"/>
              </w:rPr>
            </w:pPr>
          </w:p>
        </w:tc>
        <w:tc>
          <w:tcPr>
            <w:tcW w:w="2940" w:type="dxa"/>
            <w:gridSpan w:val="3"/>
            <w:tcBorders>
              <w:top w:val="single" w:sz="4" w:space="0" w:color="auto"/>
              <w:left w:val="nil"/>
              <w:bottom w:val="single" w:sz="4" w:space="0" w:color="auto"/>
              <w:right w:val="single" w:sz="4" w:space="0" w:color="auto"/>
            </w:tcBorders>
            <w:shd w:val="clear" w:color="000000" w:fill="B4C6E7"/>
            <w:vAlign w:val="center"/>
            <w:hideMark/>
          </w:tcPr>
          <w:p w:rsidR="002B2DA3" w:rsidRPr="002F67DE" w:rsidRDefault="002B2DA3" w:rsidP="002B2DA3">
            <w:pPr>
              <w:jc w:val="center"/>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Currency options</w:t>
            </w:r>
          </w:p>
        </w:tc>
        <w:tc>
          <w:tcPr>
            <w:tcW w:w="3160" w:type="dxa"/>
            <w:gridSpan w:val="3"/>
            <w:tcBorders>
              <w:top w:val="single" w:sz="4" w:space="0" w:color="auto"/>
              <w:left w:val="nil"/>
              <w:bottom w:val="single" w:sz="4" w:space="0" w:color="auto"/>
              <w:right w:val="single" w:sz="4" w:space="0" w:color="auto"/>
            </w:tcBorders>
            <w:shd w:val="clear" w:color="000000" w:fill="B4C6E7"/>
            <w:vAlign w:val="center"/>
            <w:hideMark/>
          </w:tcPr>
          <w:p w:rsidR="002B2DA3" w:rsidRPr="002F67DE" w:rsidRDefault="002B2DA3" w:rsidP="002B2DA3">
            <w:pPr>
              <w:jc w:val="center"/>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Currency futures</w:t>
            </w:r>
          </w:p>
        </w:tc>
        <w:tc>
          <w:tcPr>
            <w:tcW w:w="860" w:type="dxa"/>
            <w:vMerge/>
            <w:tcBorders>
              <w:top w:val="single" w:sz="4" w:space="0" w:color="auto"/>
              <w:left w:val="single" w:sz="4" w:space="0" w:color="auto"/>
              <w:bottom w:val="single" w:sz="4" w:space="0" w:color="auto"/>
              <w:right w:val="single" w:sz="4" w:space="0" w:color="auto"/>
            </w:tcBorders>
            <w:vAlign w:val="center"/>
            <w:hideMark/>
          </w:tcPr>
          <w:p w:rsidR="002B2DA3" w:rsidRPr="002F67DE" w:rsidRDefault="002B2DA3" w:rsidP="002B2DA3">
            <w:pPr>
              <w:rPr>
                <w:rFonts w:ascii="Garamond" w:eastAsia="Times New Roman" w:hAnsi="Garamond" w:cs="Calibri"/>
                <w:b/>
                <w:bCs/>
                <w:color w:val="000000"/>
                <w:sz w:val="18"/>
                <w:szCs w:val="20"/>
              </w:rPr>
            </w:pPr>
          </w:p>
        </w:tc>
      </w:tr>
      <w:tr w:rsidR="002B2DA3" w:rsidRPr="002F67DE" w:rsidTr="002B2DA3">
        <w:trPr>
          <w:trHeight w:hRule="exact" w:val="568"/>
        </w:trPr>
        <w:tc>
          <w:tcPr>
            <w:tcW w:w="2739" w:type="dxa"/>
            <w:vMerge/>
            <w:tcBorders>
              <w:top w:val="single" w:sz="4" w:space="0" w:color="auto"/>
              <w:left w:val="single" w:sz="4" w:space="0" w:color="auto"/>
              <w:bottom w:val="single" w:sz="4" w:space="0" w:color="auto"/>
              <w:right w:val="single" w:sz="4" w:space="0" w:color="auto"/>
            </w:tcBorders>
            <w:vAlign w:val="center"/>
            <w:hideMark/>
          </w:tcPr>
          <w:p w:rsidR="002B2DA3" w:rsidRPr="002F67DE" w:rsidRDefault="002B2DA3" w:rsidP="002B2DA3">
            <w:pPr>
              <w:rPr>
                <w:rFonts w:ascii="Garamond" w:eastAsia="Times New Roman" w:hAnsi="Garamond" w:cs="Calibri"/>
                <w:b/>
                <w:bCs/>
                <w:color w:val="000000"/>
                <w:sz w:val="18"/>
                <w:szCs w:val="20"/>
              </w:rPr>
            </w:pPr>
          </w:p>
        </w:tc>
        <w:tc>
          <w:tcPr>
            <w:tcW w:w="1080" w:type="dxa"/>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Number of</w:t>
            </w:r>
            <w:r w:rsidRPr="002F67DE">
              <w:rPr>
                <w:rFonts w:ascii="Garamond" w:eastAsia="Times New Roman" w:hAnsi="Garamond" w:cs="Calibri"/>
                <w:b/>
                <w:bCs/>
                <w:color w:val="000000"/>
                <w:sz w:val="18"/>
                <w:szCs w:val="20"/>
              </w:rPr>
              <w:br/>
              <w:t>contracts traded</w:t>
            </w:r>
          </w:p>
        </w:tc>
        <w:tc>
          <w:tcPr>
            <w:tcW w:w="860" w:type="dxa"/>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Notional</w:t>
            </w:r>
            <w:r w:rsidRPr="002F67DE">
              <w:rPr>
                <w:rFonts w:ascii="Garamond" w:eastAsia="Times New Roman" w:hAnsi="Garamond" w:cs="Calibri"/>
                <w:b/>
                <w:bCs/>
                <w:color w:val="000000"/>
                <w:sz w:val="18"/>
                <w:szCs w:val="20"/>
              </w:rPr>
              <w:br/>
              <w:t>turnover</w:t>
            </w:r>
          </w:p>
        </w:tc>
        <w:tc>
          <w:tcPr>
            <w:tcW w:w="1000" w:type="dxa"/>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Open</w:t>
            </w:r>
            <w:r w:rsidRPr="002F67DE">
              <w:rPr>
                <w:rFonts w:ascii="Garamond" w:eastAsia="Times New Roman" w:hAnsi="Garamond" w:cs="Calibri"/>
                <w:b/>
                <w:bCs/>
                <w:color w:val="000000"/>
                <w:sz w:val="18"/>
                <w:szCs w:val="20"/>
              </w:rPr>
              <w:br/>
              <w:t>interest</w:t>
            </w:r>
          </w:p>
        </w:tc>
        <w:tc>
          <w:tcPr>
            <w:tcW w:w="1100" w:type="dxa"/>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Number of</w:t>
            </w:r>
            <w:r w:rsidRPr="002F67DE">
              <w:rPr>
                <w:rFonts w:ascii="Garamond" w:eastAsia="Times New Roman" w:hAnsi="Garamond" w:cs="Calibri"/>
                <w:b/>
                <w:bCs/>
                <w:color w:val="000000"/>
                <w:sz w:val="18"/>
                <w:szCs w:val="20"/>
              </w:rPr>
              <w:br/>
              <w:t>contracts traded</w:t>
            </w:r>
          </w:p>
        </w:tc>
        <w:tc>
          <w:tcPr>
            <w:tcW w:w="1060" w:type="dxa"/>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Notional</w:t>
            </w:r>
            <w:r w:rsidRPr="002F67DE">
              <w:rPr>
                <w:rFonts w:ascii="Garamond" w:eastAsia="Times New Roman" w:hAnsi="Garamond" w:cs="Calibri"/>
                <w:b/>
                <w:bCs/>
                <w:color w:val="000000"/>
                <w:sz w:val="18"/>
                <w:szCs w:val="20"/>
              </w:rPr>
              <w:br/>
              <w:t>turnover</w:t>
            </w:r>
          </w:p>
        </w:tc>
        <w:tc>
          <w:tcPr>
            <w:tcW w:w="1000" w:type="dxa"/>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Open</w:t>
            </w:r>
            <w:r w:rsidRPr="002F67DE">
              <w:rPr>
                <w:rFonts w:ascii="Garamond" w:eastAsia="Times New Roman" w:hAnsi="Garamond" w:cs="Calibri"/>
                <w:b/>
                <w:bCs/>
                <w:color w:val="000000"/>
                <w:sz w:val="18"/>
                <w:szCs w:val="20"/>
              </w:rPr>
              <w:br/>
              <w:t>interest</w:t>
            </w:r>
          </w:p>
        </w:tc>
        <w:tc>
          <w:tcPr>
            <w:tcW w:w="860" w:type="dxa"/>
            <w:vMerge/>
            <w:tcBorders>
              <w:top w:val="single" w:sz="4" w:space="0" w:color="auto"/>
              <w:left w:val="single" w:sz="4" w:space="0" w:color="auto"/>
              <w:bottom w:val="single" w:sz="4" w:space="0" w:color="auto"/>
              <w:right w:val="single" w:sz="4" w:space="0" w:color="auto"/>
            </w:tcBorders>
            <w:vAlign w:val="center"/>
            <w:hideMark/>
          </w:tcPr>
          <w:p w:rsidR="002B2DA3" w:rsidRPr="002F67DE" w:rsidRDefault="002B2DA3" w:rsidP="002B2DA3">
            <w:pPr>
              <w:rPr>
                <w:rFonts w:ascii="Garamond" w:eastAsia="Times New Roman" w:hAnsi="Garamond" w:cs="Calibri"/>
                <w:b/>
                <w:bCs/>
                <w:color w:val="000000"/>
                <w:sz w:val="18"/>
                <w:szCs w:val="20"/>
              </w:rPr>
            </w:pPr>
          </w:p>
        </w:tc>
      </w:tr>
      <w:tr w:rsidR="002B2DA3" w:rsidRPr="002F67DE" w:rsidTr="002B2DA3">
        <w:trPr>
          <w:trHeight w:hRule="exact" w:val="216"/>
        </w:trPr>
        <w:tc>
          <w:tcPr>
            <w:tcW w:w="9699"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2B2DA3" w:rsidRPr="002F67DE" w:rsidRDefault="002B2DA3" w:rsidP="002B2DA3">
            <w:pPr>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Americas</w:t>
            </w:r>
          </w:p>
        </w:tc>
      </w:tr>
      <w:tr w:rsidR="002B2DA3" w:rsidRPr="002F67DE" w:rsidTr="002B2DA3">
        <w:trPr>
          <w:trHeight w:hRule="exact" w:val="216"/>
        </w:trPr>
        <w:tc>
          <w:tcPr>
            <w:tcW w:w="273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BM&amp;FBOVESPA</w:t>
            </w:r>
          </w:p>
        </w:tc>
        <w:tc>
          <w:tcPr>
            <w:tcW w:w="108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   </w:t>
            </w:r>
          </w:p>
        </w:tc>
        <w:tc>
          <w:tcPr>
            <w:tcW w:w="100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   </w:t>
            </w:r>
          </w:p>
        </w:tc>
        <w:tc>
          <w:tcPr>
            <w:tcW w:w="11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   </w:t>
            </w:r>
          </w:p>
        </w:tc>
        <w:tc>
          <w:tcPr>
            <w:tcW w:w="106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   </w:t>
            </w:r>
          </w:p>
        </w:tc>
        <w:tc>
          <w:tcPr>
            <w:tcW w:w="10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21 </w:t>
            </w:r>
          </w:p>
        </w:tc>
      </w:tr>
      <w:tr w:rsidR="002B2DA3" w:rsidRPr="002F67DE" w:rsidTr="002B2DA3">
        <w:trPr>
          <w:trHeight w:hRule="exact" w:val="216"/>
        </w:trPr>
        <w:tc>
          <w:tcPr>
            <w:tcW w:w="273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Bolsa de Comercio de Buenos Aires</w:t>
            </w:r>
          </w:p>
        </w:tc>
        <w:tc>
          <w:tcPr>
            <w:tcW w:w="108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   </w:t>
            </w:r>
          </w:p>
        </w:tc>
        <w:tc>
          <w:tcPr>
            <w:tcW w:w="100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   </w:t>
            </w:r>
          </w:p>
        </w:tc>
        <w:tc>
          <w:tcPr>
            <w:tcW w:w="11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   </w:t>
            </w:r>
          </w:p>
        </w:tc>
        <w:tc>
          <w:tcPr>
            <w:tcW w:w="106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   </w:t>
            </w:r>
          </w:p>
        </w:tc>
        <w:tc>
          <w:tcPr>
            <w:tcW w:w="10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22 </w:t>
            </w:r>
          </w:p>
        </w:tc>
      </w:tr>
      <w:tr w:rsidR="002B2DA3" w:rsidRPr="002F67DE" w:rsidTr="002B2DA3">
        <w:trPr>
          <w:trHeight w:hRule="exact" w:val="216"/>
        </w:trPr>
        <w:tc>
          <w:tcPr>
            <w:tcW w:w="273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Bolsa de Valores de Colombia</w:t>
            </w:r>
          </w:p>
        </w:tc>
        <w:tc>
          <w:tcPr>
            <w:tcW w:w="108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3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0 </w:t>
            </w:r>
          </w:p>
        </w:tc>
        <w:tc>
          <w:tcPr>
            <w:tcW w:w="100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3 </w:t>
            </w:r>
          </w:p>
        </w:tc>
        <w:tc>
          <w:tcPr>
            <w:tcW w:w="11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38,508 </w:t>
            </w:r>
          </w:p>
        </w:tc>
        <w:tc>
          <w:tcPr>
            <w:tcW w:w="106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1,692 </w:t>
            </w:r>
          </w:p>
        </w:tc>
        <w:tc>
          <w:tcPr>
            <w:tcW w:w="10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6,386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21 </w:t>
            </w:r>
          </w:p>
        </w:tc>
      </w:tr>
      <w:tr w:rsidR="002B2DA3" w:rsidRPr="002F67DE" w:rsidTr="002B2DA3">
        <w:trPr>
          <w:trHeight w:hRule="exact" w:val="216"/>
        </w:trPr>
        <w:tc>
          <w:tcPr>
            <w:tcW w:w="273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CME Group</w:t>
            </w:r>
          </w:p>
        </w:tc>
        <w:tc>
          <w:tcPr>
            <w:tcW w:w="108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1,198,785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137,165 </w:t>
            </w:r>
          </w:p>
        </w:tc>
        <w:tc>
          <w:tcPr>
            <w:tcW w:w="100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661,379 </w:t>
            </w:r>
          </w:p>
        </w:tc>
        <w:tc>
          <w:tcPr>
            <w:tcW w:w="11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16,399,400 </w:t>
            </w:r>
          </w:p>
        </w:tc>
        <w:tc>
          <w:tcPr>
            <w:tcW w:w="106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1,557,347 </w:t>
            </w:r>
          </w:p>
        </w:tc>
        <w:tc>
          <w:tcPr>
            <w:tcW w:w="10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1,700,836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21 </w:t>
            </w:r>
          </w:p>
        </w:tc>
      </w:tr>
      <w:tr w:rsidR="002B2DA3" w:rsidRPr="002F67DE" w:rsidTr="002B2DA3">
        <w:trPr>
          <w:trHeight w:hRule="exact" w:val="216"/>
        </w:trPr>
        <w:tc>
          <w:tcPr>
            <w:tcW w:w="273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ICE Futures US</w:t>
            </w:r>
          </w:p>
        </w:tc>
        <w:tc>
          <w:tcPr>
            <w:tcW w:w="108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193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18 </w:t>
            </w:r>
          </w:p>
        </w:tc>
        <w:tc>
          <w:tcPr>
            <w:tcW w:w="100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1,617 </w:t>
            </w:r>
          </w:p>
        </w:tc>
        <w:tc>
          <w:tcPr>
            <w:tcW w:w="11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525,410 </w:t>
            </w:r>
          </w:p>
        </w:tc>
        <w:tc>
          <w:tcPr>
            <w:tcW w:w="106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45,059 </w:t>
            </w:r>
          </w:p>
        </w:tc>
        <w:tc>
          <w:tcPr>
            <w:tcW w:w="10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98,123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21 </w:t>
            </w:r>
          </w:p>
        </w:tc>
      </w:tr>
      <w:tr w:rsidR="002B2DA3" w:rsidRPr="002F67DE" w:rsidTr="002B2DA3">
        <w:trPr>
          <w:trHeight w:hRule="exact" w:val="216"/>
        </w:trPr>
        <w:tc>
          <w:tcPr>
            <w:tcW w:w="273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MexDer</w:t>
            </w:r>
          </w:p>
        </w:tc>
        <w:tc>
          <w:tcPr>
            <w:tcW w:w="108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11,700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120 </w:t>
            </w:r>
          </w:p>
        </w:tc>
        <w:tc>
          <w:tcPr>
            <w:tcW w:w="100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9,200 </w:t>
            </w:r>
          </w:p>
        </w:tc>
        <w:tc>
          <w:tcPr>
            <w:tcW w:w="11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155,534 </w:t>
            </w:r>
          </w:p>
        </w:tc>
        <w:tc>
          <w:tcPr>
            <w:tcW w:w="106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1,571 </w:t>
            </w:r>
          </w:p>
        </w:tc>
        <w:tc>
          <w:tcPr>
            <w:tcW w:w="10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372,963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22 </w:t>
            </w:r>
          </w:p>
        </w:tc>
      </w:tr>
      <w:tr w:rsidR="002B2DA3" w:rsidRPr="002F67DE" w:rsidTr="002B2DA3">
        <w:trPr>
          <w:trHeight w:hRule="exact" w:val="216"/>
        </w:trPr>
        <w:tc>
          <w:tcPr>
            <w:tcW w:w="2739" w:type="dxa"/>
            <w:tcBorders>
              <w:top w:val="single" w:sz="4" w:space="0" w:color="auto"/>
              <w:left w:val="single" w:sz="4" w:space="0" w:color="auto"/>
              <w:bottom w:val="single" w:sz="4" w:space="0" w:color="auto"/>
              <w:right w:val="nil"/>
            </w:tcBorders>
            <w:shd w:val="clear" w:color="000000" w:fill="B4C6E7"/>
            <w:vAlign w:val="center"/>
            <w:hideMark/>
          </w:tcPr>
          <w:p w:rsidR="002B2DA3" w:rsidRPr="002F67DE" w:rsidRDefault="002B2DA3" w:rsidP="002B2DA3">
            <w:pPr>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Total region</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xml:space="preserve">      1,210,681 </w:t>
            </w:r>
          </w:p>
        </w:tc>
        <w:tc>
          <w:tcPr>
            <w:tcW w:w="860" w:type="dxa"/>
            <w:tcBorders>
              <w:top w:val="single" w:sz="4" w:space="0" w:color="auto"/>
              <w:left w:val="nil"/>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w:t>
            </w:r>
          </w:p>
        </w:tc>
        <w:tc>
          <w:tcPr>
            <w:tcW w:w="1000" w:type="dxa"/>
            <w:tcBorders>
              <w:top w:val="single" w:sz="4" w:space="0" w:color="auto"/>
              <w:left w:val="nil"/>
              <w:bottom w:val="single" w:sz="4" w:space="0" w:color="auto"/>
              <w:right w:val="nil"/>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xml:space="preserve">    17,118,852 </w:t>
            </w:r>
          </w:p>
        </w:tc>
        <w:tc>
          <w:tcPr>
            <w:tcW w:w="1060" w:type="dxa"/>
            <w:tcBorders>
              <w:top w:val="single" w:sz="4" w:space="0" w:color="auto"/>
              <w:left w:val="nil"/>
              <w:bottom w:val="single" w:sz="4" w:space="0" w:color="auto"/>
              <w:right w:val="nil"/>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w:t>
            </w:r>
          </w:p>
        </w:tc>
        <w:tc>
          <w:tcPr>
            <w:tcW w:w="10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w:t>
            </w:r>
          </w:p>
        </w:tc>
        <w:tc>
          <w:tcPr>
            <w:tcW w:w="860" w:type="dxa"/>
            <w:tcBorders>
              <w:top w:val="single" w:sz="4" w:space="0" w:color="auto"/>
              <w:left w:val="nil"/>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w:t>
            </w:r>
          </w:p>
        </w:tc>
      </w:tr>
      <w:tr w:rsidR="002B2DA3" w:rsidRPr="002F67DE" w:rsidTr="002B2DA3">
        <w:trPr>
          <w:trHeight w:hRule="exact" w:val="216"/>
        </w:trPr>
        <w:tc>
          <w:tcPr>
            <w:tcW w:w="9699"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2B2DA3" w:rsidRPr="002F67DE" w:rsidRDefault="002B2DA3" w:rsidP="002B2DA3">
            <w:pPr>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Asia - Pacific</w:t>
            </w:r>
          </w:p>
        </w:tc>
      </w:tr>
      <w:tr w:rsidR="002B2DA3" w:rsidRPr="002F67DE" w:rsidTr="002B2DA3">
        <w:trPr>
          <w:trHeight w:hRule="exact" w:val="216"/>
        </w:trPr>
        <w:tc>
          <w:tcPr>
            <w:tcW w:w="273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BSE India Limited</w:t>
            </w:r>
          </w:p>
        </w:tc>
        <w:tc>
          <w:tcPr>
            <w:tcW w:w="108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46,404,059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46,144 </w:t>
            </w:r>
          </w:p>
        </w:tc>
        <w:tc>
          <w:tcPr>
            <w:tcW w:w="100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105,866 </w:t>
            </w:r>
          </w:p>
        </w:tc>
        <w:tc>
          <w:tcPr>
            <w:tcW w:w="11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34,030,550 </w:t>
            </w:r>
          </w:p>
        </w:tc>
        <w:tc>
          <w:tcPr>
            <w:tcW w:w="106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34,032 </w:t>
            </w:r>
          </w:p>
        </w:tc>
        <w:tc>
          <w:tcPr>
            <w:tcW w:w="10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634,914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23 </w:t>
            </w:r>
          </w:p>
        </w:tc>
      </w:tr>
      <w:tr w:rsidR="002B2DA3" w:rsidRPr="002F67DE" w:rsidTr="002B2DA3">
        <w:trPr>
          <w:trHeight w:hRule="exact" w:val="216"/>
        </w:trPr>
        <w:tc>
          <w:tcPr>
            <w:tcW w:w="273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Hong Kong Exchanges and Clearing</w:t>
            </w:r>
          </w:p>
        </w:tc>
        <w:tc>
          <w:tcPr>
            <w:tcW w:w="108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1,659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165 </w:t>
            </w:r>
          </w:p>
        </w:tc>
        <w:tc>
          <w:tcPr>
            <w:tcW w:w="100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5,489 </w:t>
            </w:r>
          </w:p>
        </w:tc>
        <w:tc>
          <w:tcPr>
            <w:tcW w:w="11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171,971 </w:t>
            </w:r>
          </w:p>
        </w:tc>
        <w:tc>
          <w:tcPr>
            <w:tcW w:w="106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16,787 </w:t>
            </w:r>
          </w:p>
        </w:tc>
        <w:tc>
          <w:tcPr>
            <w:tcW w:w="10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35,677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22 </w:t>
            </w:r>
          </w:p>
        </w:tc>
      </w:tr>
      <w:tr w:rsidR="002B2DA3" w:rsidRPr="002F67DE" w:rsidTr="002B2DA3">
        <w:trPr>
          <w:trHeight w:hRule="exact" w:val="216"/>
        </w:trPr>
        <w:tc>
          <w:tcPr>
            <w:tcW w:w="273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Korea Exchange</w:t>
            </w:r>
          </w:p>
        </w:tc>
        <w:tc>
          <w:tcPr>
            <w:tcW w:w="108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NA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NA </w:t>
            </w:r>
          </w:p>
        </w:tc>
        <w:tc>
          <w:tcPr>
            <w:tcW w:w="100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NA </w:t>
            </w:r>
          </w:p>
        </w:tc>
        <w:tc>
          <w:tcPr>
            <w:tcW w:w="11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6,979,481 </w:t>
            </w:r>
          </w:p>
        </w:tc>
        <w:tc>
          <w:tcPr>
            <w:tcW w:w="106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70,394 </w:t>
            </w:r>
          </w:p>
        </w:tc>
        <w:tc>
          <w:tcPr>
            <w:tcW w:w="10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674,798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22 </w:t>
            </w:r>
          </w:p>
        </w:tc>
      </w:tr>
      <w:tr w:rsidR="002B2DA3" w:rsidRPr="002F67DE" w:rsidTr="002B2DA3">
        <w:trPr>
          <w:trHeight w:hRule="exact" w:val="216"/>
        </w:trPr>
        <w:tc>
          <w:tcPr>
            <w:tcW w:w="273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National Stock Exchange of India</w:t>
            </w:r>
          </w:p>
        </w:tc>
        <w:tc>
          <w:tcPr>
            <w:tcW w:w="108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49,104,567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49,157 </w:t>
            </w:r>
          </w:p>
        </w:tc>
        <w:tc>
          <w:tcPr>
            <w:tcW w:w="100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1,544,354 </w:t>
            </w:r>
          </w:p>
        </w:tc>
        <w:tc>
          <w:tcPr>
            <w:tcW w:w="11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55,668,608 </w:t>
            </w:r>
          </w:p>
        </w:tc>
        <w:tc>
          <w:tcPr>
            <w:tcW w:w="106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56,125 </w:t>
            </w:r>
          </w:p>
        </w:tc>
        <w:tc>
          <w:tcPr>
            <w:tcW w:w="10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2,280,050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23 </w:t>
            </w:r>
          </w:p>
        </w:tc>
      </w:tr>
      <w:tr w:rsidR="002B2DA3" w:rsidRPr="002F67DE" w:rsidTr="002B2DA3">
        <w:trPr>
          <w:trHeight w:hRule="exact" w:val="216"/>
        </w:trPr>
        <w:tc>
          <w:tcPr>
            <w:tcW w:w="273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Singapore Exchange</w:t>
            </w:r>
          </w:p>
        </w:tc>
        <w:tc>
          <w:tcPr>
            <w:tcW w:w="108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NA </w:t>
            </w:r>
          </w:p>
        </w:tc>
        <w:tc>
          <w:tcPr>
            <w:tcW w:w="100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   </w:t>
            </w:r>
          </w:p>
        </w:tc>
        <w:tc>
          <w:tcPr>
            <w:tcW w:w="11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1,872,510 </w:t>
            </w:r>
          </w:p>
        </w:tc>
        <w:tc>
          <w:tcPr>
            <w:tcW w:w="106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NA </w:t>
            </w:r>
          </w:p>
        </w:tc>
        <w:tc>
          <w:tcPr>
            <w:tcW w:w="10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77,968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w:t>
            </w:r>
          </w:p>
        </w:tc>
      </w:tr>
      <w:tr w:rsidR="002B2DA3" w:rsidRPr="002F67DE" w:rsidTr="002B2DA3">
        <w:trPr>
          <w:trHeight w:hRule="exact" w:val="216"/>
        </w:trPr>
        <w:tc>
          <w:tcPr>
            <w:tcW w:w="273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TAIFEX</w:t>
            </w:r>
          </w:p>
        </w:tc>
        <w:tc>
          <w:tcPr>
            <w:tcW w:w="108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16,059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485 </w:t>
            </w:r>
          </w:p>
        </w:tc>
        <w:tc>
          <w:tcPr>
            <w:tcW w:w="100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4,021 </w:t>
            </w:r>
          </w:p>
        </w:tc>
        <w:tc>
          <w:tcPr>
            <w:tcW w:w="11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94,912 </w:t>
            </w:r>
          </w:p>
        </w:tc>
        <w:tc>
          <w:tcPr>
            <w:tcW w:w="106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2,699 </w:t>
            </w:r>
          </w:p>
        </w:tc>
        <w:tc>
          <w:tcPr>
            <w:tcW w:w="10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8,113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21 </w:t>
            </w:r>
          </w:p>
        </w:tc>
      </w:tr>
      <w:tr w:rsidR="002B2DA3" w:rsidRPr="002F67DE" w:rsidTr="002B2DA3">
        <w:trPr>
          <w:trHeight w:hRule="exact" w:val="216"/>
        </w:trPr>
        <w:tc>
          <w:tcPr>
            <w:tcW w:w="273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Thailand Futures Exchange</w:t>
            </w:r>
          </w:p>
        </w:tc>
        <w:tc>
          <w:tcPr>
            <w:tcW w:w="108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NA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NA </w:t>
            </w:r>
          </w:p>
        </w:tc>
        <w:tc>
          <w:tcPr>
            <w:tcW w:w="100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NA </w:t>
            </w:r>
          </w:p>
        </w:tc>
        <w:tc>
          <w:tcPr>
            <w:tcW w:w="11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60,115 </w:t>
            </w:r>
          </w:p>
        </w:tc>
        <w:tc>
          <w:tcPr>
            <w:tcW w:w="106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NA </w:t>
            </w:r>
          </w:p>
        </w:tc>
        <w:tc>
          <w:tcPr>
            <w:tcW w:w="10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24,544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22 </w:t>
            </w:r>
          </w:p>
        </w:tc>
      </w:tr>
      <w:tr w:rsidR="002B2DA3" w:rsidRPr="002F67DE" w:rsidTr="002B2DA3">
        <w:trPr>
          <w:trHeight w:hRule="exact" w:val="216"/>
        </w:trPr>
        <w:tc>
          <w:tcPr>
            <w:tcW w:w="2739" w:type="dxa"/>
            <w:tcBorders>
              <w:top w:val="single" w:sz="4" w:space="0" w:color="auto"/>
              <w:left w:val="single" w:sz="4" w:space="0" w:color="auto"/>
              <w:bottom w:val="single" w:sz="4" w:space="0" w:color="auto"/>
              <w:right w:val="nil"/>
            </w:tcBorders>
            <w:shd w:val="clear" w:color="000000" w:fill="B4C6E7"/>
            <w:vAlign w:val="center"/>
            <w:hideMark/>
          </w:tcPr>
          <w:p w:rsidR="002B2DA3" w:rsidRPr="002F67DE" w:rsidRDefault="002B2DA3" w:rsidP="002B2DA3">
            <w:pPr>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Total region</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xml:space="preserve">   95,526,344 </w:t>
            </w:r>
          </w:p>
        </w:tc>
        <w:tc>
          <w:tcPr>
            <w:tcW w:w="860" w:type="dxa"/>
            <w:tcBorders>
              <w:top w:val="single" w:sz="4" w:space="0" w:color="auto"/>
              <w:left w:val="nil"/>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w:t>
            </w:r>
          </w:p>
        </w:tc>
        <w:tc>
          <w:tcPr>
            <w:tcW w:w="1000" w:type="dxa"/>
            <w:tcBorders>
              <w:top w:val="single" w:sz="4" w:space="0" w:color="auto"/>
              <w:left w:val="nil"/>
              <w:bottom w:val="single" w:sz="4" w:space="0" w:color="auto"/>
              <w:right w:val="nil"/>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xml:space="preserve">    98,878,147 </w:t>
            </w:r>
          </w:p>
        </w:tc>
        <w:tc>
          <w:tcPr>
            <w:tcW w:w="1060" w:type="dxa"/>
            <w:tcBorders>
              <w:top w:val="single" w:sz="4" w:space="0" w:color="auto"/>
              <w:left w:val="nil"/>
              <w:bottom w:val="single" w:sz="4" w:space="0" w:color="auto"/>
              <w:right w:val="nil"/>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w:t>
            </w:r>
          </w:p>
        </w:tc>
        <w:tc>
          <w:tcPr>
            <w:tcW w:w="10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w:t>
            </w:r>
          </w:p>
        </w:tc>
        <w:tc>
          <w:tcPr>
            <w:tcW w:w="860" w:type="dxa"/>
            <w:tcBorders>
              <w:top w:val="single" w:sz="4" w:space="0" w:color="auto"/>
              <w:left w:val="nil"/>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w:t>
            </w:r>
          </w:p>
        </w:tc>
      </w:tr>
      <w:tr w:rsidR="002B2DA3" w:rsidRPr="002F67DE" w:rsidTr="002B2DA3">
        <w:trPr>
          <w:trHeight w:hRule="exact" w:val="216"/>
        </w:trPr>
        <w:tc>
          <w:tcPr>
            <w:tcW w:w="9699"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2B2DA3" w:rsidRPr="002F67DE" w:rsidRDefault="002B2DA3" w:rsidP="002B2DA3">
            <w:pPr>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Europe - Africa - Middle East</w:t>
            </w:r>
          </w:p>
        </w:tc>
      </w:tr>
      <w:tr w:rsidR="002B2DA3" w:rsidRPr="002F67DE" w:rsidTr="002B2DA3">
        <w:trPr>
          <w:trHeight w:hRule="exact" w:val="216"/>
        </w:trPr>
        <w:tc>
          <w:tcPr>
            <w:tcW w:w="2739" w:type="dxa"/>
            <w:tcBorders>
              <w:top w:val="nil"/>
              <w:left w:val="single" w:sz="4" w:space="0" w:color="auto"/>
              <w:bottom w:val="nil"/>
              <w:right w:val="single" w:sz="4" w:space="0" w:color="auto"/>
            </w:tcBorders>
            <w:shd w:val="clear" w:color="000000" w:fill="B4C6E7"/>
            <w:vAlign w:val="center"/>
            <w:hideMark/>
          </w:tcPr>
          <w:p w:rsidR="002B2DA3" w:rsidRPr="002F67DE" w:rsidRDefault="002B2DA3" w:rsidP="002B2DA3">
            <w:pPr>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Borsa Istanbul</w:t>
            </w:r>
          </w:p>
        </w:tc>
        <w:tc>
          <w:tcPr>
            <w:tcW w:w="108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446,247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474 </w:t>
            </w:r>
          </w:p>
        </w:tc>
        <w:tc>
          <w:tcPr>
            <w:tcW w:w="100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388,810 </w:t>
            </w:r>
          </w:p>
        </w:tc>
        <w:tc>
          <w:tcPr>
            <w:tcW w:w="110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7,907,139 </w:t>
            </w:r>
          </w:p>
        </w:tc>
        <w:tc>
          <w:tcPr>
            <w:tcW w:w="10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8,389 </w:t>
            </w:r>
          </w:p>
        </w:tc>
        <w:tc>
          <w:tcPr>
            <w:tcW w:w="100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2,103,120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22</w:t>
            </w:r>
          </w:p>
        </w:tc>
      </w:tr>
      <w:tr w:rsidR="002B2DA3" w:rsidRPr="002F67DE" w:rsidTr="002B2DA3">
        <w:trPr>
          <w:trHeight w:hRule="exact" w:val="216"/>
        </w:trPr>
        <w:tc>
          <w:tcPr>
            <w:tcW w:w="273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Budapest Stock Exchange</w:t>
            </w:r>
          </w:p>
        </w:tc>
        <w:tc>
          <w:tcPr>
            <w:tcW w:w="108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29,700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35 </w:t>
            </w:r>
          </w:p>
        </w:tc>
        <w:tc>
          <w:tcPr>
            <w:tcW w:w="100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33,900 </w:t>
            </w:r>
          </w:p>
        </w:tc>
        <w:tc>
          <w:tcPr>
            <w:tcW w:w="11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642,153 </w:t>
            </w:r>
          </w:p>
        </w:tc>
        <w:tc>
          <w:tcPr>
            <w:tcW w:w="106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722 </w:t>
            </w:r>
          </w:p>
        </w:tc>
        <w:tc>
          <w:tcPr>
            <w:tcW w:w="10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705,611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22 </w:t>
            </w:r>
          </w:p>
        </w:tc>
      </w:tr>
      <w:tr w:rsidR="002B2DA3" w:rsidRPr="002F67DE" w:rsidTr="002B2DA3">
        <w:trPr>
          <w:trHeight w:hRule="exact" w:val="216"/>
        </w:trPr>
        <w:tc>
          <w:tcPr>
            <w:tcW w:w="273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Dubai Gold &amp; Commodities Exchange</w:t>
            </w:r>
          </w:p>
        </w:tc>
        <w:tc>
          <w:tcPr>
            <w:tcW w:w="108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5,583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0 </w:t>
            </w:r>
          </w:p>
        </w:tc>
        <w:tc>
          <w:tcPr>
            <w:tcW w:w="100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468 </w:t>
            </w:r>
          </w:p>
        </w:tc>
        <w:tc>
          <w:tcPr>
            <w:tcW w:w="11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1,707,460 </w:t>
            </w:r>
          </w:p>
        </w:tc>
        <w:tc>
          <w:tcPr>
            <w:tcW w:w="106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9,675 </w:t>
            </w:r>
          </w:p>
        </w:tc>
        <w:tc>
          <w:tcPr>
            <w:tcW w:w="10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170,917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22 </w:t>
            </w:r>
          </w:p>
        </w:tc>
      </w:tr>
      <w:tr w:rsidR="002B2DA3" w:rsidRPr="002F67DE" w:rsidTr="002B2DA3">
        <w:trPr>
          <w:trHeight w:hRule="exact" w:val="216"/>
        </w:trPr>
        <w:tc>
          <w:tcPr>
            <w:tcW w:w="273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Johannesburg Stock Exchange</w:t>
            </w:r>
          </w:p>
        </w:tc>
        <w:tc>
          <w:tcPr>
            <w:tcW w:w="108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1,083,121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1,133 </w:t>
            </w:r>
          </w:p>
        </w:tc>
        <w:tc>
          <w:tcPr>
            <w:tcW w:w="100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4,955,313 </w:t>
            </w:r>
          </w:p>
        </w:tc>
        <w:tc>
          <w:tcPr>
            <w:tcW w:w="11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1,803,921 </w:t>
            </w:r>
          </w:p>
        </w:tc>
        <w:tc>
          <w:tcPr>
            <w:tcW w:w="106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1,907 </w:t>
            </w:r>
          </w:p>
        </w:tc>
        <w:tc>
          <w:tcPr>
            <w:tcW w:w="10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1,541,240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22 </w:t>
            </w:r>
          </w:p>
        </w:tc>
      </w:tr>
      <w:tr w:rsidR="002B2DA3" w:rsidRPr="002F67DE" w:rsidTr="002B2DA3">
        <w:trPr>
          <w:trHeight w:hRule="exact" w:val="216"/>
        </w:trPr>
        <w:tc>
          <w:tcPr>
            <w:tcW w:w="273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Moscow Exchange</w:t>
            </w:r>
          </w:p>
        </w:tc>
        <w:tc>
          <w:tcPr>
            <w:tcW w:w="108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1,694,405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1,754 </w:t>
            </w:r>
          </w:p>
        </w:tc>
        <w:tc>
          <w:tcPr>
            <w:tcW w:w="100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1,129,112 </w:t>
            </w:r>
          </w:p>
        </w:tc>
        <w:tc>
          <w:tcPr>
            <w:tcW w:w="11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32,967,656 </w:t>
            </w:r>
          </w:p>
        </w:tc>
        <w:tc>
          <w:tcPr>
            <w:tcW w:w="106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34,515 </w:t>
            </w:r>
          </w:p>
        </w:tc>
        <w:tc>
          <w:tcPr>
            <w:tcW w:w="10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3,183,352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20 </w:t>
            </w:r>
          </w:p>
        </w:tc>
      </w:tr>
      <w:tr w:rsidR="002B2DA3" w:rsidRPr="002F67DE" w:rsidTr="002B2DA3">
        <w:trPr>
          <w:trHeight w:hRule="exact" w:val="216"/>
        </w:trPr>
        <w:tc>
          <w:tcPr>
            <w:tcW w:w="273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Tel-Aviv Stock Exchange</w:t>
            </w:r>
          </w:p>
        </w:tc>
        <w:tc>
          <w:tcPr>
            <w:tcW w:w="108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1,031,262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10,534 </w:t>
            </w:r>
          </w:p>
        </w:tc>
        <w:tc>
          <w:tcPr>
            <w:tcW w:w="100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415,540 </w:t>
            </w:r>
          </w:p>
        </w:tc>
        <w:tc>
          <w:tcPr>
            <w:tcW w:w="11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NA </w:t>
            </w:r>
          </w:p>
        </w:tc>
        <w:tc>
          <w:tcPr>
            <w:tcW w:w="1060"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NA </w:t>
            </w:r>
          </w:p>
        </w:tc>
        <w:tc>
          <w:tcPr>
            <w:tcW w:w="1000"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NA </w:t>
            </w:r>
          </w:p>
        </w:tc>
        <w:tc>
          <w:tcPr>
            <w:tcW w:w="860"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8"/>
                <w:szCs w:val="20"/>
              </w:rPr>
            </w:pPr>
            <w:r w:rsidRPr="002F67DE">
              <w:rPr>
                <w:rFonts w:ascii="Garamond" w:eastAsia="Times New Roman" w:hAnsi="Garamond" w:cs="Calibri"/>
                <w:color w:val="000000"/>
                <w:sz w:val="18"/>
                <w:szCs w:val="20"/>
              </w:rPr>
              <w:t xml:space="preserve">            23 </w:t>
            </w:r>
          </w:p>
        </w:tc>
      </w:tr>
      <w:tr w:rsidR="002B2DA3" w:rsidRPr="002F67DE" w:rsidTr="002B2DA3">
        <w:trPr>
          <w:trHeight w:hRule="exact" w:val="216"/>
        </w:trPr>
        <w:tc>
          <w:tcPr>
            <w:tcW w:w="2739" w:type="dxa"/>
            <w:tcBorders>
              <w:top w:val="single" w:sz="4" w:space="0" w:color="auto"/>
              <w:left w:val="single" w:sz="4" w:space="0" w:color="auto"/>
              <w:bottom w:val="single" w:sz="4" w:space="0" w:color="auto"/>
              <w:right w:val="nil"/>
            </w:tcBorders>
            <w:shd w:val="clear" w:color="000000" w:fill="B4C6E7"/>
            <w:vAlign w:val="center"/>
            <w:hideMark/>
          </w:tcPr>
          <w:p w:rsidR="002B2DA3" w:rsidRPr="002F67DE" w:rsidRDefault="002B2DA3" w:rsidP="002B2DA3">
            <w:pPr>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Total region</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xml:space="preserve">     4,290,318 </w:t>
            </w:r>
          </w:p>
        </w:tc>
        <w:tc>
          <w:tcPr>
            <w:tcW w:w="860" w:type="dxa"/>
            <w:tcBorders>
              <w:top w:val="single" w:sz="4" w:space="0" w:color="auto"/>
              <w:left w:val="nil"/>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w:t>
            </w:r>
          </w:p>
        </w:tc>
        <w:tc>
          <w:tcPr>
            <w:tcW w:w="1000" w:type="dxa"/>
            <w:tcBorders>
              <w:top w:val="single" w:sz="4" w:space="0" w:color="auto"/>
              <w:left w:val="nil"/>
              <w:bottom w:val="single" w:sz="4" w:space="0" w:color="auto"/>
              <w:right w:val="nil"/>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xml:space="preserve">   45,028,329 </w:t>
            </w:r>
          </w:p>
        </w:tc>
        <w:tc>
          <w:tcPr>
            <w:tcW w:w="1060" w:type="dxa"/>
            <w:tcBorders>
              <w:top w:val="single" w:sz="4" w:space="0" w:color="auto"/>
              <w:left w:val="nil"/>
              <w:bottom w:val="single" w:sz="4" w:space="0" w:color="auto"/>
              <w:right w:val="nil"/>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w:t>
            </w:r>
          </w:p>
        </w:tc>
        <w:tc>
          <w:tcPr>
            <w:tcW w:w="10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w:t>
            </w:r>
          </w:p>
        </w:tc>
        <w:tc>
          <w:tcPr>
            <w:tcW w:w="860" w:type="dxa"/>
            <w:tcBorders>
              <w:top w:val="single" w:sz="4" w:space="0" w:color="auto"/>
              <w:left w:val="nil"/>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w:t>
            </w:r>
          </w:p>
        </w:tc>
      </w:tr>
      <w:tr w:rsidR="002B2DA3" w:rsidRPr="002F67DE" w:rsidTr="002B2DA3">
        <w:trPr>
          <w:trHeight w:hRule="exact" w:val="216"/>
        </w:trPr>
        <w:tc>
          <w:tcPr>
            <w:tcW w:w="2739" w:type="dxa"/>
            <w:tcBorders>
              <w:top w:val="nil"/>
              <w:left w:val="single" w:sz="4" w:space="0" w:color="auto"/>
              <w:bottom w:val="single" w:sz="4" w:space="0" w:color="auto"/>
              <w:right w:val="nil"/>
            </w:tcBorders>
            <w:shd w:val="clear" w:color="000000" w:fill="B4C6E7"/>
            <w:vAlign w:val="center"/>
            <w:hideMark/>
          </w:tcPr>
          <w:p w:rsidR="002B2DA3" w:rsidRPr="002F67DE" w:rsidRDefault="002B2DA3" w:rsidP="002B2DA3">
            <w:pPr>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Total</w:t>
            </w:r>
          </w:p>
        </w:tc>
        <w:tc>
          <w:tcPr>
            <w:tcW w:w="1080" w:type="dxa"/>
            <w:tcBorders>
              <w:top w:val="nil"/>
              <w:left w:val="single" w:sz="4" w:space="0" w:color="auto"/>
              <w:bottom w:val="single" w:sz="4" w:space="0" w:color="auto"/>
              <w:right w:val="single" w:sz="4" w:space="0" w:color="auto"/>
            </w:tcBorders>
            <w:shd w:val="clear" w:color="000000" w:fill="B4C6E7"/>
            <w:vAlign w:val="center"/>
            <w:hideMark/>
          </w:tcPr>
          <w:p w:rsidR="002B2DA3" w:rsidRPr="002F67DE" w:rsidRDefault="002B2DA3" w:rsidP="002B2DA3">
            <w:pPr>
              <w:jc w:val="right"/>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xml:space="preserve">  101,027,343 </w:t>
            </w:r>
          </w:p>
        </w:tc>
        <w:tc>
          <w:tcPr>
            <w:tcW w:w="860" w:type="dxa"/>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jc w:val="right"/>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w:t>
            </w:r>
          </w:p>
        </w:tc>
        <w:tc>
          <w:tcPr>
            <w:tcW w:w="1000" w:type="dxa"/>
            <w:tcBorders>
              <w:top w:val="nil"/>
              <w:left w:val="nil"/>
              <w:bottom w:val="single" w:sz="4" w:space="0" w:color="auto"/>
              <w:right w:val="nil"/>
            </w:tcBorders>
            <w:shd w:val="clear" w:color="000000" w:fill="B4C6E7"/>
            <w:vAlign w:val="center"/>
            <w:hideMark/>
          </w:tcPr>
          <w:p w:rsidR="002B2DA3" w:rsidRPr="002F67DE" w:rsidRDefault="002B2DA3" w:rsidP="002B2DA3">
            <w:pPr>
              <w:jc w:val="right"/>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w:t>
            </w:r>
          </w:p>
        </w:tc>
        <w:tc>
          <w:tcPr>
            <w:tcW w:w="1100" w:type="dxa"/>
            <w:tcBorders>
              <w:top w:val="nil"/>
              <w:left w:val="single" w:sz="4" w:space="0" w:color="auto"/>
              <w:bottom w:val="single" w:sz="4" w:space="0" w:color="auto"/>
              <w:right w:val="single" w:sz="4" w:space="0" w:color="auto"/>
            </w:tcBorders>
            <w:shd w:val="clear" w:color="000000" w:fill="B4C6E7"/>
            <w:vAlign w:val="center"/>
            <w:hideMark/>
          </w:tcPr>
          <w:p w:rsidR="002B2DA3" w:rsidRPr="002F67DE" w:rsidRDefault="002B2DA3" w:rsidP="002B2DA3">
            <w:pPr>
              <w:jc w:val="right"/>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xml:space="preserve">  161,025,328 </w:t>
            </w:r>
          </w:p>
        </w:tc>
        <w:tc>
          <w:tcPr>
            <w:tcW w:w="1060" w:type="dxa"/>
            <w:tcBorders>
              <w:top w:val="nil"/>
              <w:left w:val="nil"/>
              <w:bottom w:val="single" w:sz="4" w:space="0" w:color="auto"/>
              <w:right w:val="nil"/>
            </w:tcBorders>
            <w:shd w:val="clear" w:color="000000" w:fill="B4C6E7"/>
            <w:vAlign w:val="center"/>
            <w:hideMark/>
          </w:tcPr>
          <w:p w:rsidR="002B2DA3" w:rsidRPr="002F67DE" w:rsidRDefault="002B2DA3" w:rsidP="002B2DA3">
            <w:pPr>
              <w:jc w:val="right"/>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w:t>
            </w:r>
          </w:p>
        </w:tc>
        <w:tc>
          <w:tcPr>
            <w:tcW w:w="1000" w:type="dxa"/>
            <w:tcBorders>
              <w:top w:val="nil"/>
              <w:left w:val="single" w:sz="4" w:space="0" w:color="auto"/>
              <w:bottom w:val="single" w:sz="4" w:space="0" w:color="auto"/>
              <w:right w:val="single" w:sz="4" w:space="0" w:color="auto"/>
            </w:tcBorders>
            <w:shd w:val="clear" w:color="000000" w:fill="B4C6E7"/>
            <w:vAlign w:val="center"/>
            <w:hideMark/>
          </w:tcPr>
          <w:p w:rsidR="002B2DA3" w:rsidRPr="002F67DE" w:rsidRDefault="002B2DA3" w:rsidP="002B2DA3">
            <w:pPr>
              <w:jc w:val="right"/>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w:t>
            </w:r>
          </w:p>
        </w:tc>
        <w:tc>
          <w:tcPr>
            <w:tcW w:w="860" w:type="dxa"/>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jc w:val="right"/>
              <w:rPr>
                <w:rFonts w:ascii="Garamond" w:eastAsia="Times New Roman" w:hAnsi="Garamond" w:cs="Calibri"/>
                <w:b/>
                <w:bCs/>
                <w:color w:val="000000"/>
                <w:sz w:val="18"/>
                <w:szCs w:val="20"/>
              </w:rPr>
            </w:pPr>
            <w:r w:rsidRPr="002F67DE">
              <w:rPr>
                <w:rFonts w:ascii="Garamond" w:eastAsia="Times New Roman" w:hAnsi="Garamond" w:cs="Calibri"/>
                <w:b/>
                <w:bCs/>
                <w:color w:val="000000"/>
                <w:sz w:val="18"/>
                <w:szCs w:val="20"/>
              </w:rPr>
              <w:t> </w:t>
            </w:r>
          </w:p>
        </w:tc>
      </w:tr>
    </w:tbl>
    <w:p w:rsidR="002B2DA3" w:rsidRDefault="002B2DA3" w:rsidP="002B2DA3">
      <w:pPr>
        <w:jc w:val="both"/>
        <w:outlineLvl w:val="0"/>
        <w:rPr>
          <w:rFonts w:ascii="Garamond" w:hAnsi="Garamond"/>
          <w:b/>
          <w:sz w:val="20"/>
        </w:rPr>
      </w:pPr>
    </w:p>
    <w:p w:rsidR="002B2DA3" w:rsidRPr="003E388D" w:rsidRDefault="002B2DA3" w:rsidP="002B2DA3">
      <w:pPr>
        <w:jc w:val="both"/>
        <w:outlineLvl w:val="0"/>
        <w:rPr>
          <w:rFonts w:ascii="Garamond" w:hAnsi="Garamond"/>
          <w:b/>
          <w:sz w:val="20"/>
        </w:rPr>
      </w:pPr>
      <w:r w:rsidRPr="003E388D">
        <w:rPr>
          <w:rFonts w:ascii="Garamond" w:hAnsi="Garamond"/>
          <w:b/>
          <w:sz w:val="20"/>
        </w:rPr>
        <w:t xml:space="preserve">NA: </w:t>
      </w:r>
      <w:r w:rsidRPr="003E388D">
        <w:rPr>
          <w:rFonts w:ascii="Garamond" w:hAnsi="Garamond"/>
          <w:sz w:val="20"/>
        </w:rPr>
        <w:t>Not Available</w:t>
      </w:r>
    </w:p>
    <w:p w:rsidR="002B2DA3" w:rsidRPr="003E388D" w:rsidRDefault="002B2DA3" w:rsidP="002B2DA3">
      <w:pPr>
        <w:jc w:val="both"/>
        <w:rPr>
          <w:rFonts w:ascii="Garamond" w:hAnsi="Garamond"/>
          <w:sz w:val="20"/>
        </w:rPr>
      </w:pPr>
      <w:r w:rsidRPr="003E388D">
        <w:rPr>
          <w:rFonts w:ascii="Garamond" w:hAnsi="Garamond"/>
          <w:b/>
          <w:sz w:val="20"/>
        </w:rPr>
        <w:t xml:space="preserve">Source: </w:t>
      </w:r>
      <w:r w:rsidRPr="003E388D">
        <w:rPr>
          <w:rFonts w:ascii="Garamond" w:hAnsi="Garamond"/>
          <w:sz w:val="20"/>
        </w:rPr>
        <w:t>World Federation of Exchanges</w:t>
      </w:r>
    </w:p>
    <w:p w:rsidR="002B2DA3" w:rsidRPr="003E388D" w:rsidRDefault="002B2DA3" w:rsidP="002B2DA3">
      <w:pPr>
        <w:jc w:val="both"/>
        <w:rPr>
          <w:rFonts w:ascii="Garamond" w:hAnsi="Garamond"/>
        </w:rPr>
      </w:pPr>
    </w:p>
    <w:p w:rsidR="002B2DA3" w:rsidRPr="003E388D" w:rsidRDefault="002B2DA3" w:rsidP="002B2DA3">
      <w:pPr>
        <w:jc w:val="both"/>
        <w:rPr>
          <w:rFonts w:ascii="Garamond" w:hAnsi="Garamond"/>
        </w:rPr>
      </w:pPr>
    </w:p>
    <w:p w:rsidR="002B2DA3" w:rsidRPr="003E388D" w:rsidRDefault="002B2DA3" w:rsidP="002B2DA3">
      <w:pPr>
        <w:jc w:val="both"/>
        <w:rPr>
          <w:rFonts w:ascii="Garamond" w:hAnsi="Garamond"/>
        </w:rPr>
      </w:pPr>
    </w:p>
    <w:p w:rsidR="002B2DA3" w:rsidRPr="003E388D" w:rsidRDefault="002B2DA3" w:rsidP="002B2DA3">
      <w:pPr>
        <w:jc w:val="both"/>
        <w:rPr>
          <w:rFonts w:ascii="Garamond" w:hAnsi="Garamond"/>
        </w:rPr>
      </w:pPr>
    </w:p>
    <w:p w:rsidR="002B2DA3" w:rsidRPr="003E388D" w:rsidRDefault="002B2DA3" w:rsidP="002B2DA3">
      <w:pPr>
        <w:jc w:val="both"/>
        <w:rPr>
          <w:rFonts w:ascii="Garamond" w:hAnsi="Garamond"/>
        </w:rPr>
      </w:pPr>
    </w:p>
    <w:p w:rsidR="002B2DA3" w:rsidRPr="003E388D" w:rsidRDefault="002B2DA3" w:rsidP="002B2DA3">
      <w:pPr>
        <w:jc w:val="both"/>
        <w:rPr>
          <w:rFonts w:ascii="Garamond" w:hAnsi="Garamond"/>
        </w:rPr>
      </w:pPr>
    </w:p>
    <w:p w:rsidR="002B2DA3" w:rsidRPr="00440919" w:rsidRDefault="002B2DA3" w:rsidP="002B2DA3">
      <w:pPr>
        <w:rPr>
          <w:rFonts w:ascii="Garamond" w:hAnsi="Garamond"/>
          <w:b/>
          <w:color w:val="0000FF"/>
        </w:rPr>
      </w:pPr>
      <w:r w:rsidRPr="00440919">
        <w:rPr>
          <w:rFonts w:ascii="Garamond" w:hAnsi="Garamond"/>
          <w:b/>
          <w:color w:val="0000FF"/>
        </w:rPr>
        <w:br w:type="page"/>
      </w:r>
    </w:p>
    <w:p w:rsidR="002B2DA3" w:rsidRDefault="002B2DA3" w:rsidP="002B2DA3">
      <w:pPr>
        <w:jc w:val="both"/>
        <w:outlineLvl w:val="0"/>
        <w:rPr>
          <w:rFonts w:ascii="Garamond" w:hAnsi="Garamond"/>
          <w:b/>
        </w:rPr>
      </w:pPr>
      <w:r>
        <w:rPr>
          <w:rFonts w:ascii="Garamond" w:hAnsi="Garamond"/>
          <w:b/>
        </w:rPr>
        <w:lastRenderedPageBreak/>
        <w:t>Table A8</w:t>
      </w:r>
      <w:r w:rsidRPr="007D16CA">
        <w:rPr>
          <w:rFonts w:ascii="Garamond" w:hAnsi="Garamond"/>
          <w:b/>
        </w:rPr>
        <w:t>: Interest Rate Options and Futures Traded in Major Exchanges</w:t>
      </w:r>
    </w:p>
    <w:tbl>
      <w:tblPr>
        <w:tblW w:w="9802" w:type="dxa"/>
        <w:tblInd w:w="113" w:type="dxa"/>
        <w:tblLook w:val="04A0" w:firstRow="1" w:lastRow="0" w:firstColumn="1" w:lastColumn="0" w:noHBand="0" w:noVBand="1"/>
      </w:tblPr>
      <w:tblGrid>
        <w:gridCol w:w="2889"/>
        <w:gridCol w:w="995"/>
        <w:gridCol w:w="976"/>
        <w:gridCol w:w="977"/>
        <w:gridCol w:w="1073"/>
        <w:gridCol w:w="1073"/>
        <w:gridCol w:w="978"/>
        <w:gridCol w:w="841"/>
      </w:tblGrid>
      <w:tr w:rsidR="002B2DA3" w:rsidRPr="002F67DE" w:rsidTr="002B2DA3">
        <w:trPr>
          <w:trHeight w:val="243"/>
        </w:trPr>
        <w:tc>
          <w:tcPr>
            <w:tcW w:w="2889"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2B2DA3" w:rsidRPr="002F67DE" w:rsidRDefault="002B2DA3" w:rsidP="002B2DA3">
            <w:pPr>
              <w:jc w:val="cente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Exchange</w:t>
            </w:r>
          </w:p>
        </w:tc>
        <w:tc>
          <w:tcPr>
            <w:tcW w:w="6072" w:type="dxa"/>
            <w:gridSpan w:val="6"/>
            <w:tcBorders>
              <w:top w:val="single" w:sz="4" w:space="0" w:color="auto"/>
              <w:left w:val="nil"/>
              <w:bottom w:val="single" w:sz="4" w:space="0" w:color="auto"/>
              <w:right w:val="single" w:sz="4" w:space="0" w:color="auto"/>
            </w:tcBorders>
            <w:shd w:val="clear" w:color="000000" w:fill="B4C6E7"/>
            <w:vAlign w:val="center"/>
            <w:hideMark/>
          </w:tcPr>
          <w:p w:rsidR="002B2DA3" w:rsidRPr="002F67DE" w:rsidRDefault="002B2DA3" w:rsidP="002B2DA3">
            <w:pPr>
              <w:jc w:val="cente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Jan-19</w:t>
            </w:r>
          </w:p>
        </w:tc>
        <w:tc>
          <w:tcPr>
            <w:tcW w:w="839"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2B2DA3" w:rsidRPr="002F67DE" w:rsidRDefault="002B2DA3" w:rsidP="002B2DA3">
            <w:pPr>
              <w:jc w:val="cente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xml:space="preserve">Trading days </w:t>
            </w:r>
            <w:r w:rsidRPr="002F67DE">
              <w:rPr>
                <w:rFonts w:ascii="Garamond" w:eastAsia="Times New Roman" w:hAnsi="Garamond" w:cs="Calibri"/>
                <w:b/>
                <w:bCs/>
                <w:color w:val="000000"/>
                <w:sz w:val="16"/>
                <w:szCs w:val="20"/>
              </w:rPr>
              <w:br/>
              <w:t>Jan 2019</w:t>
            </w:r>
          </w:p>
        </w:tc>
      </w:tr>
      <w:tr w:rsidR="002B2DA3" w:rsidRPr="002F67DE" w:rsidTr="002B2DA3">
        <w:trPr>
          <w:trHeight w:val="243"/>
        </w:trPr>
        <w:tc>
          <w:tcPr>
            <w:tcW w:w="2889" w:type="dxa"/>
            <w:vMerge/>
            <w:tcBorders>
              <w:top w:val="single" w:sz="4" w:space="0" w:color="auto"/>
              <w:left w:val="single" w:sz="4" w:space="0" w:color="auto"/>
              <w:bottom w:val="single" w:sz="4" w:space="0" w:color="auto"/>
              <w:right w:val="single" w:sz="4" w:space="0" w:color="auto"/>
            </w:tcBorders>
            <w:vAlign w:val="center"/>
            <w:hideMark/>
          </w:tcPr>
          <w:p w:rsidR="002B2DA3" w:rsidRPr="002F67DE" w:rsidRDefault="002B2DA3" w:rsidP="002B2DA3">
            <w:pPr>
              <w:rPr>
                <w:rFonts w:ascii="Garamond" w:eastAsia="Times New Roman" w:hAnsi="Garamond" w:cs="Calibri"/>
                <w:b/>
                <w:bCs/>
                <w:color w:val="000000"/>
                <w:sz w:val="16"/>
                <w:szCs w:val="20"/>
              </w:rPr>
            </w:pPr>
          </w:p>
        </w:tc>
        <w:tc>
          <w:tcPr>
            <w:tcW w:w="2948" w:type="dxa"/>
            <w:gridSpan w:val="3"/>
            <w:tcBorders>
              <w:top w:val="single" w:sz="4" w:space="0" w:color="auto"/>
              <w:left w:val="nil"/>
              <w:bottom w:val="single" w:sz="4" w:space="0" w:color="auto"/>
              <w:right w:val="single" w:sz="4" w:space="0" w:color="auto"/>
            </w:tcBorders>
            <w:shd w:val="clear" w:color="000000" w:fill="B4C6E7"/>
            <w:vAlign w:val="center"/>
            <w:hideMark/>
          </w:tcPr>
          <w:p w:rsidR="002B2DA3" w:rsidRPr="002F67DE" w:rsidRDefault="002B2DA3" w:rsidP="002B2DA3">
            <w:pPr>
              <w:jc w:val="cente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Interest rate options</w:t>
            </w:r>
          </w:p>
        </w:tc>
        <w:tc>
          <w:tcPr>
            <w:tcW w:w="3124" w:type="dxa"/>
            <w:gridSpan w:val="3"/>
            <w:tcBorders>
              <w:top w:val="single" w:sz="4" w:space="0" w:color="auto"/>
              <w:left w:val="nil"/>
              <w:bottom w:val="single" w:sz="4" w:space="0" w:color="auto"/>
              <w:right w:val="single" w:sz="4" w:space="0" w:color="auto"/>
            </w:tcBorders>
            <w:shd w:val="clear" w:color="000000" w:fill="B4C6E7"/>
            <w:vAlign w:val="center"/>
            <w:hideMark/>
          </w:tcPr>
          <w:p w:rsidR="002B2DA3" w:rsidRPr="002F67DE" w:rsidRDefault="002B2DA3" w:rsidP="002B2DA3">
            <w:pPr>
              <w:jc w:val="cente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Interest rate futures</w:t>
            </w:r>
          </w:p>
        </w:tc>
        <w:tc>
          <w:tcPr>
            <w:tcW w:w="839" w:type="dxa"/>
            <w:vMerge/>
            <w:tcBorders>
              <w:top w:val="single" w:sz="4" w:space="0" w:color="auto"/>
              <w:left w:val="single" w:sz="4" w:space="0" w:color="auto"/>
              <w:bottom w:val="single" w:sz="4" w:space="0" w:color="auto"/>
              <w:right w:val="single" w:sz="4" w:space="0" w:color="auto"/>
            </w:tcBorders>
            <w:vAlign w:val="center"/>
            <w:hideMark/>
          </w:tcPr>
          <w:p w:rsidR="002B2DA3" w:rsidRPr="002F67DE" w:rsidRDefault="002B2DA3" w:rsidP="002B2DA3">
            <w:pPr>
              <w:rPr>
                <w:rFonts w:ascii="Garamond" w:eastAsia="Times New Roman" w:hAnsi="Garamond" w:cs="Calibri"/>
                <w:b/>
                <w:bCs/>
                <w:color w:val="000000"/>
                <w:sz w:val="16"/>
                <w:szCs w:val="20"/>
              </w:rPr>
            </w:pPr>
          </w:p>
        </w:tc>
      </w:tr>
      <w:tr w:rsidR="002B2DA3" w:rsidRPr="002F67DE" w:rsidTr="002B2DA3">
        <w:trPr>
          <w:trHeight w:val="729"/>
        </w:trPr>
        <w:tc>
          <w:tcPr>
            <w:tcW w:w="2889" w:type="dxa"/>
            <w:vMerge/>
            <w:tcBorders>
              <w:top w:val="single" w:sz="4" w:space="0" w:color="auto"/>
              <w:left w:val="single" w:sz="4" w:space="0" w:color="auto"/>
              <w:bottom w:val="single" w:sz="4" w:space="0" w:color="auto"/>
              <w:right w:val="single" w:sz="4" w:space="0" w:color="auto"/>
            </w:tcBorders>
            <w:vAlign w:val="center"/>
            <w:hideMark/>
          </w:tcPr>
          <w:p w:rsidR="002B2DA3" w:rsidRPr="002F67DE" w:rsidRDefault="002B2DA3" w:rsidP="002B2DA3">
            <w:pPr>
              <w:rPr>
                <w:rFonts w:ascii="Garamond" w:eastAsia="Times New Roman" w:hAnsi="Garamond" w:cs="Calibri"/>
                <w:b/>
                <w:bCs/>
                <w:color w:val="000000"/>
                <w:sz w:val="16"/>
                <w:szCs w:val="20"/>
              </w:rPr>
            </w:pPr>
          </w:p>
        </w:tc>
        <w:tc>
          <w:tcPr>
            <w:tcW w:w="995" w:type="dxa"/>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jc w:val="cente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Number of</w:t>
            </w:r>
            <w:r w:rsidRPr="002F67DE">
              <w:rPr>
                <w:rFonts w:ascii="Garamond" w:eastAsia="Times New Roman" w:hAnsi="Garamond" w:cs="Calibri"/>
                <w:b/>
                <w:bCs/>
                <w:color w:val="000000"/>
                <w:sz w:val="16"/>
                <w:szCs w:val="20"/>
              </w:rPr>
              <w:br/>
              <w:t>contracts traded</w:t>
            </w:r>
          </w:p>
        </w:tc>
        <w:tc>
          <w:tcPr>
            <w:tcW w:w="976" w:type="dxa"/>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jc w:val="cente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Notional</w:t>
            </w:r>
            <w:r w:rsidRPr="002F67DE">
              <w:rPr>
                <w:rFonts w:ascii="Garamond" w:eastAsia="Times New Roman" w:hAnsi="Garamond" w:cs="Calibri"/>
                <w:b/>
                <w:bCs/>
                <w:color w:val="000000"/>
                <w:sz w:val="16"/>
                <w:szCs w:val="20"/>
              </w:rPr>
              <w:br/>
              <w:t>turnover</w:t>
            </w:r>
          </w:p>
        </w:tc>
        <w:tc>
          <w:tcPr>
            <w:tcW w:w="976" w:type="dxa"/>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jc w:val="cente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Open</w:t>
            </w:r>
            <w:r w:rsidRPr="002F67DE">
              <w:rPr>
                <w:rFonts w:ascii="Garamond" w:eastAsia="Times New Roman" w:hAnsi="Garamond" w:cs="Calibri"/>
                <w:b/>
                <w:bCs/>
                <w:color w:val="000000"/>
                <w:sz w:val="16"/>
                <w:szCs w:val="20"/>
              </w:rPr>
              <w:br/>
              <w:t>interest</w:t>
            </w:r>
          </w:p>
        </w:tc>
        <w:tc>
          <w:tcPr>
            <w:tcW w:w="1073" w:type="dxa"/>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jc w:val="cente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Number of</w:t>
            </w:r>
            <w:r w:rsidRPr="002F67DE">
              <w:rPr>
                <w:rFonts w:ascii="Garamond" w:eastAsia="Times New Roman" w:hAnsi="Garamond" w:cs="Calibri"/>
                <w:b/>
                <w:bCs/>
                <w:color w:val="000000"/>
                <w:sz w:val="16"/>
                <w:szCs w:val="20"/>
              </w:rPr>
              <w:br/>
              <w:t>contracts traded</w:t>
            </w:r>
          </w:p>
        </w:tc>
        <w:tc>
          <w:tcPr>
            <w:tcW w:w="1073" w:type="dxa"/>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jc w:val="cente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Notional</w:t>
            </w:r>
            <w:r w:rsidRPr="002F67DE">
              <w:rPr>
                <w:rFonts w:ascii="Garamond" w:eastAsia="Times New Roman" w:hAnsi="Garamond" w:cs="Calibri"/>
                <w:b/>
                <w:bCs/>
                <w:color w:val="000000"/>
                <w:sz w:val="16"/>
                <w:szCs w:val="20"/>
              </w:rPr>
              <w:br/>
              <w:t>turnover</w:t>
            </w:r>
          </w:p>
        </w:tc>
        <w:tc>
          <w:tcPr>
            <w:tcW w:w="976" w:type="dxa"/>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jc w:val="cente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Open</w:t>
            </w:r>
            <w:r w:rsidRPr="002F67DE">
              <w:rPr>
                <w:rFonts w:ascii="Garamond" w:eastAsia="Times New Roman" w:hAnsi="Garamond" w:cs="Calibri"/>
                <w:b/>
                <w:bCs/>
                <w:color w:val="000000"/>
                <w:sz w:val="16"/>
                <w:szCs w:val="20"/>
              </w:rPr>
              <w:br/>
              <w:t>interest</w:t>
            </w:r>
          </w:p>
        </w:tc>
        <w:tc>
          <w:tcPr>
            <w:tcW w:w="839" w:type="dxa"/>
            <w:vMerge/>
            <w:tcBorders>
              <w:top w:val="single" w:sz="4" w:space="0" w:color="auto"/>
              <w:left w:val="single" w:sz="4" w:space="0" w:color="auto"/>
              <w:bottom w:val="single" w:sz="4" w:space="0" w:color="auto"/>
              <w:right w:val="single" w:sz="4" w:space="0" w:color="auto"/>
            </w:tcBorders>
            <w:vAlign w:val="center"/>
            <w:hideMark/>
          </w:tcPr>
          <w:p w:rsidR="002B2DA3" w:rsidRPr="002F67DE" w:rsidRDefault="002B2DA3" w:rsidP="002B2DA3">
            <w:pPr>
              <w:rPr>
                <w:rFonts w:ascii="Garamond" w:eastAsia="Times New Roman" w:hAnsi="Garamond" w:cs="Calibri"/>
                <w:b/>
                <w:bCs/>
                <w:color w:val="000000"/>
                <w:sz w:val="16"/>
                <w:szCs w:val="20"/>
              </w:rPr>
            </w:pPr>
          </w:p>
        </w:tc>
      </w:tr>
      <w:tr w:rsidR="002B2DA3" w:rsidRPr="002F67DE" w:rsidTr="002B2DA3">
        <w:trPr>
          <w:trHeight w:val="243"/>
        </w:trPr>
        <w:tc>
          <w:tcPr>
            <w:tcW w:w="9802"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2B2DA3" w:rsidRPr="002F67DE" w:rsidRDefault="002B2DA3" w:rsidP="002B2DA3">
            <w:pP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Americas</w:t>
            </w:r>
          </w:p>
        </w:tc>
      </w:tr>
      <w:tr w:rsidR="002B2DA3" w:rsidRPr="002F67DE" w:rsidTr="002B2DA3">
        <w:trPr>
          <w:trHeight w:val="243"/>
        </w:trPr>
        <w:tc>
          <w:tcPr>
            <w:tcW w:w="288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Bolsa de Valores de Colombia</w:t>
            </w:r>
          </w:p>
        </w:tc>
        <w:tc>
          <w:tcPr>
            <w:tcW w:w="995"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   </w:t>
            </w:r>
          </w:p>
        </w:tc>
        <w:tc>
          <w:tcPr>
            <w:tcW w:w="976"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   </w:t>
            </w:r>
          </w:p>
        </w:tc>
        <w:tc>
          <w:tcPr>
            <w:tcW w:w="976"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   </w:t>
            </w:r>
          </w:p>
        </w:tc>
        <w:tc>
          <w:tcPr>
            <w:tcW w:w="1073"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4,576 </w:t>
            </w:r>
          </w:p>
        </w:tc>
        <w:tc>
          <w:tcPr>
            <w:tcW w:w="1073"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416 </w:t>
            </w:r>
          </w:p>
        </w:tc>
        <w:tc>
          <w:tcPr>
            <w:tcW w:w="976"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7,748 </w:t>
            </w:r>
          </w:p>
        </w:tc>
        <w:tc>
          <w:tcPr>
            <w:tcW w:w="839"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21</w:t>
            </w:r>
          </w:p>
        </w:tc>
      </w:tr>
      <w:tr w:rsidR="002B2DA3" w:rsidRPr="002F67DE" w:rsidTr="002B2DA3">
        <w:trPr>
          <w:trHeight w:val="243"/>
        </w:trPr>
        <w:tc>
          <w:tcPr>
            <w:tcW w:w="288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Bourse de Montreal</w:t>
            </w:r>
          </w:p>
        </w:tc>
        <w:tc>
          <w:tcPr>
            <w:tcW w:w="995"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59,217 </w:t>
            </w:r>
          </w:p>
        </w:tc>
        <w:tc>
          <w:tcPr>
            <w:tcW w:w="976"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976"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1073"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4,770,641 </w:t>
            </w:r>
          </w:p>
        </w:tc>
        <w:tc>
          <w:tcPr>
            <w:tcW w:w="1073"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976"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839"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w:t>
            </w:r>
          </w:p>
        </w:tc>
      </w:tr>
      <w:tr w:rsidR="002B2DA3" w:rsidRPr="002F67DE" w:rsidTr="002B2DA3">
        <w:trPr>
          <w:trHeight w:val="243"/>
        </w:trPr>
        <w:tc>
          <w:tcPr>
            <w:tcW w:w="288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CME Group</w:t>
            </w:r>
          </w:p>
        </w:tc>
        <w:tc>
          <w:tcPr>
            <w:tcW w:w="995"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57,176,192 </w:t>
            </w:r>
          </w:p>
        </w:tc>
        <w:tc>
          <w:tcPr>
            <w:tcW w:w="976"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46,358,700 </w:t>
            </w:r>
          </w:p>
        </w:tc>
        <w:tc>
          <w:tcPr>
            <w:tcW w:w="976"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53,467,100 </w:t>
            </w:r>
          </w:p>
        </w:tc>
        <w:tc>
          <w:tcPr>
            <w:tcW w:w="1073"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144,098,727 </w:t>
            </w:r>
          </w:p>
        </w:tc>
        <w:tc>
          <w:tcPr>
            <w:tcW w:w="1073"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102,931,000 </w:t>
            </w:r>
          </w:p>
        </w:tc>
        <w:tc>
          <w:tcPr>
            <w:tcW w:w="976"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29,312,600 </w:t>
            </w:r>
          </w:p>
        </w:tc>
        <w:tc>
          <w:tcPr>
            <w:tcW w:w="839"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21</w:t>
            </w:r>
          </w:p>
        </w:tc>
      </w:tr>
      <w:tr w:rsidR="002B2DA3" w:rsidRPr="002F67DE" w:rsidTr="002B2DA3">
        <w:trPr>
          <w:trHeight w:val="243"/>
        </w:trPr>
        <w:tc>
          <w:tcPr>
            <w:tcW w:w="288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MexDer</w:t>
            </w:r>
          </w:p>
        </w:tc>
        <w:tc>
          <w:tcPr>
            <w:tcW w:w="995"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976"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976"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1073"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22,903 </w:t>
            </w:r>
          </w:p>
        </w:tc>
        <w:tc>
          <w:tcPr>
            <w:tcW w:w="1073"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132 </w:t>
            </w:r>
          </w:p>
        </w:tc>
        <w:tc>
          <w:tcPr>
            <w:tcW w:w="976"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92,623 </w:t>
            </w:r>
          </w:p>
        </w:tc>
        <w:tc>
          <w:tcPr>
            <w:tcW w:w="839"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22</w:t>
            </w:r>
          </w:p>
        </w:tc>
      </w:tr>
      <w:tr w:rsidR="002B2DA3" w:rsidRPr="002F67DE" w:rsidTr="002B2DA3">
        <w:trPr>
          <w:trHeight w:val="243"/>
        </w:trPr>
        <w:tc>
          <w:tcPr>
            <w:tcW w:w="2889" w:type="dxa"/>
            <w:tcBorders>
              <w:top w:val="single" w:sz="4" w:space="0" w:color="auto"/>
              <w:left w:val="single" w:sz="4" w:space="0" w:color="auto"/>
              <w:bottom w:val="single" w:sz="4" w:space="0" w:color="auto"/>
              <w:right w:val="single" w:sz="4" w:space="0" w:color="auto"/>
            </w:tcBorders>
            <w:shd w:val="clear" w:color="000000" w:fill="B4C6E7"/>
            <w:vAlign w:val="center"/>
            <w:hideMark/>
          </w:tcPr>
          <w:p w:rsidR="002B2DA3" w:rsidRPr="002F67DE" w:rsidRDefault="002B2DA3" w:rsidP="002B2DA3">
            <w:pP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Total region</w:t>
            </w:r>
          </w:p>
        </w:tc>
        <w:tc>
          <w:tcPr>
            <w:tcW w:w="995" w:type="dxa"/>
            <w:tcBorders>
              <w:top w:val="single" w:sz="4" w:space="0" w:color="auto"/>
              <w:left w:val="nil"/>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xml:space="preserve">  57,235,409 </w:t>
            </w:r>
          </w:p>
        </w:tc>
        <w:tc>
          <w:tcPr>
            <w:tcW w:w="976" w:type="dxa"/>
            <w:tcBorders>
              <w:top w:val="single" w:sz="4" w:space="0" w:color="auto"/>
              <w:left w:val="nil"/>
              <w:bottom w:val="single" w:sz="4" w:space="0" w:color="auto"/>
              <w:right w:val="nil"/>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c>
          <w:tcPr>
            <w:tcW w:w="9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c>
          <w:tcPr>
            <w:tcW w:w="1073" w:type="dxa"/>
            <w:tcBorders>
              <w:top w:val="single" w:sz="4" w:space="0" w:color="auto"/>
              <w:left w:val="nil"/>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xml:space="preserve">  148,896,847 </w:t>
            </w:r>
          </w:p>
        </w:tc>
        <w:tc>
          <w:tcPr>
            <w:tcW w:w="1073" w:type="dxa"/>
            <w:tcBorders>
              <w:top w:val="single" w:sz="4" w:space="0" w:color="auto"/>
              <w:left w:val="nil"/>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c>
          <w:tcPr>
            <w:tcW w:w="976" w:type="dxa"/>
            <w:tcBorders>
              <w:top w:val="single" w:sz="4" w:space="0" w:color="auto"/>
              <w:left w:val="nil"/>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c>
          <w:tcPr>
            <w:tcW w:w="839" w:type="dxa"/>
            <w:tcBorders>
              <w:top w:val="single" w:sz="4" w:space="0" w:color="auto"/>
              <w:left w:val="nil"/>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r>
      <w:tr w:rsidR="002B2DA3" w:rsidRPr="002F67DE" w:rsidTr="002B2DA3">
        <w:trPr>
          <w:trHeight w:val="243"/>
        </w:trPr>
        <w:tc>
          <w:tcPr>
            <w:tcW w:w="9802"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2B2DA3" w:rsidRPr="002F67DE" w:rsidRDefault="002B2DA3" w:rsidP="002B2DA3">
            <w:pP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Asia - Pacific</w:t>
            </w:r>
          </w:p>
        </w:tc>
      </w:tr>
      <w:tr w:rsidR="002B2DA3" w:rsidRPr="002F67DE" w:rsidTr="002B2DA3">
        <w:trPr>
          <w:trHeight w:val="243"/>
        </w:trPr>
        <w:tc>
          <w:tcPr>
            <w:tcW w:w="288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Australian Securities Exchange</w:t>
            </w:r>
          </w:p>
        </w:tc>
        <w:tc>
          <w:tcPr>
            <w:tcW w:w="995"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86,950 </w:t>
            </w:r>
          </w:p>
        </w:tc>
        <w:tc>
          <w:tcPr>
            <w:tcW w:w="976"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6,322 </w:t>
            </w:r>
          </w:p>
        </w:tc>
        <w:tc>
          <w:tcPr>
            <w:tcW w:w="976"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21,940 </w:t>
            </w:r>
          </w:p>
        </w:tc>
        <w:tc>
          <w:tcPr>
            <w:tcW w:w="1073"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10,027,167 </w:t>
            </w:r>
          </w:p>
        </w:tc>
        <w:tc>
          <w:tcPr>
            <w:tcW w:w="1073"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3,095,350 </w:t>
            </w:r>
          </w:p>
        </w:tc>
        <w:tc>
          <w:tcPr>
            <w:tcW w:w="976"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4,226,450 </w:t>
            </w:r>
          </w:p>
        </w:tc>
        <w:tc>
          <w:tcPr>
            <w:tcW w:w="839"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22</w:t>
            </w:r>
          </w:p>
        </w:tc>
      </w:tr>
      <w:tr w:rsidR="002B2DA3" w:rsidRPr="002F67DE" w:rsidTr="002B2DA3">
        <w:trPr>
          <w:trHeight w:val="243"/>
        </w:trPr>
        <w:tc>
          <w:tcPr>
            <w:tcW w:w="288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BSE India Limited</w:t>
            </w:r>
          </w:p>
        </w:tc>
        <w:tc>
          <w:tcPr>
            <w:tcW w:w="995"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976"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976"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1073"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480,065 </w:t>
            </w:r>
          </w:p>
        </w:tc>
        <w:tc>
          <w:tcPr>
            <w:tcW w:w="1073"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1,288 </w:t>
            </w:r>
          </w:p>
        </w:tc>
        <w:tc>
          <w:tcPr>
            <w:tcW w:w="976"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15,056 </w:t>
            </w:r>
          </w:p>
        </w:tc>
        <w:tc>
          <w:tcPr>
            <w:tcW w:w="839"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23</w:t>
            </w:r>
          </w:p>
        </w:tc>
      </w:tr>
      <w:tr w:rsidR="002B2DA3" w:rsidRPr="002F67DE" w:rsidTr="002B2DA3">
        <w:trPr>
          <w:trHeight w:val="243"/>
        </w:trPr>
        <w:tc>
          <w:tcPr>
            <w:tcW w:w="288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China Financial Futures Exchange</w:t>
            </w:r>
          </w:p>
        </w:tc>
        <w:tc>
          <w:tcPr>
            <w:tcW w:w="995"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976"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976"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1073"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1,058,621 </w:t>
            </w:r>
          </w:p>
        </w:tc>
        <w:tc>
          <w:tcPr>
            <w:tcW w:w="1073"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155,586 </w:t>
            </w:r>
          </w:p>
        </w:tc>
        <w:tc>
          <w:tcPr>
            <w:tcW w:w="976"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79,259 </w:t>
            </w:r>
          </w:p>
        </w:tc>
        <w:tc>
          <w:tcPr>
            <w:tcW w:w="839"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22</w:t>
            </w:r>
          </w:p>
        </w:tc>
      </w:tr>
      <w:tr w:rsidR="002B2DA3" w:rsidRPr="002F67DE" w:rsidTr="002B2DA3">
        <w:trPr>
          <w:trHeight w:val="243"/>
        </w:trPr>
        <w:tc>
          <w:tcPr>
            <w:tcW w:w="288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Hong Kong Exchanges and Clearing</w:t>
            </w:r>
          </w:p>
        </w:tc>
        <w:tc>
          <w:tcPr>
            <w:tcW w:w="995"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976"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976"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1073"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14 </w:t>
            </w:r>
          </w:p>
        </w:tc>
        <w:tc>
          <w:tcPr>
            <w:tcW w:w="1073"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 </w:t>
            </w:r>
          </w:p>
        </w:tc>
        <w:tc>
          <w:tcPr>
            <w:tcW w:w="976"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277 </w:t>
            </w:r>
          </w:p>
        </w:tc>
        <w:tc>
          <w:tcPr>
            <w:tcW w:w="839"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22</w:t>
            </w:r>
          </w:p>
        </w:tc>
      </w:tr>
      <w:tr w:rsidR="002B2DA3" w:rsidRPr="002F67DE" w:rsidTr="002B2DA3">
        <w:trPr>
          <w:trHeight w:val="243"/>
        </w:trPr>
        <w:tc>
          <w:tcPr>
            <w:tcW w:w="288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Japan Exchange Group</w:t>
            </w:r>
          </w:p>
        </w:tc>
        <w:tc>
          <w:tcPr>
            <w:tcW w:w="995"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47,879 </w:t>
            </w:r>
          </w:p>
        </w:tc>
        <w:tc>
          <w:tcPr>
            <w:tcW w:w="976"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976"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7,039 </w:t>
            </w:r>
          </w:p>
        </w:tc>
        <w:tc>
          <w:tcPr>
            <w:tcW w:w="1073"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643,275 </w:t>
            </w:r>
          </w:p>
        </w:tc>
        <w:tc>
          <w:tcPr>
            <w:tcW w:w="1073"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976"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106,440 </w:t>
            </w:r>
          </w:p>
        </w:tc>
        <w:tc>
          <w:tcPr>
            <w:tcW w:w="839"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19</w:t>
            </w:r>
          </w:p>
        </w:tc>
      </w:tr>
      <w:tr w:rsidR="002B2DA3" w:rsidRPr="002F67DE" w:rsidTr="002B2DA3">
        <w:trPr>
          <w:trHeight w:val="243"/>
        </w:trPr>
        <w:tc>
          <w:tcPr>
            <w:tcW w:w="288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Korea Exchange</w:t>
            </w:r>
          </w:p>
        </w:tc>
        <w:tc>
          <w:tcPr>
            <w:tcW w:w="995"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976"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976"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1073"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2,623,340 </w:t>
            </w:r>
          </w:p>
        </w:tc>
        <w:tc>
          <w:tcPr>
            <w:tcW w:w="1073"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277,613 </w:t>
            </w:r>
          </w:p>
        </w:tc>
        <w:tc>
          <w:tcPr>
            <w:tcW w:w="976"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452,230 </w:t>
            </w:r>
          </w:p>
        </w:tc>
        <w:tc>
          <w:tcPr>
            <w:tcW w:w="839"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22</w:t>
            </w:r>
          </w:p>
        </w:tc>
      </w:tr>
      <w:tr w:rsidR="002B2DA3" w:rsidRPr="002F67DE" w:rsidTr="002B2DA3">
        <w:trPr>
          <w:trHeight w:val="243"/>
        </w:trPr>
        <w:tc>
          <w:tcPr>
            <w:tcW w:w="288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National Stock Exchange of India</w:t>
            </w:r>
          </w:p>
        </w:tc>
        <w:tc>
          <w:tcPr>
            <w:tcW w:w="995"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976"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976"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1073"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1,438,254 </w:t>
            </w:r>
          </w:p>
        </w:tc>
        <w:tc>
          <w:tcPr>
            <w:tcW w:w="1073"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3,972 </w:t>
            </w:r>
          </w:p>
        </w:tc>
        <w:tc>
          <w:tcPr>
            <w:tcW w:w="976"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68,815 </w:t>
            </w:r>
          </w:p>
        </w:tc>
        <w:tc>
          <w:tcPr>
            <w:tcW w:w="839"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23</w:t>
            </w:r>
          </w:p>
        </w:tc>
      </w:tr>
      <w:tr w:rsidR="002B2DA3" w:rsidRPr="002F67DE" w:rsidTr="002B2DA3">
        <w:trPr>
          <w:trHeight w:val="243"/>
        </w:trPr>
        <w:tc>
          <w:tcPr>
            <w:tcW w:w="288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Singapore Exchange</w:t>
            </w:r>
          </w:p>
        </w:tc>
        <w:tc>
          <w:tcPr>
            <w:tcW w:w="995"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976"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976"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1073"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21,538 </w:t>
            </w:r>
          </w:p>
        </w:tc>
        <w:tc>
          <w:tcPr>
            <w:tcW w:w="1073"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976"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22,485 </w:t>
            </w:r>
          </w:p>
        </w:tc>
        <w:tc>
          <w:tcPr>
            <w:tcW w:w="839"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w:t>
            </w:r>
          </w:p>
        </w:tc>
      </w:tr>
      <w:tr w:rsidR="002B2DA3" w:rsidRPr="002F67DE" w:rsidTr="002B2DA3">
        <w:trPr>
          <w:trHeight w:val="243"/>
        </w:trPr>
        <w:tc>
          <w:tcPr>
            <w:tcW w:w="2889" w:type="dxa"/>
            <w:tcBorders>
              <w:top w:val="single" w:sz="4" w:space="0" w:color="auto"/>
              <w:left w:val="single" w:sz="4" w:space="0" w:color="auto"/>
              <w:bottom w:val="single" w:sz="4" w:space="0" w:color="auto"/>
              <w:right w:val="single" w:sz="4" w:space="0" w:color="auto"/>
            </w:tcBorders>
            <w:shd w:val="clear" w:color="000000" w:fill="B4C6E7"/>
            <w:vAlign w:val="center"/>
            <w:hideMark/>
          </w:tcPr>
          <w:p w:rsidR="002B2DA3" w:rsidRPr="002F67DE" w:rsidRDefault="002B2DA3" w:rsidP="002B2DA3">
            <w:pP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Total region</w:t>
            </w:r>
          </w:p>
        </w:tc>
        <w:tc>
          <w:tcPr>
            <w:tcW w:w="995" w:type="dxa"/>
            <w:tcBorders>
              <w:top w:val="single" w:sz="4" w:space="0" w:color="auto"/>
              <w:left w:val="nil"/>
              <w:bottom w:val="single" w:sz="4" w:space="0" w:color="auto"/>
              <w:right w:val="single" w:sz="4" w:space="0" w:color="auto"/>
            </w:tcBorders>
            <w:shd w:val="clear" w:color="auto" w:fill="auto"/>
            <w:vAlign w:val="center"/>
            <w:hideMark/>
          </w:tcPr>
          <w:p w:rsidR="002B2DA3" w:rsidRPr="002F67DE" w:rsidRDefault="002B2DA3" w:rsidP="002B2DA3">
            <w:pP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xml:space="preserve">       134,829 </w:t>
            </w:r>
          </w:p>
        </w:tc>
        <w:tc>
          <w:tcPr>
            <w:tcW w:w="976" w:type="dxa"/>
            <w:tcBorders>
              <w:top w:val="single" w:sz="4" w:space="0" w:color="auto"/>
              <w:left w:val="nil"/>
              <w:bottom w:val="single" w:sz="4" w:space="0" w:color="auto"/>
              <w:right w:val="single" w:sz="4" w:space="0" w:color="auto"/>
            </w:tcBorders>
            <w:shd w:val="clear" w:color="auto" w:fill="auto"/>
            <w:vAlign w:val="center"/>
            <w:hideMark/>
          </w:tcPr>
          <w:p w:rsidR="002B2DA3" w:rsidRPr="002F67DE" w:rsidRDefault="002B2DA3" w:rsidP="002B2DA3">
            <w:pP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c>
          <w:tcPr>
            <w:tcW w:w="976" w:type="dxa"/>
            <w:tcBorders>
              <w:top w:val="single" w:sz="4" w:space="0" w:color="auto"/>
              <w:left w:val="nil"/>
              <w:bottom w:val="single" w:sz="4" w:space="0" w:color="auto"/>
              <w:right w:val="single" w:sz="4" w:space="0" w:color="auto"/>
            </w:tcBorders>
            <w:shd w:val="clear" w:color="auto" w:fill="auto"/>
            <w:vAlign w:val="center"/>
            <w:hideMark/>
          </w:tcPr>
          <w:p w:rsidR="002B2DA3" w:rsidRPr="002F67DE" w:rsidRDefault="002B2DA3" w:rsidP="002B2DA3">
            <w:pP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c>
          <w:tcPr>
            <w:tcW w:w="1073" w:type="dxa"/>
            <w:tcBorders>
              <w:top w:val="single" w:sz="4" w:space="0" w:color="auto"/>
              <w:left w:val="nil"/>
              <w:bottom w:val="single" w:sz="4" w:space="0" w:color="auto"/>
              <w:right w:val="single" w:sz="4" w:space="0" w:color="auto"/>
            </w:tcBorders>
            <w:shd w:val="clear" w:color="auto" w:fill="auto"/>
            <w:vAlign w:val="center"/>
            <w:hideMark/>
          </w:tcPr>
          <w:p w:rsidR="002B2DA3" w:rsidRPr="002F67DE" w:rsidRDefault="002B2DA3" w:rsidP="002B2DA3">
            <w:pP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xml:space="preserve">    16,292,274 </w:t>
            </w:r>
          </w:p>
        </w:tc>
        <w:tc>
          <w:tcPr>
            <w:tcW w:w="1073" w:type="dxa"/>
            <w:tcBorders>
              <w:top w:val="single" w:sz="4" w:space="0" w:color="auto"/>
              <w:left w:val="nil"/>
              <w:bottom w:val="single" w:sz="4" w:space="0" w:color="auto"/>
              <w:right w:val="single" w:sz="4" w:space="0" w:color="auto"/>
            </w:tcBorders>
            <w:shd w:val="clear" w:color="auto" w:fill="auto"/>
            <w:vAlign w:val="center"/>
            <w:hideMark/>
          </w:tcPr>
          <w:p w:rsidR="002B2DA3" w:rsidRPr="002F67DE" w:rsidRDefault="002B2DA3" w:rsidP="002B2DA3">
            <w:pP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c>
          <w:tcPr>
            <w:tcW w:w="976" w:type="dxa"/>
            <w:tcBorders>
              <w:top w:val="single" w:sz="4" w:space="0" w:color="auto"/>
              <w:left w:val="nil"/>
              <w:bottom w:val="single" w:sz="4" w:space="0" w:color="auto"/>
              <w:right w:val="single" w:sz="4" w:space="0" w:color="auto"/>
            </w:tcBorders>
            <w:shd w:val="clear" w:color="auto" w:fill="auto"/>
            <w:vAlign w:val="center"/>
            <w:hideMark/>
          </w:tcPr>
          <w:p w:rsidR="002B2DA3" w:rsidRPr="002F67DE" w:rsidRDefault="002B2DA3" w:rsidP="002B2DA3">
            <w:pP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c>
          <w:tcPr>
            <w:tcW w:w="839" w:type="dxa"/>
            <w:tcBorders>
              <w:top w:val="single" w:sz="4" w:space="0" w:color="auto"/>
              <w:left w:val="nil"/>
              <w:bottom w:val="single" w:sz="4" w:space="0" w:color="auto"/>
              <w:right w:val="single" w:sz="4" w:space="0" w:color="auto"/>
            </w:tcBorders>
            <w:shd w:val="clear" w:color="auto" w:fill="auto"/>
            <w:vAlign w:val="center"/>
            <w:hideMark/>
          </w:tcPr>
          <w:p w:rsidR="002B2DA3" w:rsidRPr="002F67DE" w:rsidRDefault="002B2DA3" w:rsidP="002B2DA3">
            <w:pP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r>
      <w:tr w:rsidR="002B2DA3" w:rsidRPr="002F67DE" w:rsidTr="002B2DA3">
        <w:trPr>
          <w:trHeight w:val="243"/>
        </w:trPr>
        <w:tc>
          <w:tcPr>
            <w:tcW w:w="9802"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2B2DA3" w:rsidRPr="002F67DE" w:rsidRDefault="002B2DA3" w:rsidP="002B2DA3">
            <w:pP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Europe - Africa - Middle East</w:t>
            </w:r>
          </w:p>
        </w:tc>
      </w:tr>
      <w:tr w:rsidR="002B2DA3" w:rsidRPr="002F67DE" w:rsidTr="002B2DA3">
        <w:trPr>
          <w:trHeight w:val="243"/>
        </w:trPr>
        <w:tc>
          <w:tcPr>
            <w:tcW w:w="288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EUREX</w:t>
            </w:r>
          </w:p>
        </w:tc>
        <w:tc>
          <w:tcPr>
            <w:tcW w:w="995"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5,456,063 </w:t>
            </w:r>
          </w:p>
        </w:tc>
        <w:tc>
          <w:tcPr>
            <w:tcW w:w="976"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911,388 </w:t>
            </w:r>
          </w:p>
        </w:tc>
        <w:tc>
          <w:tcPr>
            <w:tcW w:w="976"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2,367,060 </w:t>
            </w:r>
          </w:p>
        </w:tc>
        <w:tc>
          <w:tcPr>
            <w:tcW w:w="1073"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35,524,172 </w:t>
            </w:r>
          </w:p>
        </w:tc>
        <w:tc>
          <w:tcPr>
            <w:tcW w:w="1073"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5,840,110 </w:t>
            </w:r>
          </w:p>
        </w:tc>
        <w:tc>
          <w:tcPr>
            <w:tcW w:w="976"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6,657,170 </w:t>
            </w:r>
          </w:p>
        </w:tc>
        <w:tc>
          <w:tcPr>
            <w:tcW w:w="839"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22</w:t>
            </w:r>
          </w:p>
        </w:tc>
      </w:tr>
      <w:tr w:rsidR="002B2DA3" w:rsidRPr="002F67DE" w:rsidTr="002B2DA3">
        <w:trPr>
          <w:trHeight w:val="243"/>
        </w:trPr>
        <w:tc>
          <w:tcPr>
            <w:tcW w:w="288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Johannesburg Stock Exchange</w:t>
            </w:r>
          </w:p>
        </w:tc>
        <w:tc>
          <w:tcPr>
            <w:tcW w:w="995"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19,110 </w:t>
            </w:r>
          </w:p>
        </w:tc>
        <w:tc>
          <w:tcPr>
            <w:tcW w:w="976"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159 </w:t>
            </w:r>
          </w:p>
        </w:tc>
        <w:tc>
          <w:tcPr>
            <w:tcW w:w="976"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143,550 </w:t>
            </w:r>
          </w:p>
        </w:tc>
        <w:tc>
          <w:tcPr>
            <w:tcW w:w="1073"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1,875,681 </w:t>
            </w:r>
          </w:p>
        </w:tc>
        <w:tc>
          <w:tcPr>
            <w:tcW w:w="1073"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15,022 </w:t>
            </w:r>
          </w:p>
        </w:tc>
        <w:tc>
          <w:tcPr>
            <w:tcW w:w="976"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1,121,190 </w:t>
            </w:r>
          </w:p>
        </w:tc>
        <w:tc>
          <w:tcPr>
            <w:tcW w:w="839"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22</w:t>
            </w:r>
          </w:p>
        </w:tc>
      </w:tr>
      <w:tr w:rsidR="002B2DA3" w:rsidRPr="002F67DE" w:rsidTr="002B2DA3">
        <w:trPr>
          <w:trHeight w:val="243"/>
        </w:trPr>
        <w:tc>
          <w:tcPr>
            <w:tcW w:w="288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Moscow Exchange</w:t>
            </w:r>
          </w:p>
        </w:tc>
        <w:tc>
          <w:tcPr>
            <w:tcW w:w="995"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976"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976"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1073"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8,725 </w:t>
            </w:r>
          </w:p>
        </w:tc>
        <w:tc>
          <w:tcPr>
            <w:tcW w:w="1073"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3 </w:t>
            </w:r>
          </w:p>
        </w:tc>
        <w:tc>
          <w:tcPr>
            <w:tcW w:w="976"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31,864 </w:t>
            </w:r>
          </w:p>
        </w:tc>
        <w:tc>
          <w:tcPr>
            <w:tcW w:w="839"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20</w:t>
            </w:r>
          </w:p>
        </w:tc>
      </w:tr>
      <w:tr w:rsidR="002B2DA3" w:rsidRPr="002F67DE" w:rsidTr="002B2DA3">
        <w:trPr>
          <w:trHeight w:val="243"/>
        </w:trPr>
        <w:tc>
          <w:tcPr>
            <w:tcW w:w="288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Nasdaq Nordic Exchanges</w:t>
            </w:r>
          </w:p>
        </w:tc>
        <w:tc>
          <w:tcPr>
            <w:tcW w:w="995"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676,361 </w:t>
            </w:r>
          </w:p>
        </w:tc>
        <w:tc>
          <w:tcPr>
            <w:tcW w:w="976"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74,868 </w:t>
            </w:r>
          </w:p>
        </w:tc>
        <w:tc>
          <w:tcPr>
            <w:tcW w:w="976"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   </w:t>
            </w:r>
          </w:p>
        </w:tc>
        <w:tc>
          <w:tcPr>
            <w:tcW w:w="1073"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845,438 </w:t>
            </w:r>
          </w:p>
        </w:tc>
        <w:tc>
          <w:tcPr>
            <w:tcW w:w="1073"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93,583 </w:t>
            </w:r>
          </w:p>
        </w:tc>
        <w:tc>
          <w:tcPr>
            <w:tcW w:w="976"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1,612,670 </w:t>
            </w:r>
          </w:p>
        </w:tc>
        <w:tc>
          <w:tcPr>
            <w:tcW w:w="839"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22</w:t>
            </w:r>
          </w:p>
        </w:tc>
      </w:tr>
      <w:tr w:rsidR="002B2DA3" w:rsidRPr="002F67DE" w:rsidTr="002B2DA3">
        <w:trPr>
          <w:trHeight w:val="243"/>
        </w:trPr>
        <w:tc>
          <w:tcPr>
            <w:tcW w:w="2889" w:type="dxa"/>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Warsaw Stock Exchange</w:t>
            </w:r>
          </w:p>
        </w:tc>
        <w:tc>
          <w:tcPr>
            <w:tcW w:w="995"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   </w:t>
            </w:r>
          </w:p>
        </w:tc>
        <w:tc>
          <w:tcPr>
            <w:tcW w:w="976" w:type="dxa"/>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   </w:t>
            </w:r>
          </w:p>
        </w:tc>
        <w:tc>
          <w:tcPr>
            <w:tcW w:w="976"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 </w:t>
            </w:r>
          </w:p>
        </w:tc>
        <w:tc>
          <w:tcPr>
            <w:tcW w:w="1073"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   </w:t>
            </w:r>
          </w:p>
        </w:tc>
        <w:tc>
          <w:tcPr>
            <w:tcW w:w="1073" w:type="dxa"/>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   </w:t>
            </w:r>
          </w:p>
        </w:tc>
        <w:tc>
          <w:tcPr>
            <w:tcW w:w="976" w:type="dxa"/>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101 </w:t>
            </w:r>
          </w:p>
        </w:tc>
        <w:tc>
          <w:tcPr>
            <w:tcW w:w="839" w:type="dxa"/>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22</w:t>
            </w:r>
          </w:p>
        </w:tc>
      </w:tr>
      <w:tr w:rsidR="002B2DA3" w:rsidRPr="002F67DE" w:rsidTr="002B2DA3">
        <w:trPr>
          <w:trHeight w:val="243"/>
        </w:trPr>
        <w:tc>
          <w:tcPr>
            <w:tcW w:w="2889" w:type="dxa"/>
            <w:tcBorders>
              <w:top w:val="single" w:sz="4" w:space="0" w:color="auto"/>
              <w:left w:val="single" w:sz="4" w:space="0" w:color="auto"/>
              <w:bottom w:val="single" w:sz="4" w:space="0" w:color="auto"/>
              <w:right w:val="single" w:sz="4" w:space="0" w:color="auto"/>
            </w:tcBorders>
            <w:shd w:val="clear" w:color="000000" w:fill="B4C6E7"/>
            <w:vAlign w:val="center"/>
            <w:hideMark/>
          </w:tcPr>
          <w:p w:rsidR="002B2DA3" w:rsidRPr="002F67DE" w:rsidRDefault="002B2DA3" w:rsidP="002B2DA3">
            <w:pP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Total region</w:t>
            </w:r>
          </w:p>
        </w:tc>
        <w:tc>
          <w:tcPr>
            <w:tcW w:w="995" w:type="dxa"/>
            <w:tcBorders>
              <w:top w:val="single" w:sz="4" w:space="0" w:color="auto"/>
              <w:left w:val="nil"/>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xml:space="preserve">    6,151,534 </w:t>
            </w:r>
          </w:p>
        </w:tc>
        <w:tc>
          <w:tcPr>
            <w:tcW w:w="976" w:type="dxa"/>
            <w:tcBorders>
              <w:top w:val="single" w:sz="4" w:space="0" w:color="auto"/>
              <w:left w:val="nil"/>
              <w:bottom w:val="single" w:sz="4" w:space="0" w:color="auto"/>
              <w:right w:val="nil"/>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c>
          <w:tcPr>
            <w:tcW w:w="9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c>
          <w:tcPr>
            <w:tcW w:w="1073" w:type="dxa"/>
            <w:tcBorders>
              <w:top w:val="single" w:sz="4" w:space="0" w:color="auto"/>
              <w:left w:val="nil"/>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xml:space="preserve">    38,254,016 </w:t>
            </w:r>
          </w:p>
        </w:tc>
        <w:tc>
          <w:tcPr>
            <w:tcW w:w="1073" w:type="dxa"/>
            <w:tcBorders>
              <w:top w:val="single" w:sz="4" w:space="0" w:color="auto"/>
              <w:left w:val="nil"/>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c>
          <w:tcPr>
            <w:tcW w:w="976" w:type="dxa"/>
            <w:tcBorders>
              <w:top w:val="single" w:sz="4" w:space="0" w:color="auto"/>
              <w:left w:val="nil"/>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c>
          <w:tcPr>
            <w:tcW w:w="839" w:type="dxa"/>
            <w:tcBorders>
              <w:top w:val="single" w:sz="4" w:space="0" w:color="auto"/>
              <w:left w:val="nil"/>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r>
      <w:tr w:rsidR="002B2DA3" w:rsidRPr="002F67DE" w:rsidTr="002B2DA3">
        <w:trPr>
          <w:trHeight w:val="243"/>
        </w:trPr>
        <w:tc>
          <w:tcPr>
            <w:tcW w:w="2889" w:type="dxa"/>
            <w:tcBorders>
              <w:top w:val="nil"/>
              <w:left w:val="single" w:sz="4" w:space="0" w:color="auto"/>
              <w:bottom w:val="single" w:sz="4" w:space="0" w:color="auto"/>
              <w:right w:val="single" w:sz="4" w:space="0" w:color="auto"/>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Total</w:t>
            </w:r>
          </w:p>
        </w:tc>
        <w:tc>
          <w:tcPr>
            <w:tcW w:w="995" w:type="dxa"/>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xml:space="preserve">  63,521,772 </w:t>
            </w:r>
          </w:p>
        </w:tc>
        <w:tc>
          <w:tcPr>
            <w:tcW w:w="976" w:type="dxa"/>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w:t>
            </w:r>
          </w:p>
        </w:tc>
        <w:tc>
          <w:tcPr>
            <w:tcW w:w="976" w:type="dxa"/>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w:t>
            </w:r>
          </w:p>
        </w:tc>
        <w:tc>
          <w:tcPr>
            <w:tcW w:w="1073" w:type="dxa"/>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xml:space="preserve">  203,443,137 </w:t>
            </w:r>
          </w:p>
        </w:tc>
        <w:tc>
          <w:tcPr>
            <w:tcW w:w="1073" w:type="dxa"/>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w:t>
            </w:r>
          </w:p>
        </w:tc>
        <w:tc>
          <w:tcPr>
            <w:tcW w:w="976" w:type="dxa"/>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w:t>
            </w:r>
          </w:p>
        </w:tc>
        <w:tc>
          <w:tcPr>
            <w:tcW w:w="839" w:type="dxa"/>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w:t>
            </w:r>
          </w:p>
        </w:tc>
      </w:tr>
    </w:tbl>
    <w:p w:rsidR="002B2DA3" w:rsidRDefault="002B2DA3" w:rsidP="002B2DA3">
      <w:pPr>
        <w:jc w:val="both"/>
        <w:rPr>
          <w:rFonts w:ascii="Garamond" w:hAnsi="Garamond"/>
          <w:b/>
        </w:rPr>
      </w:pPr>
    </w:p>
    <w:p w:rsidR="002B2DA3" w:rsidRPr="00E80B94" w:rsidRDefault="002B2DA3" w:rsidP="002B2DA3">
      <w:pPr>
        <w:jc w:val="both"/>
        <w:outlineLvl w:val="0"/>
        <w:rPr>
          <w:rFonts w:ascii="Garamond" w:hAnsi="Garamond"/>
          <w:b/>
          <w:sz w:val="20"/>
        </w:rPr>
      </w:pPr>
      <w:r w:rsidRPr="00E80B94">
        <w:rPr>
          <w:rFonts w:ascii="Garamond" w:hAnsi="Garamond"/>
          <w:b/>
          <w:sz w:val="20"/>
        </w:rPr>
        <w:t xml:space="preserve">NA: </w:t>
      </w:r>
      <w:r w:rsidRPr="00E80B94">
        <w:rPr>
          <w:rFonts w:ascii="Garamond" w:hAnsi="Garamond"/>
          <w:sz w:val="20"/>
        </w:rPr>
        <w:t>Not Available</w:t>
      </w:r>
    </w:p>
    <w:p w:rsidR="002B2DA3" w:rsidRPr="00E80B94" w:rsidRDefault="002B2DA3" w:rsidP="002B2DA3">
      <w:pPr>
        <w:jc w:val="both"/>
        <w:rPr>
          <w:rFonts w:ascii="Garamond" w:hAnsi="Garamond"/>
          <w:sz w:val="20"/>
        </w:rPr>
      </w:pPr>
      <w:r w:rsidRPr="00E80B94">
        <w:rPr>
          <w:rFonts w:ascii="Garamond" w:hAnsi="Garamond"/>
          <w:b/>
          <w:sz w:val="20"/>
        </w:rPr>
        <w:t xml:space="preserve">Source: </w:t>
      </w:r>
      <w:r w:rsidRPr="00E80B94">
        <w:rPr>
          <w:rFonts w:ascii="Garamond" w:hAnsi="Garamond"/>
          <w:sz w:val="20"/>
        </w:rPr>
        <w:t>World Federation of Exchanges</w:t>
      </w:r>
    </w:p>
    <w:p w:rsidR="002B2DA3" w:rsidRPr="00E80B94" w:rsidRDefault="002B2DA3" w:rsidP="002B2DA3">
      <w:pPr>
        <w:jc w:val="both"/>
        <w:rPr>
          <w:rFonts w:ascii="Garamond" w:hAnsi="Garamond"/>
          <w:b/>
        </w:rPr>
      </w:pPr>
    </w:p>
    <w:p w:rsidR="002B2DA3" w:rsidRPr="00440919" w:rsidRDefault="002B2DA3" w:rsidP="002B2DA3">
      <w:pPr>
        <w:rPr>
          <w:rFonts w:ascii="Garamond" w:hAnsi="Garamond"/>
          <w:b/>
          <w:color w:val="0000FF"/>
        </w:rPr>
      </w:pPr>
      <w:r w:rsidRPr="00440919">
        <w:rPr>
          <w:rFonts w:ascii="Garamond" w:hAnsi="Garamond"/>
          <w:b/>
          <w:color w:val="0000FF"/>
        </w:rPr>
        <w:br w:type="page"/>
      </w:r>
    </w:p>
    <w:p w:rsidR="002B2DA3" w:rsidRDefault="002B2DA3" w:rsidP="002B2DA3">
      <w:pPr>
        <w:jc w:val="both"/>
        <w:outlineLvl w:val="0"/>
        <w:rPr>
          <w:rFonts w:ascii="Garamond" w:hAnsi="Garamond"/>
          <w:b/>
        </w:rPr>
      </w:pPr>
      <w:r>
        <w:rPr>
          <w:rFonts w:ascii="Garamond" w:hAnsi="Garamond"/>
          <w:b/>
        </w:rPr>
        <w:lastRenderedPageBreak/>
        <w:t>Table A9</w:t>
      </w:r>
      <w:r w:rsidRPr="007D16CA">
        <w:rPr>
          <w:rFonts w:ascii="Garamond" w:hAnsi="Garamond"/>
          <w:b/>
        </w:rPr>
        <w:t>: Commodity Options and Futures Traded in Major Exchanges</w:t>
      </w:r>
    </w:p>
    <w:tbl>
      <w:tblPr>
        <w:tblW w:w="5094" w:type="pct"/>
        <w:tblCellMar>
          <w:left w:w="14" w:type="dxa"/>
          <w:right w:w="29" w:type="dxa"/>
        </w:tblCellMar>
        <w:tblLook w:val="04A0" w:firstRow="1" w:lastRow="0" w:firstColumn="1" w:lastColumn="0" w:noHBand="0" w:noVBand="1"/>
      </w:tblPr>
      <w:tblGrid>
        <w:gridCol w:w="3405"/>
        <w:gridCol w:w="987"/>
        <w:gridCol w:w="763"/>
        <w:gridCol w:w="909"/>
        <w:gridCol w:w="974"/>
        <w:gridCol w:w="818"/>
        <w:gridCol w:w="925"/>
        <w:gridCol w:w="712"/>
      </w:tblGrid>
      <w:tr w:rsidR="002B2DA3" w:rsidRPr="002F67DE" w:rsidTr="002B2DA3">
        <w:trPr>
          <w:trHeight w:val="219"/>
        </w:trPr>
        <w:tc>
          <w:tcPr>
            <w:tcW w:w="1793"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2B2DA3" w:rsidRPr="002F67DE" w:rsidRDefault="002B2DA3" w:rsidP="002B2DA3">
            <w:pPr>
              <w:jc w:val="cente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Exchange</w:t>
            </w:r>
          </w:p>
        </w:tc>
        <w:tc>
          <w:tcPr>
            <w:tcW w:w="2831" w:type="pct"/>
            <w:gridSpan w:val="6"/>
            <w:tcBorders>
              <w:top w:val="single" w:sz="4" w:space="0" w:color="auto"/>
              <w:left w:val="nil"/>
              <w:bottom w:val="single" w:sz="4" w:space="0" w:color="auto"/>
              <w:right w:val="single" w:sz="4" w:space="0" w:color="auto"/>
            </w:tcBorders>
            <w:shd w:val="clear" w:color="000000" w:fill="B4C6E7"/>
            <w:vAlign w:val="center"/>
            <w:hideMark/>
          </w:tcPr>
          <w:p w:rsidR="002B2DA3" w:rsidRPr="002F67DE" w:rsidRDefault="002B2DA3" w:rsidP="002B2DA3">
            <w:pPr>
              <w:jc w:val="cente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Jan-19</w:t>
            </w:r>
          </w:p>
        </w:tc>
        <w:tc>
          <w:tcPr>
            <w:tcW w:w="375"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2B2DA3" w:rsidRPr="002F67DE" w:rsidRDefault="002B2DA3" w:rsidP="002B2DA3">
            <w:pPr>
              <w:jc w:val="cente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xml:space="preserve">Trading days </w:t>
            </w:r>
            <w:r w:rsidRPr="002F67DE">
              <w:rPr>
                <w:rFonts w:ascii="Garamond" w:eastAsia="Times New Roman" w:hAnsi="Garamond" w:cs="Calibri"/>
                <w:b/>
                <w:bCs/>
                <w:color w:val="000000"/>
                <w:sz w:val="16"/>
                <w:szCs w:val="20"/>
              </w:rPr>
              <w:br/>
              <w:t>Jan 2019</w:t>
            </w:r>
          </w:p>
        </w:tc>
      </w:tr>
      <w:tr w:rsidR="002B2DA3" w:rsidRPr="002F67DE" w:rsidTr="002B2DA3">
        <w:trPr>
          <w:trHeight w:val="219"/>
        </w:trPr>
        <w:tc>
          <w:tcPr>
            <w:tcW w:w="1793" w:type="pct"/>
            <w:vMerge/>
            <w:tcBorders>
              <w:top w:val="single" w:sz="4" w:space="0" w:color="auto"/>
              <w:left w:val="single" w:sz="4" w:space="0" w:color="auto"/>
              <w:bottom w:val="single" w:sz="4" w:space="0" w:color="auto"/>
              <w:right w:val="single" w:sz="4" w:space="0" w:color="auto"/>
            </w:tcBorders>
            <w:vAlign w:val="center"/>
            <w:hideMark/>
          </w:tcPr>
          <w:p w:rsidR="002B2DA3" w:rsidRPr="002F67DE" w:rsidRDefault="002B2DA3" w:rsidP="002B2DA3">
            <w:pPr>
              <w:rPr>
                <w:rFonts w:ascii="Garamond" w:eastAsia="Times New Roman" w:hAnsi="Garamond" w:cs="Calibri"/>
                <w:b/>
                <w:bCs/>
                <w:color w:val="000000"/>
                <w:sz w:val="16"/>
                <w:szCs w:val="20"/>
              </w:rPr>
            </w:pPr>
          </w:p>
        </w:tc>
        <w:tc>
          <w:tcPr>
            <w:tcW w:w="1401" w:type="pct"/>
            <w:gridSpan w:val="3"/>
            <w:tcBorders>
              <w:top w:val="single" w:sz="4" w:space="0" w:color="auto"/>
              <w:left w:val="nil"/>
              <w:bottom w:val="single" w:sz="4" w:space="0" w:color="auto"/>
              <w:right w:val="single" w:sz="4" w:space="0" w:color="auto"/>
            </w:tcBorders>
            <w:shd w:val="clear" w:color="000000" w:fill="B4C6E7"/>
            <w:vAlign w:val="center"/>
            <w:hideMark/>
          </w:tcPr>
          <w:p w:rsidR="002B2DA3" w:rsidRPr="002F67DE" w:rsidRDefault="002B2DA3" w:rsidP="002B2DA3">
            <w:pPr>
              <w:jc w:val="cente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Commodities options</w:t>
            </w:r>
          </w:p>
        </w:tc>
        <w:tc>
          <w:tcPr>
            <w:tcW w:w="1431" w:type="pct"/>
            <w:gridSpan w:val="3"/>
            <w:tcBorders>
              <w:top w:val="single" w:sz="4" w:space="0" w:color="auto"/>
              <w:left w:val="nil"/>
              <w:bottom w:val="single" w:sz="4" w:space="0" w:color="auto"/>
              <w:right w:val="single" w:sz="4" w:space="0" w:color="auto"/>
            </w:tcBorders>
            <w:shd w:val="clear" w:color="000000" w:fill="B4C6E7"/>
            <w:vAlign w:val="center"/>
            <w:hideMark/>
          </w:tcPr>
          <w:p w:rsidR="002B2DA3" w:rsidRPr="002F67DE" w:rsidRDefault="002B2DA3" w:rsidP="002B2DA3">
            <w:pPr>
              <w:jc w:val="cente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Commodities futures</w:t>
            </w:r>
          </w:p>
        </w:tc>
        <w:tc>
          <w:tcPr>
            <w:tcW w:w="375" w:type="pct"/>
            <w:vMerge/>
            <w:tcBorders>
              <w:top w:val="single" w:sz="4" w:space="0" w:color="auto"/>
              <w:left w:val="single" w:sz="4" w:space="0" w:color="auto"/>
              <w:bottom w:val="single" w:sz="4" w:space="0" w:color="auto"/>
              <w:right w:val="single" w:sz="4" w:space="0" w:color="auto"/>
            </w:tcBorders>
            <w:vAlign w:val="center"/>
            <w:hideMark/>
          </w:tcPr>
          <w:p w:rsidR="002B2DA3" w:rsidRPr="002F67DE" w:rsidRDefault="002B2DA3" w:rsidP="002B2DA3">
            <w:pPr>
              <w:rPr>
                <w:rFonts w:ascii="Garamond" w:eastAsia="Times New Roman" w:hAnsi="Garamond" w:cs="Calibri"/>
                <w:b/>
                <w:bCs/>
                <w:color w:val="000000"/>
                <w:sz w:val="16"/>
                <w:szCs w:val="20"/>
              </w:rPr>
            </w:pPr>
          </w:p>
        </w:tc>
      </w:tr>
      <w:tr w:rsidR="002B2DA3" w:rsidRPr="002F67DE" w:rsidTr="002B2DA3">
        <w:trPr>
          <w:trHeight w:val="659"/>
        </w:trPr>
        <w:tc>
          <w:tcPr>
            <w:tcW w:w="1793" w:type="pct"/>
            <w:vMerge/>
            <w:tcBorders>
              <w:top w:val="single" w:sz="4" w:space="0" w:color="auto"/>
              <w:left w:val="single" w:sz="4" w:space="0" w:color="auto"/>
              <w:bottom w:val="single" w:sz="4" w:space="0" w:color="auto"/>
              <w:right w:val="single" w:sz="4" w:space="0" w:color="auto"/>
            </w:tcBorders>
            <w:vAlign w:val="center"/>
            <w:hideMark/>
          </w:tcPr>
          <w:p w:rsidR="002B2DA3" w:rsidRPr="002F67DE" w:rsidRDefault="002B2DA3" w:rsidP="002B2DA3">
            <w:pPr>
              <w:rPr>
                <w:rFonts w:ascii="Garamond" w:eastAsia="Times New Roman" w:hAnsi="Garamond" w:cs="Calibri"/>
                <w:b/>
                <w:bCs/>
                <w:color w:val="000000"/>
                <w:sz w:val="16"/>
                <w:szCs w:val="20"/>
              </w:rPr>
            </w:pPr>
          </w:p>
        </w:tc>
        <w:tc>
          <w:tcPr>
            <w:tcW w:w="520" w:type="pct"/>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Number of</w:t>
            </w:r>
            <w:r w:rsidRPr="002F67DE">
              <w:rPr>
                <w:rFonts w:ascii="Garamond" w:eastAsia="Times New Roman" w:hAnsi="Garamond" w:cs="Calibri"/>
                <w:b/>
                <w:bCs/>
                <w:color w:val="000000"/>
                <w:sz w:val="16"/>
                <w:szCs w:val="20"/>
              </w:rPr>
              <w:br/>
              <w:t>contracts traded</w:t>
            </w:r>
          </w:p>
        </w:tc>
        <w:tc>
          <w:tcPr>
            <w:tcW w:w="402" w:type="pct"/>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Notional</w:t>
            </w:r>
            <w:r w:rsidRPr="002F67DE">
              <w:rPr>
                <w:rFonts w:ascii="Garamond" w:eastAsia="Times New Roman" w:hAnsi="Garamond" w:cs="Calibri"/>
                <w:b/>
                <w:bCs/>
                <w:color w:val="000000"/>
                <w:sz w:val="16"/>
                <w:szCs w:val="20"/>
              </w:rPr>
              <w:br/>
              <w:t>turnover</w:t>
            </w:r>
          </w:p>
        </w:tc>
        <w:tc>
          <w:tcPr>
            <w:tcW w:w="477" w:type="pct"/>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Open</w:t>
            </w:r>
            <w:r w:rsidRPr="002F67DE">
              <w:rPr>
                <w:rFonts w:ascii="Garamond" w:eastAsia="Times New Roman" w:hAnsi="Garamond" w:cs="Calibri"/>
                <w:b/>
                <w:bCs/>
                <w:color w:val="000000"/>
                <w:sz w:val="16"/>
                <w:szCs w:val="20"/>
              </w:rPr>
              <w:br/>
              <w:t>interest</w:t>
            </w:r>
          </w:p>
        </w:tc>
        <w:tc>
          <w:tcPr>
            <w:tcW w:w="513" w:type="pct"/>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Number of</w:t>
            </w:r>
            <w:r w:rsidRPr="002F67DE">
              <w:rPr>
                <w:rFonts w:ascii="Garamond" w:eastAsia="Times New Roman" w:hAnsi="Garamond" w:cs="Calibri"/>
                <w:b/>
                <w:bCs/>
                <w:color w:val="000000"/>
                <w:sz w:val="16"/>
                <w:szCs w:val="20"/>
              </w:rPr>
              <w:br/>
              <w:t>contracts traded</w:t>
            </w:r>
          </w:p>
        </w:tc>
        <w:tc>
          <w:tcPr>
            <w:tcW w:w="431" w:type="pct"/>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Notional</w:t>
            </w:r>
            <w:r w:rsidRPr="002F67DE">
              <w:rPr>
                <w:rFonts w:ascii="Garamond" w:eastAsia="Times New Roman" w:hAnsi="Garamond" w:cs="Calibri"/>
                <w:b/>
                <w:bCs/>
                <w:color w:val="000000"/>
                <w:sz w:val="16"/>
                <w:szCs w:val="20"/>
              </w:rPr>
              <w:br/>
              <w:t>turnover</w:t>
            </w:r>
          </w:p>
        </w:tc>
        <w:tc>
          <w:tcPr>
            <w:tcW w:w="485" w:type="pct"/>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Open</w:t>
            </w:r>
            <w:r w:rsidRPr="002F67DE">
              <w:rPr>
                <w:rFonts w:ascii="Garamond" w:eastAsia="Times New Roman" w:hAnsi="Garamond" w:cs="Calibri"/>
                <w:b/>
                <w:bCs/>
                <w:color w:val="000000"/>
                <w:sz w:val="16"/>
                <w:szCs w:val="20"/>
              </w:rPr>
              <w:br/>
              <w:t>interest</w:t>
            </w:r>
          </w:p>
        </w:tc>
        <w:tc>
          <w:tcPr>
            <w:tcW w:w="375" w:type="pct"/>
            <w:vMerge/>
            <w:tcBorders>
              <w:top w:val="single" w:sz="4" w:space="0" w:color="auto"/>
              <w:left w:val="single" w:sz="4" w:space="0" w:color="auto"/>
              <w:bottom w:val="single" w:sz="4" w:space="0" w:color="auto"/>
              <w:right w:val="single" w:sz="4" w:space="0" w:color="auto"/>
            </w:tcBorders>
            <w:vAlign w:val="center"/>
            <w:hideMark/>
          </w:tcPr>
          <w:p w:rsidR="002B2DA3" w:rsidRPr="002F67DE" w:rsidRDefault="002B2DA3" w:rsidP="002B2DA3">
            <w:pPr>
              <w:rPr>
                <w:rFonts w:ascii="Garamond" w:eastAsia="Times New Roman" w:hAnsi="Garamond" w:cs="Calibri"/>
                <w:b/>
                <w:bCs/>
                <w:color w:val="000000"/>
                <w:sz w:val="16"/>
                <w:szCs w:val="20"/>
              </w:rPr>
            </w:pPr>
          </w:p>
        </w:tc>
      </w:tr>
      <w:tr w:rsidR="002B2DA3" w:rsidRPr="002F67DE" w:rsidTr="002B2DA3">
        <w:trPr>
          <w:trHeight w:val="219"/>
        </w:trPr>
        <w:tc>
          <w:tcPr>
            <w:tcW w:w="5000" w:type="pct"/>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2B2DA3" w:rsidRPr="002F67DE" w:rsidRDefault="002B2DA3" w:rsidP="002B2DA3">
            <w:pP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Americas</w:t>
            </w:r>
          </w:p>
        </w:tc>
      </w:tr>
      <w:tr w:rsidR="002B2DA3" w:rsidRPr="002F67DE" w:rsidTr="002B2DA3">
        <w:trPr>
          <w:trHeight w:val="219"/>
        </w:trPr>
        <w:tc>
          <w:tcPr>
            <w:tcW w:w="1793" w:type="pct"/>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Bolsa de Valores de Colombia</w:t>
            </w:r>
          </w:p>
        </w:tc>
        <w:tc>
          <w:tcPr>
            <w:tcW w:w="520"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402" w:type="pct"/>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477"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513" w:type="pct"/>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12 </w:t>
            </w:r>
          </w:p>
        </w:tc>
        <w:tc>
          <w:tcPr>
            <w:tcW w:w="431" w:type="pct"/>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0 </w:t>
            </w:r>
          </w:p>
        </w:tc>
        <w:tc>
          <w:tcPr>
            <w:tcW w:w="485"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256 </w:t>
            </w:r>
          </w:p>
        </w:tc>
        <w:tc>
          <w:tcPr>
            <w:tcW w:w="37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21 </w:t>
            </w:r>
          </w:p>
        </w:tc>
      </w:tr>
      <w:tr w:rsidR="002B2DA3" w:rsidRPr="002F67DE" w:rsidTr="002B2DA3">
        <w:trPr>
          <w:trHeight w:val="219"/>
        </w:trPr>
        <w:tc>
          <w:tcPr>
            <w:tcW w:w="1793" w:type="pct"/>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CME Group</w:t>
            </w:r>
          </w:p>
        </w:tc>
        <w:tc>
          <w:tcPr>
            <w:tcW w:w="520"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11,080,966 </w:t>
            </w:r>
          </w:p>
        </w:tc>
        <w:tc>
          <w:tcPr>
            <w:tcW w:w="402" w:type="pct"/>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494,791 </w:t>
            </w:r>
          </w:p>
        </w:tc>
        <w:tc>
          <w:tcPr>
            <w:tcW w:w="477"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10,931,600 </w:t>
            </w:r>
          </w:p>
        </w:tc>
        <w:tc>
          <w:tcPr>
            <w:tcW w:w="513" w:type="pct"/>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76,056,808 </w:t>
            </w:r>
          </w:p>
        </w:tc>
        <w:tc>
          <w:tcPr>
            <w:tcW w:w="431" w:type="pct"/>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3,960,980 </w:t>
            </w:r>
          </w:p>
        </w:tc>
        <w:tc>
          <w:tcPr>
            <w:tcW w:w="485"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17,541,000 </w:t>
            </w:r>
          </w:p>
        </w:tc>
        <w:tc>
          <w:tcPr>
            <w:tcW w:w="37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21 </w:t>
            </w:r>
          </w:p>
        </w:tc>
      </w:tr>
      <w:tr w:rsidR="002B2DA3" w:rsidRPr="002F67DE" w:rsidTr="002B2DA3">
        <w:trPr>
          <w:trHeight w:val="219"/>
        </w:trPr>
        <w:tc>
          <w:tcPr>
            <w:tcW w:w="1793" w:type="pct"/>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ICE Futures US</w:t>
            </w:r>
          </w:p>
        </w:tc>
        <w:tc>
          <w:tcPr>
            <w:tcW w:w="520"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1,142,679 </w:t>
            </w:r>
          </w:p>
        </w:tc>
        <w:tc>
          <w:tcPr>
            <w:tcW w:w="402" w:type="pct"/>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27,697 </w:t>
            </w:r>
          </w:p>
        </w:tc>
        <w:tc>
          <w:tcPr>
            <w:tcW w:w="477"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1,316,260 </w:t>
            </w:r>
          </w:p>
        </w:tc>
        <w:tc>
          <w:tcPr>
            <w:tcW w:w="513" w:type="pct"/>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6,328,584 </w:t>
            </w:r>
          </w:p>
        </w:tc>
        <w:tc>
          <w:tcPr>
            <w:tcW w:w="431" w:type="pct"/>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130,975 </w:t>
            </w:r>
          </w:p>
        </w:tc>
        <w:tc>
          <w:tcPr>
            <w:tcW w:w="485"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1,951,500 </w:t>
            </w:r>
          </w:p>
        </w:tc>
        <w:tc>
          <w:tcPr>
            <w:tcW w:w="37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21 </w:t>
            </w:r>
          </w:p>
        </w:tc>
      </w:tr>
      <w:tr w:rsidR="002B2DA3" w:rsidRPr="002F67DE" w:rsidTr="002B2DA3">
        <w:trPr>
          <w:trHeight w:val="219"/>
        </w:trPr>
        <w:tc>
          <w:tcPr>
            <w:tcW w:w="1793" w:type="pct"/>
            <w:tcBorders>
              <w:top w:val="single" w:sz="4" w:space="0" w:color="auto"/>
              <w:left w:val="single" w:sz="4" w:space="0" w:color="auto"/>
              <w:bottom w:val="single" w:sz="4" w:space="0" w:color="auto"/>
              <w:right w:val="nil"/>
            </w:tcBorders>
            <w:shd w:val="clear" w:color="000000" w:fill="B4C6E7"/>
            <w:vAlign w:val="center"/>
            <w:hideMark/>
          </w:tcPr>
          <w:p w:rsidR="002B2DA3" w:rsidRPr="002F67DE" w:rsidRDefault="002B2DA3" w:rsidP="002B2DA3">
            <w:pP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Total region</w:t>
            </w:r>
          </w:p>
        </w:tc>
        <w:tc>
          <w:tcPr>
            <w:tcW w:w="52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xml:space="preserve">     12,223,645 </w:t>
            </w:r>
          </w:p>
        </w:tc>
        <w:tc>
          <w:tcPr>
            <w:tcW w:w="402" w:type="pct"/>
            <w:tcBorders>
              <w:top w:val="single" w:sz="4" w:space="0" w:color="auto"/>
              <w:left w:val="nil"/>
              <w:bottom w:val="single" w:sz="4" w:space="0" w:color="auto"/>
              <w:right w:val="nil"/>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c>
          <w:tcPr>
            <w:tcW w:w="47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c>
          <w:tcPr>
            <w:tcW w:w="513" w:type="pct"/>
            <w:tcBorders>
              <w:top w:val="single" w:sz="4" w:space="0" w:color="auto"/>
              <w:left w:val="nil"/>
              <w:bottom w:val="single" w:sz="4" w:space="0" w:color="auto"/>
              <w:right w:val="nil"/>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xml:space="preserve">    82,385,404 </w:t>
            </w:r>
          </w:p>
        </w:tc>
        <w:tc>
          <w:tcPr>
            <w:tcW w:w="431" w:type="pct"/>
            <w:tcBorders>
              <w:top w:val="single" w:sz="4" w:space="0" w:color="auto"/>
              <w:left w:val="single" w:sz="4" w:space="0" w:color="auto"/>
              <w:bottom w:val="single" w:sz="4" w:space="0" w:color="auto"/>
              <w:right w:val="nil"/>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c>
          <w:tcPr>
            <w:tcW w:w="48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c>
          <w:tcPr>
            <w:tcW w:w="375" w:type="pct"/>
            <w:tcBorders>
              <w:top w:val="single" w:sz="4" w:space="0" w:color="auto"/>
              <w:left w:val="nil"/>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r>
      <w:tr w:rsidR="002B2DA3" w:rsidRPr="002F67DE" w:rsidTr="002B2DA3">
        <w:trPr>
          <w:trHeight w:val="219"/>
        </w:trPr>
        <w:tc>
          <w:tcPr>
            <w:tcW w:w="5000" w:type="pct"/>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2B2DA3" w:rsidRPr="002F67DE" w:rsidRDefault="002B2DA3" w:rsidP="002B2DA3">
            <w:pP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Asia - Pacific</w:t>
            </w:r>
          </w:p>
        </w:tc>
      </w:tr>
      <w:tr w:rsidR="002B2DA3" w:rsidRPr="002F67DE" w:rsidTr="002B2DA3">
        <w:trPr>
          <w:trHeight w:val="219"/>
        </w:trPr>
        <w:tc>
          <w:tcPr>
            <w:tcW w:w="1793" w:type="pct"/>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Australian Securities Exchange</w:t>
            </w:r>
          </w:p>
        </w:tc>
        <w:tc>
          <w:tcPr>
            <w:tcW w:w="520" w:type="pct"/>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7,133 </w:t>
            </w:r>
          </w:p>
        </w:tc>
        <w:tc>
          <w:tcPr>
            <w:tcW w:w="402"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515 </w:t>
            </w:r>
          </w:p>
        </w:tc>
        <w:tc>
          <w:tcPr>
            <w:tcW w:w="477" w:type="pct"/>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27,097 </w:t>
            </w:r>
          </w:p>
        </w:tc>
        <w:tc>
          <w:tcPr>
            <w:tcW w:w="513"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41,567 </w:t>
            </w:r>
          </w:p>
        </w:tc>
        <w:tc>
          <w:tcPr>
            <w:tcW w:w="431"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1,910 </w:t>
            </w:r>
          </w:p>
        </w:tc>
        <w:tc>
          <w:tcPr>
            <w:tcW w:w="48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80,096 </w:t>
            </w:r>
          </w:p>
        </w:tc>
        <w:tc>
          <w:tcPr>
            <w:tcW w:w="37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22 </w:t>
            </w:r>
          </w:p>
        </w:tc>
      </w:tr>
      <w:tr w:rsidR="002B2DA3" w:rsidRPr="002F67DE" w:rsidTr="002B2DA3">
        <w:trPr>
          <w:trHeight w:val="219"/>
        </w:trPr>
        <w:tc>
          <w:tcPr>
            <w:tcW w:w="1793" w:type="pct"/>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Bursa Malaysia Derivatives</w:t>
            </w:r>
          </w:p>
        </w:tc>
        <w:tc>
          <w:tcPr>
            <w:tcW w:w="520" w:type="pct"/>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2,800 </w:t>
            </w:r>
          </w:p>
        </w:tc>
        <w:tc>
          <w:tcPr>
            <w:tcW w:w="402"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477" w:type="pct"/>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10,900 </w:t>
            </w:r>
          </w:p>
        </w:tc>
        <w:tc>
          <w:tcPr>
            <w:tcW w:w="513"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671,019 </w:t>
            </w:r>
          </w:p>
        </w:tc>
        <w:tc>
          <w:tcPr>
            <w:tcW w:w="431"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9,072 </w:t>
            </w:r>
          </w:p>
        </w:tc>
        <w:tc>
          <w:tcPr>
            <w:tcW w:w="48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188,800 </w:t>
            </w:r>
          </w:p>
        </w:tc>
        <w:tc>
          <w:tcPr>
            <w:tcW w:w="37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21 </w:t>
            </w:r>
          </w:p>
        </w:tc>
      </w:tr>
      <w:tr w:rsidR="002B2DA3" w:rsidRPr="002F67DE" w:rsidTr="002B2DA3">
        <w:trPr>
          <w:trHeight w:val="219"/>
        </w:trPr>
        <w:tc>
          <w:tcPr>
            <w:tcW w:w="1793" w:type="pct"/>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Dalian Commodity Exchange</w:t>
            </w:r>
          </w:p>
        </w:tc>
        <w:tc>
          <w:tcPr>
            <w:tcW w:w="520" w:type="pct"/>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695,382 </w:t>
            </w:r>
          </w:p>
        </w:tc>
        <w:tc>
          <w:tcPr>
            <w:tcW w:w="402"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67 </w:t>
            </w:r>
          </w:p>
        </w:tc>
        <w:tc>
          <w:tcPr>
            <w:tcW w:w="477" w:type="pct"/>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272,365 </w:t>
            </w:r>
          </w:p>
        </w:tc>
        <w:tc>
          <w:tcPr>
            <w:tcW w:w="513"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76,023,072 </w:t>
            </w:r>
          </w:p>
        </w:tc>
        <w:tc>
          <w:tcPr>
            <w:tcW w:w="431"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611,878 </w:t>
            </w:r>
          </w:p>
        </w:tc>
        <w:tc>
          <w:tcPr>
            <w:tcW w:w="48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4,911,490 </w:t>
            </w:r>
          </w:p>
        </w:tc>
        <w:tc>
          <w:tcPr>
            <w:tcW w:w="37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15 </w:t>
            </w:r>
          </w:p>
        </w:tc>
      </w:tr>
      <w:tr w:rsidR="002B2DA3" w:rsidRPr="002F67DE" w:rsidTr="002B2DA3">
        <w:trPr>
          <w:trHeight w:val="219"/>
        </w:trPr>
        <w:tc>
          <w:tcPr>
            <w:tcW w:w="1793" w:type="pct"/>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Hong Kong Exchanges and Clearing</w:t>
            </w:r>
          </w:p>
        </w:tc>
        <w:tc>
          <w:tcPr>
            <w:tcW w:w="520" w:type="pct"/>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402"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477" w:type="pct"/>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513"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31,623 </w:t>
            </w:r>
          </w:p>
        </w:tc>
        <w:tc>
          <w:tcPr>
            <w:tcW w:w="431"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1,303 </w:t>
            </w:r>
          </w:p>
        </w:tc>
        <w:tc>
          <w:tcPr>
            <w:tcW w:w="48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1,258 </w:t>
            </w:r>
          </w:p>
        </w:tc>
        <w:tc>
          <w:tcPr>
            <w:tcW w:w="37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22 </w:t>
            </w:r>
          </w:p>
        </w:tc>
      </w:tr>
      <w:tr w:rsidR="002B2DA3" w:rsidRPr="002F67DE" w:rsidTr="002B2DA3">
        <w:trPr>
          <w:trHeight w:val="219"/>
        </w:trPr>
        <w:tc>
          <w:tcPr>
            <w:tcW w:w="1793" w:type="pct"/>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Indonesia Commodity and Derivatives Exchange</w:t>
            </w:r>
          </w:p>
        </w:tc>
        <w:tc>
          <w:tcPr>
            <w:tcW w:w="520" w:type="pct"/>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402"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477" w:type="pct"/>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513"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14,712 </w:t>
            </w:r>
          </w:p>
        </w:tc>
        <w:tc>
          <w:tcPr>
            <w:tcW w:w="431"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48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134 </w:t>
            </w:r>
          </w:p>
        </w:tc>
        <w:tc>
          <w:tcPr>
            <w:tcW w:w="37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w:t>
            </w:r>
          </w:p>
        </w:tc>
      </w:tr>
      <w:tr w:rsidR="002B2DA3" w:rsidRPr="002F67DE" w:rsidTr="002B2DA3">
        <w:trPr>
          <w:trHeight w:val="219"/>
        </w:trPr>
        <w:tc>
          <w:tcPr>
            <w:tcW w:w="1793" w:type="pct"/>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Multi Commodity Exchange of India </w:t>
            </w:r>
          </w:p>
        </w:tc>
        <w:tc>
          <w:tcPr>
            <w:tcW w:w="520" w:type="pct"/>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162,602 </w:t>
            </w:r>
          </w:p>
        </w:tc>
        <w:tc>
          <w:tcPr>
            <w:tcW w:w="402"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1,478 </w:t>
            </w:r>
          </w:p>
        </w:tc>
        <w:tc>
          <w:tcPr>
            <w:tcW w:w="477" w:type="pct"/>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9,625 </w:t>
            </w:r>
          </w:p>
        </w:tc>
        <w:tc>
          <w:tcPr>
            <w:tcW w:w="513"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26,590,633 </w:t>
            </w:r>
          </w:p>
        </w:tc>
        <w:tc>
          <w:tcPr>
            <w:tcW w:w="431"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85,917 </w:t>
            </w:r>
          </w:p>
        </w:tc>
        <w:tc>
          <w:tcPr>
            <w:tcW w:w="48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261,376 </w:t>
            </w:r>
          </w:p>
        </w:tc>
        <w:tc>
          <w:tcPr>
            <w:tcW w:w="37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23 </w:t>
            </w:r>
          </w:p>
        </w:tc>
      </w:tr>
      <w:tr w:rsidR="002B2DA3" w:rsidRPr="002F67DE" w:rsidTr="002B2DA3">
        <w:trPr>
          <w:trHeight w:val="219"/>
        </w:trPr>
        <w:tc>
          <w:tcPr>
            <w:tcW w:w="1793" w:type="pct"/>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NZX Limited</w:t>
            </w:r>
          </w:p>
        </w:tc>
        <w:tc>
          <w:tcPr>
            <w:tcW w:w="520" w:type="pct"/>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7,556 </w:t>
            </w:r>
          </w:p>
        </w:tc>
        <w:tc>
          <w:tcPr>
            <w:tcW w:w="402"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23 </w:t>
            </w:r>
          </w:p>
        </w:tc>
        <w:tc>
          <w:tcPr>
            <w:tcW w:w="477" w:type="pct"/>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14,472 </w:t>
            </w:r>
          </w:p>
        </w:tc>
        <w:tc>
          <w:tcPr>
            <w:tcW w:w="513"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18,748 </w:t>
            </w:r>
          </w:p>
        </w:tc>
        <w:tc>
          <w:tcPr>
            <w:tcW w:w="431"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57 </w:t>
            </w:r>
          </w:p>
        </w:tc>
        <w:tc>
          <w:tcPr>
            <w:tcW w:w="48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52,703 </w:t>
            </w:r>
          </w:p>
        </w:tc>
        <w:tc>
          <w:tcPr>
            <w:tcW w:w="37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21 </w:t>
            </w:r>
          </w:p>
        </w:tc>
      </w:tr>
      <w:tr w:rsidR="002B2DA3" w:rsidRPr="002F67DE" w:rsidTr="002B2DA3">
        <w:trPr>
          <w:trHeight w:val="219"/>
        </w:trPr>
        <w:tc>
          <w:tcPr>
            <w:tcW w:w="1793" w:type="pct"/>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Shanghai Futures Exchange</w:t>
            </w:r>
          </w:p>
        </w:tc>
        <w:tc>
          <w:tcPr>
            <w:tcW w:w="520" w:type="pct"/>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402"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477" w:type="pct"/>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513"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107,256,888 </w:t>
            </w:r>
          </w:p>
        </w:tc>
        <w:tc>
          <w:tcPr>
            <w:tcW w:w="431"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998,813 </w:t>
            </w:r>
          </w:p>
        </w:tc>
        <w:tc>
          <w:tcPr>
            <w:tcW w:w="48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4,405,480 </w:t>
            </w:r>
          </w:p>
        </w:tc>
        <w:tc>
          <w:tcPr>
            <w:tcW w:w="37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w:t>
            </w:r>
          </w:p>
        </w:tc>
      </w:tr>
      <w:tr w:rsidR="002B2DA3" w:rsidRPr="002F67DE" w:rsidTr="002B2DA3">
        <w:trPr>
          <w:trHeight w:val="219"/>
        </w:trPr>
        <w:tc>
          <w:tcPr>
            <w:tcW w:w="1793" w:type="pct"/>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Singapore Exchange</w:t>
            </w:r>
          </w:p>
        </w:tc>
        <w:tc>
          <w:tcPr>
            <w:tcW w:w="520" w:type="pct"/>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358,170 </w:t>
            </w:r>
          </w:p>
        </w:tc>
        <w:tc>
          <w:tcPr>
            <w:tcW w:w="402"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477" w:type="pct"/>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759,522 </w:t>
            </w:r>
          </w:p>
        </w:tc>
        <w:tc>
          <w:tcPr>
            <w:tcW w:w="513"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1,673,620 </w:t>
            </w:r>
          </w:p>
        </w:tc>
        <w:tc>
          <w:tcPr>
            <w:tcW w:w="431"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48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723,082 </w:t>
            </w:r>
          </w:p>
        </w:tc>
        <w:tc>
          <w:tcPr>
            <w:tcW w:w="37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w:t>
            </w:r>
          </w:p>
        </w:tc>
      </w:tr>
      <w:tr w:rsidR="002B2DA3" w:rsidRPr="002F67DE" w:rsidTr="002B2DA3">
        <w:trPr>
          <w:trHeight w:val="219"/>
        </w:trPr>
        <w:tc>
          <w:tcPr>
            <w:tcW w:w="1793" w:type="pct"/>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TAIFEX</w:t>
            </w:r>
          </w:p>
        </w:tc>
        <w:tc>
          <w:tcPr>
            <w:tcW w:w="520" w:type="pct"/>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4,340 </w:t>
            </w:r>
          </w:p>
        </w:tc>
        <w:tc>
          <w:tcPr>
            <w:tcW w:w="402"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34 </w:t>
            </w:r>
          </w:p>
        </w:tc>
        <w:tc>
          <w:tcPr>
            <w:tcW w:w="477" w:type="pct"/>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2,364 </w:t>
            </w:r>
          </w:p>
        </w:tc>
        <w:tc>
          <w:tcPr>
            <w:tcW w:w="513"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18,901 </w:t>
            </w:r>
          </w:p>
        </w:tc>
        <w:tc>
          <w:tcPr>
            <w:tcW w:w="431"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272 </w:t>
            </w:r>
          </w:p>
        </w:tc>
        <w:tc>
          <w:tcPr>
            <w:tcW w:w="48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1,946 </w:t>
            </w:r>
          </w:p>
        </w:tc>
        <w:tc>
          <w:tcPr>
            <w:tcW w:w="37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21 </w:t>
            </w:r>
          </w:p>
        </w:tc>
      </w:tr>
      <w:tr w:rsidR="002B2DA3" w:rsidRPr="002F67DE" w:rsidTr="002B2DA3">
        <w:trPr>
          <w:trHeight w:val="219"/>
        </w:trPr>
        <w:tc>
          <w:tcPr>
            <w:tcW w:w="1793" w:type="pct"/>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Thailand Futures Exchange</w:t>
            </w:r>
          </w:p>
        </w:tc>
        <w:tc>
          <w:tcPr>
            <w:tcW w:w="520" w:type="pct"/>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402"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477" w:type="pct"/>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513"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291,456 </w:t>
            </w:r>
          </w:p>
        </w:tc>
        <w:tc>
          <w:tcPr>
            <w:tcW w:w="431"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48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39,169 </w:t>
            </w:r>
          </w:p>
        </w:tc>
        <w:tc>
          <w:tcPr>
            <w:tcW w:w="37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22 </w:t>
            </w:r>
          </w:p>
        </w:tc>
      </w:tr>
      <w:tr w:rsidR="002B2DA3" w:rsidRPr="002F67DE" w:rsidTr="002B2DA3">
        <w:trPr>
          <w:trHeight w:val="219"/>
        </w:trPr>
        <w:tc>
          <w:tcPr>
            <w:tcW w:w="1793" w:type="pct"/>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Zhengzhou Commodity Exchange</w:t>
            </w:r>
          </w:p>
        </w:tc>
        <w:tc>
          <w:tcPr>
            <w:tcW w:w="520"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607,952 </w:t>
            </w:r>
          </w:p>
        </w:tc>
        <w:tc>
          <w:tcPr>
            <w:tcW w:w="402" w:type="pct"/>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98 </w:t>
            </w:r>
          </w:p>
        </w:tc>
        <w:tc>
          <w:tcPr>
            <w:tcW w:w="477"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127,085 </w:t>
            </w:r>
          </w:p>
        </w:tc>
        <w:tc>
          <w:tcPr>
            <w:tcW w:w="513" w:type="pct"/>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78,731,237 </w:t>
            </w:r>
          </w:p>
        </w:tc>
        <w:tc>
          <w:tcPr>
            <w:tcW w:w="431" w:type="pct"/>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416,297 </w:t>
            </w:r>
          </w:p>
        </w:tc>
        <w:tc>
          <w:tcPr>
            <w:tcW w:w="485"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2,992,660 </w:t>
            </w:r>
          </w:p>
        </w:tc>
        <w:tc>
          <w:tcPr>
            <w:tcW w:w="37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22 </w:t>
            </w:r>
          </w:p>
        </w:tc>
      </w:tr>
      <w:tr w:rsidR="002B2DA3" w:rsidRPr="002F67DE" w:rsidTr="002B2DA3">
        <w:trPr>
          <w:trHeight w:val="219"/>
        </w:trPr>
        <w:tc>
          <w:tcPr>
            <w:tcW w:w="1793" w:type="pct"/>
            <w:tcBorders>
              <w:top w:val="single" w:sz="4" w:space="0" w:color="auto"/>
              <w:left w:val="single" w:sz="4" w:space="0" w:color="auto"/>
              <w:bottom w:val="single" w:sz="4" w:space="0" w:color="auto"/>
              <w:right w:val="nil"/>
            </w:tcBorders>
            <w:shd w:val="clear" w:color="000000" w:fill="B4C6E7"/>
            <w:vAlign w:val="center"/>
            <w:hideMark/>
          </w:tcPr>
          <w:p w:rsidR="002B2DA3" w:rsidRPr="002F67DE" w:rsidRDefault="002B2DA3" w:rsidP="002B2DA3">
            <w:pP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Total region</w:t>
            </w:r>
          </w:p>
        </w:tc>
        <w:tc>
          <w:tcPr>
            <w:tcW w:w="52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xml:space="preserve">       1,845,935 </w:t>
            </w:r>
          </w:p>
        </w:tc>
        <w:tc>
          <w:tcPr>
            <w:tcW w:w="402" w:type="pct"/>
            <w:tcBorders>
              <w:top w:val="single" w:sz="4" w:space="0" w:color="auto"/>
              <w:left w:val="nil"/>
              <w:bottom w:val="single" w:sz="4" w:space="0" w:color="auto"/>
              <w:right w:val="nil"/>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c>
          <w:tcPr>
            <w:tcW w:w="47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c>
          <w:tcPr>
            <w:tcW w:w="513" w:type="pct"/>
            <w:tcBorders>
              <w:top w:val="single" w:sz="4" w:space="0" w:color="auto"/>
              <w:left w:val="nil"/>
              <w:bottom w:val="single" w:sz="4" w:space="0" w:color="auto"/>
              <w:right w:val="nil"/>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xml:space="preserve">   291,363,476 </w:t>
            </w:r>
          </w:p>
        </w:tc>
        <w:tc>
          <w:tcPr>
            <w:tcW w:w="431" w:type="pct"/>
            <w:tcBorders>
              <w:top w:val="single" w:sz="4" w:space="0" w:color="auto"/>
              <w:left w:val="single" w:sz="4" w:space="0" w:color="auto"/>
              <w:bottom w:val="single" w:sz="4" w:space="0" w:color="auto"/>
              <w:right w:val="nil"/>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c>
          <w:tcPr>
            <w:tcW w:w="48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c>
          <w:tcPr>
            <w:tcW w:w="375" w:type="pct"/>
            <w:tcBorders>
              <w:top w:val="single" w:sz="4" w:space="0" w:color="auto"/>
              <w:left w:val="nil"/>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r>
      <w:tr w:rsidR="002B2DA3" w:rsidRPr="002F67DE" w:rsidTr="002B2DA3">
        <w:trPr>
          <w:trHeight w:val="219"/>
        </w:trPr>
        <w:tc>
          <w:tcPr>
            <w:tcW w:w="5000" w:type="pct"/>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2B2DA3" w:rsidRPr="002F67DE" w:rsidRDefault="002B2DA3" w:rsidP="002B2DA3">
            <w:pP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Europe - Africa - Middle East</w:t>
            </w:r>
          </w:p>
        </w:tc>
      </w:tr>
      <w:tr w:rsidR="002B2DA3" w:rsidRPr="002F67DE" w:rsidTr="002B2DA3">
        <w:trPr>
          <w:trHeight w:val="219"/>
        </w:trPr>
        <w:tc>
          <w:tcPr>
            <w:tcW w:w="1793" w:type="pct"/>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Borsa Istanbul</w:t>
            </w:r>
          </w:p>
        </w:tc>
        <w:tc>
          <w:tcPr>
            <w:tcW w:w="520" w:type="pct"/>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402"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477" w:type="pct"/>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513"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3,170,525 </w:t>
            </w:r>
          </w:p>
        </w:tc>
        <w:tc>
          <w:tcPr>
            <w:tcW w:w="431"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549 </w:t>
            </w:r>
          </w:p>
        </w:tc>
        <w:tc>
          <w:tcPr>
            <w:tcW w:w="48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533,461 </w:t>
            </w:r>
          </w:p>
        </w:tc>
        <w:tc>
          <w:tcPr>
            <w:tcW w:w="37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22 </w:t>
            </w:r>
          </w:p>
        </w:tc>
      </w:tr>
      <w:tr w:rsidR="002B2DA3" w:rsidRPr="002F67DE" w:rsidTr="002B2DA3">
        <w:trPr>
          <w:trHeight w:val="219"/>
        </w:trPr>
        <w:tc>
          <w:tcPr>
            <w:tcW w:w="1793" w:type="pct"/>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Dubai Gold &amp; Commodities Exchange</w:t>
            </w:r>
          </w:p>
        </w:tc>
        <w:tc>
          <w:tcPr>
            <w:tcW w:w="520" w:type="pct"/>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402"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477" w:type="pct"/>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513"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32,228 </w:t>
            </w:r>
          </w:p>
        </w:tc>
        <w:tc>
          <w:tcPr>
            <w:tcW w:w="431"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394 </w:t>
            </w:r>
          </w:p>
        </w:tc>
        <w:tc>
          <w:tcPr>
            <w:tcW w:w="48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1,815 </w:t>
            </w:r>
          </w:p>
        </w:tc>
        <w:tc>
          <w:tcPr>
            <w:tcW w:w="37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22 </w:t>
            </w:r>
          </w:p>
        </w:tc>
      </w:tr>
      <w:tr w:rsidR="002B2DA3" w:rsidRPr="002F67DE" w:rsidTr="002B2DA3">
        <w:trPr>
          <w:trHeight w:val="219"/>
        </w:trPr>
        <w:tc>
          <w:tcPr>
            <w:tcW w:w="1793" w:type="pct"/>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EUREX</w:t>
            </w:r>
          </w:p>
        </w:tc>
        <w:tc>
          <w:tcPr>
            <w:tcW w:w="520" w:type="pct"/>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353,847 </w:t>
            </w:r>
          </w:p>
        </w:tc>
        <w:tc>
          <w:tcPr>
            <w:tcW w:w="402"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1,069 </w:t>
            </w:r>
          </w:p>
        </w:tc>
        <w:tc>
          <w:tcPr>
            <w:tcW w:w="477" w:type="pct"/>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1,151,340 </w:t>
            </w:r>
          </w:p>
        </w:tc>
        <w:tc>
          <w:tcPr>
            <w:tcW w:w="513"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392,321 </w:t>
            </w:r>
          </w:p>
        </w:tc>
        <w:tc>
          <w:tcPr>
            <w:tcW w:w="431"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20,713 </w:t>
            </w:r>
          </w:p>
        </w:tc>
        <w:tc>
          <w:tcPr>
            <w:tcW w:w="48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1,766,030 </w:t>
            </w:r>
          </w:p>
        </w:tc>
        <w:tc>
          <w:tcPr>
            <w:tcW w:w="37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22 </w:t>
            </w:r>
          </w:p>
        </w:tc>
      </w:tr>
      <w:tr w:rsidR="002B2DA3" w:rsidRPr="002F67DE" w:rsidTr="002B2DA3">
        <w:trPr>
          <w:trHeight w:val="219"/>
        </w:trPr>
        <w:tc>
          <w:tcPr>
            <w:tcW w:w="1793" w:type="pct"/>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Euronext</w:t>
            </w:r>
          </w:p>
        </w:tc>
        <w:tc>
          <w:tcPr>
            <w:tcW w:w="520" w:type="pct"/>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53,985 </w:t>
            </w:r>
          </w:p>
        </w:tc>
        <w:tc>
          <w:tcPr>
            <w:tcW w:w="402"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666 </w:t>
            </w:r>
          </w:p>
        </w:tc>
        <w:tc>
          <w:tcPr>
            <w:tcW w:w="477" w:type="pct"/>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225,099 </w:t>
            </w:r>
          </w:p>
        </w:tc>
        <w:tc>
          <w:tcPr>
            <w:tcW w:w="513"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848,801 </w:t>
            </w:r>
          </w:p>
        </w:tc>
        <w:tc>
          <w:tcPr>
            <w:tcW w:w="431"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12,133 </w:t>
            </w:r>
          </w:p>
        </w:tc>
        <w:tc>
          <w:tcPr>
            <w:tcW w:w="48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457,904 </w:t>
            </w:r>
          </w:p>
        </w:tc>
        <w:tc>
          <w:tcPr>
            <w:tcW w:w="37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22 </w:t>
            </w:r>
          </w:p>
        </w:tc>
      </w:tr>
      <w:tr w:rsidR="002B2DA3" w:rsidRPr="002F67DE" w:rsidTr="002B2DA3">
        <w:trPr>
          <w:trHeight w:val="219"/>
        </w:trPr>
        <w:tc>
          <w:tcPr>
            <w:tcW w:w="1793" w:type="pct"/>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Johannesburg Stock Exchange</w:t>
            </w:r>
          </w:p>
        </w:tc>
        <w:tc>
          <w:tcPr>
            <w:tcW w:w="520" w:type="pct"/>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50,592 </w:t>
            </w:r>
          </w:p>
        </w:tc>
        <w:tc>
          <w:tcPr>
            <w:tcW w:w="402"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130 </w:t>
            </w:r>
          </w:p>
        </w:tc>
        <w:tc>
          <w:tcPr>
            <w:tcW w:w="477" w:type="pct"/>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85,119 </w:t>
            </w:r>
          </w:p>
        </w:tc>
        <w:tc>
          <w:tcPr>
            <w:tcW w:w="513"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206,184 </w:t>
            </w:r>
          </w:p>
        </w:tc>
        <w:tc>
          <w:tcPr>
            <w:tcW w:w="431"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4,206 </w:t>
            </w:r>
          </w:p>
        </w:tc>
        <w:tc>
          <w:tcPr>
            <w:tcW w:w="48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99,294 </w:t>
            </w:r>
          </w:p>
        </w:tc>
        <w:tc>
          <w:tcPr>
            <w:tcW w:w="37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22 </w:t>
            </w:r>
          </w:p>
        </w:tc>
      </w:tr>
      <w:tr w:rsidR="002B2DA3" w:rsidRPr="002F67DE" w:rsidTr="002B2DA3">
        <w:trPr>
          <w:trHeight w:val="219"/>
        </w:trPr>
        <w:tc>
          <w:tcPr>
            <w:tcW w:w="1793" w:type="pct"/>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LSE Group</w:t>
            </w:r>
          </w:p>
        </w:tc>
        <w:tc>
          <w:tcPr>
            <w:tcW w:w="520" w:type="pct"/>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402"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477" w:type="pct"/>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NA </w:t>
            </w:r>
          </w:p>
        </w:tc>
        <w:tc>
          <w:tcPr>
            <w:tcW w:w="513"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125 </w:t>
            </w:r>
          </w:p>
        </w:tc>
        <w:tc>
          <w:tcPr>
            <w:tcW w:w="431"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7 </w:t>
            </w:r>
          </w:p>
        </w:tc>
        <w:tc>
          <w:tcPr>
            <w:tcW w:w="48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275 </w:t>
            </w:r>
          </w:p>
        </w:tc>
        <w:tc>
          <w:tcPr>
            <w:tcW w:w="37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22 </w:t>
            </w:r>
          </w:p>
        </w:tc>
      </w:tr>
      <w:tr w:rsidR="002B2DA3" w:rsidRPr="002F67DE" w:rsidTr="002B2DA3">
        <w:trPr>
          <w:trHeight w:val="219"/>
        </w:trPr>
        <w:tc>
          <w:tcPr>
            <w:tcW w:w="1793" w:type="pct"/>
            <w:tcBorders>
              <w:top w:val="nil"/>
              <w:left w:val="single" w:sz="4" w:space="0" w:color="auto"/>
              <w:bottom w:val="nil"/>
              <w:right w:val="nil"/>
            </w:tcBorders>
            <w:shd w:val="clear" w:color="000000" w:fill="B4C6E7"/>
            <w:vAlign w:val="center"/>
            <w:hideMark/>
          </w:tcPr>
          <w:p w:rsidR="002B2DA3" w:rsidRPr="002F67DE" w:rsidRDefault="002B2DA3" w:rsidP="002B2DA3">
            <w:pPr>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Moscow Exchange</w:t>
            </w:r>
          </w:p>
        </w:tc>
        <w:tc>
          <w:tcPr>
            <w:tcW w:w="520" w:type="pct"/>
            <w:tcBorders>
              <w:top w:val="nil"/>
              <w:left w:val="single" w:sz="4" w:space="0" w:color="auto"/>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457,867 </w:t>
            </w:r>
          </w:p>
        </w:tc>
        <w:tc>
          <w:tcPr>
            <w:tcW w:w="402"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273 </w:t>
            </w:r>
          </w:p>
        </w:tc>
        <w:tc>
          <w:tcPr>
            <w:tcW w:w="477" w:type="pct"/>
            <w:tcBorders>
              <w:top w:val="nil"/>
              <w:left w:val="nil"/>
              <w:bottom w:val="nil"/>
              <w:right w:val="nil"/>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239,122 </w:t>
            </w:r>
          </w:p>
        </w:tc>
        <w:tc>
          <w:tcPr>
            <w:tcW w:w="513" w:type="pct"/>
            <w:tcBorders>
              <w:top w:val="nil"/>
              <w:left w:val="single" w:sz="4" w:space="0" w:color="auto"/>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45,434,691 </w:t>
            </w:r>
          </w:p>
        </w:tc>
        <w:tc>
          <w:tcPr>
            <w:tcW w:w="431"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28,201 </w:t>
            </w:r>
          </w:p>
        </w:tc>
        <w:tc>
          <w:tcPr>
            <w:tcW w:w="48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3,150,450 </w:t>
            </w:r>
          </w:p>
        </w:tc>
        <w:tc>
          <w:tcPr>
            <w:tcW w:w="375" w:type="pct"/>
            <w:tcBorders>
              <w:top w:val="nil"/>
              <w:left w:val="nil"/>
              <w:bottom w:val="nil"/>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color w:val="000000"/>
                <w:sz w:val="16"/>
                <w:szCs w:val="20"/>
              </w:rPr>
            </w:pPr>
            <w:r w:rsidRPr="002F67DE">
              <w:rPr>
                <w:rFonts w:ascii="Garamond" w:eastAsia="Times New Roman" w:hAnsi="Garamond" w:cs="Calibri"/>
                <w:color w:val="000000"/>
                <w:sz w:val="16"/>
                <w:szCs w:val="20"/>
              </w:rPr>
              <w:t xml:space="preserve">          20 </w:t>
            </w:r>
          </w:p>
        </w:tc>
      </w:tr>
      <w:tr w:rsidR="002B2DA3" w:rsidRPr="002F67DE" w:rsidTr="002B2DA3">
        <w:trPr>
          <w:trHeight w:val="219"/>
        </w:trPr>
        <w:tc>
          <w:tcPr>
            <w:tcW w:w="1793" w:type="pct"/>
            <w:tcBorders>
              <w:top w:val="single" w:sz="4" w:space="0" w:color="auto"/>
              <w:left w:val="single" w:sz="4" w:space="0" w:color="auto"/>
              <w:bottom w:val="single" w:sz="4" w:space="0" w:color="auto"/>
              <w:right w:val="nil"/>
            </w:tcBorders>
            <w:shd w:val="clear" w:color="000000" w:fill="B4C6E7"/>
            <w:vAlign w:val="center"/>
            <w:hideMark/>
          </w:tcPr>
          <w:p w:rsidR="002B2DA3" w:rsidRPr="002F67DE" w:rsidRDefault="002B2DA3" w:rsidP="002B2DA3">
            <w:pP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Total region</w:t>
            </w:r>
          </w:p>
        </w:tc>
        <w:tc>
          <w:tcPr>
            <w:tcW w:w="52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xml:space="preserve">          916,291 </w:t>
            </w:r>
          </w:p>
        </w:tc>
        <w:tc>
          <w:tcPr>
            <w:tcW w:w="402" w:type="pct"/>
            <w:tcBorders>
              <w:top w:val="single" w:sz="4" w:space="0" w:color="auto"/>
              <w:left w:val="nil"/>
              <w:bottom w:val="single" w:sz="4" w:space="0" w:color="auto"/>
              <w:right w:val="nil"/>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c>
          <w:tcPr>
            <w:tcW w:w="47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c>
          <w:tcPr>
            <w:tcW w:w="513" w:type="pct"/>
            <w:tcBorders>
              <w:top w:val="single" w:sz="4" w:space="0" w:color="auto"/>
              <w:left w:val="nil"/>
              <w:bottom w:val="single" w:sz="4" w:space="0" w:color="auto"/>
              <w:right w:val="nil"/>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xml:space="preserve">    50,084,875 </w:t>
            </w:r>
          </w:p>
        </w:tc>
        <w:tc>
          <w:tcPr>
            <w:tcW w:w="431" w:type="pct"/>
            <w:tcBorders>
              <w:top w:val="single" w:sz="4" w:space="0" w:color="auto"/>
              <w:left w:val="single" w:sz="4" w:space="0" w:color="auto"/>
              <w:bottom w:val="single" w:sz="4" w:space="0" w:color="auto"/>
              <w:right w:val="nil"/>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c>
          <w:tcPr>
            <w:tcW w:w="48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c>
          <w:tcPr>
            <w:tcW w:w="375" w:type="pct"/>
            <w:tcBorders>
              <w:top w:val="single" w:sz="4" w:space="0" w:color="auto"/>
              <w:left w:val="nil"/>
              <w:bottom w:val="single" w:sz="4" w:space="0" w:color="auto"/>
              <w:right w:val="single" w:sz="4" w:space="0" w:color="auto"/>
            </w:tcBorders>
            <w:shd w:val="clear" w:color="auto" w:fill="auto"/>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r>
      <w:tr w:rsidR="002B2DA3" w:rsidRPr="002F67DE" w:rsidTr="002B2DA3">
        <w:trPr>
          <w:trHeight w:val="219"/>
        </w:trPr>
        <w:tc>
          <w:tcPr>
            <w:tcW w:w="1793" w:type="pct"/>
            <w:tcBorders>
              <w:top w:val="nil"/>
              <w:left w:val="single" w:sz="4" w:space="0" w:color="auto"/>
              <w:bottom w:val="single" w:sz="4" w:space="0" w:color="auto"/>
              <w:right w:val="single" w:sz="4" w:space="0" w:color="auto"/>
            </w:tcBorders>
            <w:shd w:val="clear" w:color="000000" w:fill="B4C6E7"/>
            <w:vAlign w:val="center"/>
            <w:hideMark/>
          </w:tcPr>
          <w:p w:rsidR="002B2DA3" w:rsidRPr="002F67DE" w:rsidRDefault="002B2DA3" w:rsidP="002B2DA3">
            <w:pPr>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Total</w:t>
            </w:r>
          </w:p>
        </w:tc>
        <w:tc>
          <w:tcPr>
            <w:tcW w:w="520" w:type="pct"/>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xml:space="preserve">     15,856,416 </w:t>
            </w:r>
          </w:p>
        </w:tc>
        <w:tc>
          <w:tcPr>
            <w:tcW w:w="402" w:type="pct"/>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c>
          <w:tcPr>
            <w:tcW w:w="477" w:type="pct"/>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c>
          <w:tcPr>
            <w:tcW w:w="513" w:type="pct"/>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xml:space="preserve">  460,973,405 </w:t>
            </w:r>
          </w:p>
        </w:tc>
        <w:tc>
          <w:tcPr>
            <w:tcW w:w="431" w:type="pct"/>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c>
          <w:tcPr>
            <w:tcW w:w="485" w:type="pct"/>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c>
          <w:tcPr>
            <w:tcW w:w="375" w:type="pct"/>
            <w:tcBorders>
              <w:top w:val="nil"/>
              <w:left w:val="nil"/>
              <w:bottom w:val="single" w:sz="4" w:space="0" w:color="auto"/>
              <w:right w:val="single" w:sz="4" w:space="0" w:color="auto"/>
            </w:tcBorders>
            <w:shd w:val="clear" w:color="000000" w:fill="B4C6E7"/>
            <w:vAlign w:val="center"/>
            <w:hideMark/>
          </w:tcPr>
          <w:p w:rsidR="002B2DA3" w:rsidRPr="002F67DE" w:rsidRDefault="002B2DA3" w:rsidP="002B2DA3">
            <w:pPr>
              <w:jc w:val="right"/>
              <w:rPr>
                <w:rFonts w:ascii="Garamond" w:eastAsia="Times New Roman" w:hAnsi="Garamond" w:cs="Calibri"/>
                <w:b/>
                <w:bCs/>
                <w:color w:val="000000"/>
                <w:sz w:val="16"/>
                <w:szCs w:val="20"/>
              </w:rPr>
            </w:pPr>
            <w:r w:rsidRPr="002F67DE">
              <w:rPr>
                <w:rFonts w:ascii="Garamond" w:eastAsia="Times New Roman" w:hAnsi="Garamond" w:cs="Calibri"/>
                <w:b/>
                <w:bCs/>
                <w:color w:val="000000"/>
                <w:sz w:val="16"/>
                <w:szCs w:val="20"/>
              </w:rPr>
              <w:t> </w:t>
            </w:r>
          </w:p>
        </w:tc>
      </w:tr>
    </w:tbl>
    <w:p w:rsidR="002B2DA3" w:rsidRPr="00123212" w:rsidRDefault="002B2DA3" w:rsidP="002B2DA3">
      <w:pPr>
        <w:jc w:val="both"/>
        <w:rPr>
          <w:rFonts w:ascii="Garamond" w:hAnsi="Garamond"/>
          <w:sz w:val="18"/>
        </w:rPr>
      </w:pPr>
      <w:r w:rsidRPr="00123212">
        <w:rPr>
          <w:rFonts w:ascii="Garamond" w:hAnsi="Garamond"/>
          <w:sz w:val="18"/>
        </w:rPr>
        <w:t>NA: Not Available</w:t>
      </w:r>
    </w:p>
    <w:p w:rsidR="002B2DA3" w:rsidRPr="00123212" w:rsidRDefault="002B2DA3" w:rsidP="002B2DA3">
      <w:pPr>
        <w:jc w:val="both"/>
        <w:outlineLvl w:val="0"/>
        <w:rPr>
          <w:rFonts w:ascii="Garamond" w:hAnsi="Garamond"/>
          <w:b/>
          <w:sz w:val="18"/>
        </w:rPr>
      </w:pPr>
      <w:r w:rsidRPr="00123212">
        <w:rPr>
          <w:rFonts w:ascii="Garamond" w:hAnsi="Garamond"/>
          <w:b/>
          <w:sz w:val="18"/>
        </w:rPr>
        <w:t>Source: World Federation of Exchanges</w:t>
      </w:r>
    </w:p>
    <w:p w:rsidR="002B2DA3" w:rsidRDefault="002B2DA3" w:rsidP="002B2DA3">
      <w:pPr>
        <w:jc w:val="both"/>
        <w:rPr>
          <w:rFonts w:ascii="Garamond" w:hAnsi="Garamond"/>
          <w:b/>
        </w:rPr>
      </w:pPr>
    </w:p>
    <w:p w:rsidR="002B2DA3" w:rsidRDefault="002B2DA3" w:rsidP="002B2DA3">
      <w:pPr>
        <w:jc w:val="both"/>
        <w:rPr>
          <w:rFonts w:ascii="Garamond" w:hAnsi="Garamond"/>
          <w:b/>
        </w:rPr>
      </w:pPr>
    </w:p>
    <w:p w:rsidR="002B2DA3" w:rsidRDefault="002B2DA3" w:rsidP="002B2DA3">
      <w:pPr>
        <w:rPr>
          <w:rFonts w:ascii="Garamond" w:hAnsi="Garamond"/>
          <w:b/>
        </w:rPr>
      </w:pPr>
      <w:r>
        <w:rPr>
          <w:rFonts w:ascii="Garamond" w:hAnsi="Garamond"/>
          <w:b/>
        </w:rPr>
        <w:br w:type="page"/>
      </w:r>
    </w:p>
    <w:p w:rsidR="002B2DA3" w:rsidRPr="002E354D" w:rsidRDefault="002B2DA3" w:rsidP="002B2DA3">
      <w:pPr>
        <w:outlineLvl w:val="0"/>
        <w:rPr>
          <w:rFonts w:ascii="Garamond" w:hAnsi="Garamond"/>
          <w:b/>
        </w:rPr>
      </w:pPr>
      <w:r>
        <w:rPr>
          <w:rFonts w:ascii="Garamond" w:hAnsi="Garamond"/>
          <w:b/>
        </w:rPr>
        <w:lastRenderedPageBreak/>
        <w:t>Debt Market</w:t>
      </w:r>
      <w:r w:rsidRPr="002E354D">
        <w:rPr>
          <w:rFonts w:ascii="Garamond" w:hAnsi="Garamond"/>
          <w:b/>
        </w:rPr>
        <w:t>:</w:t>
      </w:r>
    </w:p>
    <w:p w:rsidR="002B2DA3" w:rsidRPr="00440919" w:rsidRDefault="002B2DA3" w:rsidP="002B2DA3">
      <w:pPr>
        <w:jc w:val="both"/>
        <w:rPr>
          <w:rFonts w:ascii="Garamond" w:eastAsia="Times New Roman" w:hAnsi="Garamond" w:cs="Arial"/>
          <w:color w:val="0000FF"/>
          <w:lang w:eastAsia="en-GB"/>
        </w:rPr>
      </w:pPr>
    </w:p>
    <w:p w:rsidR="002B2DA3" w:rsidRPr="00BE19BD" w:rsidRDefault="002B2DA3" w:rsidP="002B2DA3">
      <w:pPr>
        <w:jc w:val="both"/>
        <w:rPr>
          <w:rFonts w:ascii="Garamond" w:eastAsia="Times New Roman" w:hAnsi="Garamond" w:cs="Arial"/>
          <w:lang w:eastAsia="en-GB"/>
        </w:rPr>
      </w:pPr>
      <w:r w:rsidRPr="00A160CB">
        <w:rPr>
          <w:rFonts w:ascii="NotoSans-Regular" w:eastAsia="Times New Roman" w:hAnsi="NotoSans-Regular"/>
          <w:color w:val="2B2B2A"/>
        </w:rPr>
        <w:t xml:space="preserve">Government bond yields broadly </w:t>
      </w:r>
      <w:r>
        <w:rPr>
          <w:rFonts w:ascii="NotoSans-Regular" w:eastAsia="Times New Roman" w:hAnsi="NotoSans-Regular"/>
          <w:color w:val="2B2B2A"/>
        </w:rPr>
        <w:t xml:space="preserve">remained flat or </w:t>
      </w:r>
      <w:r w:rsidRPr="00A160CB">
        <w:rPr>
          <w:rFonts w:ascii="NotoSans-Regular" w:eastAsia="Times New Roman" w:hAnsi="NotoSans-Regular"/>
          <w:color w:val="2B2B2A"/>
        </w:rPr>
        <w:t>rose</w:t>
      </w:r>
      <w:r>
        <w:rPr>
          <w:rFonts w:ascii="NotoSans-Regular" w:eastAsia="Times New Roman" w:hAnsi="NotoSans-Regular"/>
          <w:color w:val="2B2B2A"/>
        </w:rPr>
        <w:t xml:space="preserve"> slightly, as central banks remained cautious on economic recovery. </w:t>
      </w:r>
      <w:r w:rsidRPr="006F5A2F">
        <w:rPr>
          <w:rFonts w:ascii="Garamond" w:eastAsia="Times New Roman" w:hAnsi="Garamond" w:cs="Arial"/>
          <w:lang w:eastAsia="en-GB"/>
        </w:rPr>
        <w:t xml:space="preserve">The 10 year </w:t>
      </w:r>
      <w:r w:rsidRPr="005C6650">
        <w:rPr>
          <w:rFonts w:ascii="Garamond" w:eastAsia="Times New Roman" w:hAnsi="Garamond" w:cs="Arial"/>
          <w:lang w:eastAsia="en-GB"/>
        </w:rPr>
        <w:t xml:space="preserve">government </w:t>
      </w:r>
      <w:r w:rsidRPr="006F5A2F">
        <w:rPr>
          <w:rFonts w:ascii="Garamond" w:eastAsia="Times New Roman" w:hAnsi="Garamond" w:cs="Arial"/>
          <w:lang w:eastAsia="en-GB"/>
        </w:rPr>
        <w:t xml:space="preserve">bond yield of US treasury </w:t>
      </w:r>
      <w:r w:rsidRPr="001E2CD6">
        <w:rPr>
          <w:rFonts w:ascii="Garamond" w:eastAsia="Times New Roman" w:hAnsi="Garamond" w:cs="Arial"/>
          <w:lang w:eastAsia="en-GB"/>
        </w:rPr>
        <w:t>rose marginally to</w:t>
      </w:r>
      <w:r>
        <w:rPr>
          <w:rFonts w:ascii="Garamond" w:eastAsia="Times New Roman" w:hAnsi="Garamond" w:cs="Arial"/>
          <w:lang w:eastAsia="en-GB"/>
        </w:rPr>
        <w:t xml:space="preserve"> 2.72 per cent (compared to 2.63 per cent in previous month)</w:t>
      </w:r>
      <w:r w:rsidRPr="006F5A2F">
        <w:rPr>
          <w:rFonts w:ascii="Garamond" w:eastAsia="Times New Roman" w:hAnsi="Garamond" w:cs="Arial"/>
          <w:lang w:eastAsia="en-GB"/>
        </w:rPr>
        <w:t xml:space="preserve">.  </w:t>
      </w:r>
      <w:r>
        <w:rPr>
          <w:rFonts w:ascii="Garamond" w:eastAsia="Times New Roman" w:hAnsi="Garamond" w:cs="Arial"/>
          <w:lang w:eastAsia="en-GB"/>
        </w:rPr>
        <w:t>The 10 year government bond yield</w:t>
      </w:r>
      <w:r w:rsidRPr="0029288C">
        <w:rPr>
          <w:rFonts w:ascii="Garamond" w:eastAsia="Times New Roman" w:hAnsi="Garamond" w:cs="Arial"/>
          <w:lang w:eastAsia="en-GB"/>
        </w:rPr>
        <w:t xml:space="preserve"> of </w:t>
      </w:r>
      <w:r>
        <w:rPr>
          <w:rFonts w:ascii="Garamond" w:eastAsia="Times New Roman" w:hAnsi="Garamond" w:cs="Arial"/>
          <w:lang w:eastAsia="en-GB"/>
        </w:rPr>
        <w:t>UK</w:t>
      </w:r>
      <w:r w:rsidRPr="0029288C">
        <w:rPr>
          <w:rFonts w:ascii="Garamond" w:eastAsia="Times New Roman" w:hAnsi="Garamond" w:cs="Arial"/>
          <w:lang w:eastAsia="en-GB"/>
        </w:rPr>
        <w:t xml:space="preserve"> </w:t>
      </w:r>
      <w:r>
        <w:rPr>
          <w:rFonts w:ascii="Garamond" w:eastAsia="Times New Roman" w:hAnsi="Garamond" w:cs="Arial"/>
          <w:lang w:eastAsia="en-GB"/>
        </w:rPr>
        <w:t xml:space="preserve">rose to 1.30 per cent </w:t>
      </w:r>
      <w:r w:rsidRPr="001E2CD6">
        <w:rPr>
          <w:rFonts w:ascii="Garamond" w:eastAsia="Times New Roman" w:hAnsi="Garamond" w:cs="Arial"/>
          <w:lang w:eastAsia="en-GB"/>
        </w:rPr>
        <w:t xml:space="preserve">(compared to </w:t>
      </w:r>
      <w:r>
        <w:rPr>
          <w:rFonts w:ascii="Garamond" w:eastAsia="Times New Roman" w:hAnsi="Garamond" w:cs="Arial"/>
          <w:lang w:eastAsia="en-GB"/>
        </w:rPr>
        <w:t>1.22</w:t>
      </w:r>
      <w:r w:rsidRPr="001E2CD6">
        <w:rPr>
          <w:rFonts w:ascii="Garamond" w:eastAsia="Times New Roman" w:hAnsi="Garamond" w:cs="Arial"/>
          <w:lang w:eastAsia="en-GB"/>
        </w:rPr>
        <w:t xml:space="preserve"> </w:t>
      </w:r>
      <w:r>
        <w:rPr>
          <w:rFonts w:ascii="Garamond" w:eastAsia="Times New Roman" w:hAnsi="Garamond" w:cs="Arial"/>
          <w:lang w:eastAsia="en-GB"/>
        </w:rPr>
        <w:t>per cent</w:t>
      </w:r>
      <w:r w:rsidRPr="001E2CD6">
        <w:rPr>
          <w:rFonts w:ascii="Garamond" w:eastAsia="Times New Roman" w:hAnsi="Garamond" w:cs="Arial"/>
          <w:lang w:eastAsia="en-GB"/>
        </w:rPr>
        <w:t xml:space="preserve"> in previous month)</w:t>
      </w:r>
      <w:r>
        <w:rPr>
          <w:rFonts w:ascii="Garamond" w:eastAsia="Times New Roman" w:hAnsi="Garamond" w:cs="Arial"/>
          <w:lang w:eastAsia="en-GB"/>
        </w:rPr>
        <w:t xml:space="preserve">, </w:t>
      </w:r>
      <w:r w:rsidRPr="00BE19BD">
        <w:rPr>
          <w:rFonts w:ascii="Garamond" w:eastAsia="Times New Roman" w:hAnsi="Garamond" w:cs="Arial"/>
          <w:lang w:eastAsia="en-GB"/>
        </w:rPr>
        <w:t xml:space="preserve">that of Eurozone </w:t>
      </w:r>
      <w:r>
        <w:rPr>
          <w:rFonts w:ascii="Garamond" w:eastAsia="Times New Roman" w:hAnsi="Garamond" w:cs="Arial"/>
          <w:lang w:eastAsia="en-GB"/>
        </w:rPr>
        <w:t>rose</w:t>
      </w:r>
      <w:r w:rsidRPr="00BE19BD">
        <w:rPr>
          <w:rFonts w:ascii="Garamond" w:eastAsia="Times New Roman" w:hAnsi="Garamond" w:cs="Arial"/>
          <w:lang w:eastAsia="en-GB"/>
        </w:rPr>
        <w:t xml:space="preserve"> to 0.99 per cent (</w:t>
      </w:r>
      <w:r>
        <w:rPr>
          <w:rFonts w:ascii="Garamond" w:eastAsia="Times New Roman" w:hAnsi="Garamond" w:cs="Arial"/>
          <w:lang w:eastAsia="en-GB"/>
        </w:rPr>
        <w:t>from 0.95</w:t>
      </w:r>
      <w:r w:rsidRPr="00BE19BD">
        <w:rPr>
          <w:rFonts w:ascii="Garamond" w:eastAsia="Times New Roman" w:hAnsi="Garamond" w:cs="Arial"/>
          <w:lang w:eastAsia="en-GB"/>
        </w:rPr>
        <w:t xml:space="preserve"> per cent in previous month</w:t>
      </w:r>
      <w:r>
        <w:rPr>
          <w:rFonts w:ascii="Garamond" w:eastAsia="Times New Roman" w:hAnsi="Garamond" w:cs="Arial"/>
          <w:lang w:eastAsia="en-GB"/>
        </w:rPr>
        <w:t>)</w:t>
      </w:r>
      <w:r w:rsidRPr="00BE19BD">
        <w:rPr>
          <w:rFonts w:ascii="Garamond" w:eastAsia="Times New Roman" w:hAnsi="Garamond" w:cs="Arial"/>
          <w:lang w:eastAsia="en-GB"/>
        </w:rPr>
        <w:t xml:space="preserve">, while that of Japan went into a negative territory at -0.02 </w:t>
      </w:r>
      <w:r>
        <w:rPr>
          <w:rFonts w:ascii="Garamond" w:eastAsia="Times New Roman" w:hAnsi="Garamond" w:cs="Arial"/>
          <w:lang w:eastAsia="en-GB"/>
        </w:rPr>
        <w:t>per cent</w:t>
      </w:r>
      <w:r w:rsidRPr="00BE19BD">
        <w:rPr>
          <w:rFonts w:ascii="Garamond" w:eastAsia="Times New Roman" w:hAnsi="Garamond" w:cs="Arial"/>
          <w:lang w:eastAsia="en-GB"/>
        </w:rPr>
        <w:t xml:space="preserve"> (from 0.01 </w:t>
      </w:r>
      <w:r>
        <w:rPr>
          <w:rFonts w:ascii="Garamond" w:eastAsia="Times New Roman" w:hAnsi="Garamond" w:cs="Arial"/>
          <w:lang w:eastAsia="en-GB"/>
        </w:rPr>
        <w:t>per cent</w:t>
      </w:r>
      <w:r w:rsidRPr="00BE19BD">
        <w:rPr>
          <w:rFonts w:ascii="Garamond" w:eastAsia="Times New Roman" w:hAnsi="Garamond" w:cs="Arial"/>
          <w:lang w:eastAsia="en-GB"/>
        </w:rPr>
        <w:t xml:space="preserve"> in previous month).</w:t>
      </w:r>
    </w:p>
    <w:p w:rsidR="002B2DA3" w:rsidRDefault="002B2DA3" w:rsidP="002B2DA3">
      <w:pPr>
        <w:rPr>
          <w:rFonts w:ascii="Garamond" w:eastAsia="Times New Roman" w:hAnsi="Garamond" w:cs="Arial"/>
          <w:lang w:eastAsia="en-GB"/>
        </w:rPr>
      </w:pPr>
    </w:p>
    <w:p w:rsidR="002B2DA3" w:rsidRDefault="002B2DA3" w:rsidP="002B2DA3">
      <w:pPr>
        <w:jc w:val="both"/>
        <w:outlineLvl w:val="0"/>
        <w:rPr>
          <w:rFonts w:ascii="Garamond" w:hAnsi="Garamond"/>
          <w:b/>
        </w:rPr>
      </w:pPr>
      <w:r w:rsidRPr="00C271C0">
        <w:rPr>
          <w:rFonts w:ascii="Garamond" w:hAnsi="Garamond"/>
          <w:b/>
        </w:rPr>
        <w:t>Chart 3: Movement of 10 year Government Bond Yields in Developed Nations</w:t>
      </w:r>
    </w:p>
    <w:p w:rsidR="002B2DA3" w:rsidRDefault="002B2DA3" w:rsidP="002B2DA3">
      <w:pPr>
        <w:jc w:val="both"/>
        <w:outlineLvl w:val="0"/>
        <w:rPr>
          <w:rFonts w:ascii="Garamond" w:hAnsi="Garamond"/>
          <w:b/>
        </w:rPr>
      </w:pPr>
      <w:r>
        <w:rPr>
          <w:noProof/>
          <w:lang w:val="en-IN" w:eastAsia="en-IN"/>
        </w:rPr>
        <w:drawing>
          <wp:inline distT="0" distB="0" distL="0" distR="0" wp14:anchorId="2DA3172B" wp14:editId="64BC90E9">
            <wp:extent cx="4815281" cy="2080469"/>
            <wp:effectExtent l="0" t="0" r="0"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2B2DA3" w:rsidRPr="00B31FD7" w:rsidRDefault="002B2DA3" w:rsidP="002B2DA3">
      <w:pPr>
        <w:jc w:val="both"/>
        <w:outlineLvl w:val="0"/>
        <w:rPr>
          <w:rFonts w:ascii="Garamond" w:hAnsi="Garamond"/>
          <w:b/>
        </w:rPr>
      </w:pPr>
      <w:r w:rsidRPr="00C271C0">
        <w:rPr>
          <w:rFonts w:ascii="Garamond" w:hAnsi="Garamond"/>
          <w:b/>
          <w:sz w:val="20"/>
        </w:rPr>
        <w:t xml:space="preserve">Source: </w:t>
      </w:r>
      <w:r w:rsidRPr="00C271C0">
        <w:rPr>
          <w:rFonts w:ascii="Garamond" w:hAnsi="Garamond"/>
          <w:sz w:val="20"/>
        </w:rPr>
        <w:t>Bloomberg</w:t>
      </w:r>
    </w:p>
    <w:p w:rsidR="002B2DA3" w:rsidRPr="00440919" w:rsidRDefault="002B2DA3" w:rsidP="002B2DA3">
      <w:pPr>
        <w:jc w:val="both"/>
        <w:rPr>
          <w:rFonts w:ascii="Garamond" w:eastAsia="Times New Roman" w:hAnsi="Garamond" w:cs="Arial"/>
          <w:color w:val="0000FF"/>
          <w:lang w:eastAsia="en-GB"/>
        </w:rPr>
      </w:pPr>
    </w:p>
    <w:p w:rsidR="002B2DA3" w:rsidRDefault="002B2DA3" w:rsidP="002B2DA3">
      <w:pPr>
        <w:jc w:val="both"/>
        <w:rPr>
          <w:rFonts w:ascii="Garamond" w:eastAsia="Times New Roman" w:hAnsi="Garamond" w:cs="Arial"/>
          <w:lang w:eastAsia="en-GB"/>
        </w:rPr>
      </w:pPr>
      <w:r w:rsidRPr="00473A23">
        <w:rPr>
          <w:rFonts w:ascii="Garamond" w:eastAsia="Times New Roman" w:hAnsi="Garamond" w:cs="Arial"/>
          <w:lang w:eastAsia="en-GB"/>
        </w:rPr>
        <w:t xml:space="preserve">Amongst emerging markets, 10 year government bond </w:t>
      </w:r>
      <w:r>
        <w:rPr>
          <w:rFonts w:ascii="Garamond" w:eastAsia="Times New Roman" w:hAnsi="Garamond" w:cs="Arial"/>
          <w:lang w:eastAsia="en-GB"/>
        </w:rPr>
        <w:t>yields of Brazil rose marginally to</w:t>
      </w:r>
      <w:r w:rsidRPr="00473A23">
        <w:rPr>
          <w:rFonts w:ascii="Garamond" w:eastAsia="Times New Roman" w:hAnsi="Garamond" w:cs="Arial"/>
          <w:lang w:eastAsia="en-GB"/>
        </w:rPr>
        <w:t xml:space="preserve"> </w:t>
      </w:r>
      <w:r>
        <w:rPr>
          <w:rFonts w:ascii="Garamond" w:eastAsia="Times New Roman" w:hAnsi="Garamond" w:cs="Arial"/>
          <w:lang w:eastAsia="en-GB"/>
        </w:rPr>
        <w:t>9 per cent</w:t>
      </w:r>
      <w:r w:rsidRPr="00473A23">
        <w:rPr>
          <w:rFonts w:ascii="Garamond" w:eastAsia="Times New Roman" w:hAnsi="Garamond" w:cs="Arial"/>
          <w:lang w:eastAsia="en-GB"/>
        </w:rPr>
        <w:t xml:space="preserve"> in </w:t>
      </w:r>
      <w:r>
        <w:rPr>
          <w:rFonts w:ascii="Garamond" w:eastAsia="Times New Roman" w:hAnsi="Garamond" w:cs="Arial"/>
          <w:lang w:eastAsia="en-GB"/>
        </w:rPr>
        <w:t>February 2019</w:t>
      </w:r>
      <w:r w:rsidRPr="00473A23">
        <w:rPr>
          <w:rFonts w:ascii="Garamond" w:eastAsia="Times New Roman" w:hAnsi="Garamond" w:cs="Arial"/>
          <w:lang w:eastAsia="en-GB"/>
        </w:rPr>
        <w:t xml:space="preserve"> (compared to </w:t>
      </w:r>
      <w:r>
        <w:rPr>
          <w:rFonts w:ascii="Garamond" w:eastAsia="Times New Roman" w:hAnsi="Garamond" w:cs="Arial"/>
          <w:lang w:eastAsia="en-GB"/>
        </w:rPr>
        <w:t>8.86 per cent</w:t>
      </w:r>
      <w:r w:rsidRPr="00473A23">
        <w:rPr>
          <w:rFonts w:ascii="Garamond" w:eastAsia="Times New Roman" w:hAnsi="Garamond" w:cs="Arial"/>
          <w:lang w:eastAsia="en-GB"/>
        </w:rPr>
        <w:t xml:space="preserve"> last month), that of Russia </w:t>
      </w:r>
      <w:r>
        <w:rPr>
          <w:rFonts w:ascii="Garamond" w:eastAsia="Times New Roman" w:hAnsi="Garamond" w:cs="Arial"/>
          <w:lang w:eastAsia="en-GB"/>
        </w:rPr>
        <w:t>rose</w:t>
      </w:r>
      <w:r w:rsidRPr="00473A23">
        <w:rPr>
          <w:rFonts w:ascii="Garamond" w:eastAsia="Times New Roman" w:hAnsi="Garamond" w:cs="Arial"/>
          <w:lang w:eastAsia="en-GB"/>
        </w:rPr>
        <w:t xml:space="preserve"> to </w:t>
      </w:r>
      <w:r>
        <w:rPr>
          <w:rFonts w:ascii="Garamond" w:eastAsia="Times New Roman" w:hAnsi="Garamond" w:cs="Arial"/>
          <w:lang w:eastAsia="en-GB"/>
        </w:rPr>
        <w:t>4.69 per cent</w:t>
      </w:r>
      <w:r w:rsidRPr="00473A23">
        <w:rPr>
          <w:rFonts w:ascii="Garamond" w:eastAsia="Times New Roman" w:hAnsi="Garamond" w:cs="Arial"/>
          <w:lang w:eastAsia="en-GB"/>
        </w:rPr>
        <w:t xml:space="preserve"> (compared to </w:t>
      </w:r>
      <w:r>
        <w:rPr>
          <w:rFonts w:ascii="Garamond" w:eastAsia="Times New Roman" w:hAnsi="Garamond" w:cs="Arial"/>
          <w:lang w:eastAsia="en-GB"/>
        </w:rPr>
        <w:t>4.67 per cent</w:t>
      </w:r>
      <w:r w:rsidRPr="00473A23">
        <w:rPr>
          <w:rFonts w:ascii="Garamond" w:eastAsia="Times New Roman" w:hAnsi="Garamond" w:cs="Arial"/>
          <w:lang w:eastAsia="en-GB"/>
        </w:rPr>
        <w:t xml:space="preserve"> last m</w:t>
      </w:r>
      <w:r>
        <w:rPr>
          <w:rFonts w:ascii="Garamond" w:eastAsia="Times New Roman" w:hAnsi="Garamond" w:cs="Arial"/>
          <w:lang w:eastAsia="en-GB"/>
        </w:rPr>
        <w:t>onth), that of India rose to 7.41 per cent (compared to 7.28 per cent</w:t>
      </w:r>
      <w:r w:rsidRPr="00473A23">
        <w:rPr>
          <w:rFonts w:ascii="Garamond" w:eastAsia="Times New Roman" w:hAnsi="Garamond" w:cs="Arial"/>
          <w:lang w:eastAsia="en-GB"/>
        </w:rPr>
        <w:t xml:space="preserve"> last mont</w:t>
      </w:r>
      <w:r>
        <w:rPr>
          <w:rFonts w:ascii="Garamond" w:eastAsia="Times New Roman" w:hAnsi="Garamond" w:cs="Arial"/>
          <w:lang w:eastAsia="en-GB"/>
        </w:rPr>
        <w:t>h) and that of China rose to 3.18 per cent (compared to 3.11 per cent</w:t>
      </w:r>
      <w:r w:rsidRPr="00473A23">
        <w:rPr>
          <w:rFonts w:ascii="Garamond" w:eastAsia="Times New Roman" w:hAnsi="Garamond" w:cs="Arial"/>
          <w:lang w:eastAsia="en-GB"/>
        </w:rPr>
        <w:t xml:space="preserve"> last month)</w:t>
      </w:r>
      <w:r>
        <w:rPr>
          <w:rFonts w:ascii="Garamond" w:eastAsia="Times New Roman" w:hAnsi="Garamond" w:cs="Arial"/>
          <w:lang w:eastAsia="en-GB"/>
        </w:rPr>
        <w:t xml:space="preserve"> (Chart 4).</w:t>
      </w:r>
    </w:p>
    <w:p w:rsidR="002B2DA3" w:rsidRDefault="002B2DA3" w:rsidP="002B2DA3">
      <w:pPr>
        <w:jc w:val="both"/>
        <w:rPr>
          <w:rFonts w:ascii="Garamond" w:eastAsia="Times New Roman" w:hAnsi="Garamond" w:cs="Arial"/>
          <w:lang w:eastAsia="en-GB"/>
        </w:rPr>
      </w:pPr>
    </w:p>
    <w:p w:rsidR="002B2DA3" w:rsidRDefault="002B2DA3" w:rsidP="002B2DA3">
      <w:pPr>
        <w:jc w:val="both"/>
        <w:outlineLvl w:val="0"/>
        <w:rPr>
          <w:rFonts w:ascii="Garamond" w:hAnsi="Garamond"/>
          <w:b/>
        </w:rPr>
      </w:pPr>
      <w:r w:rsidRPr="00C271C0">
        <w:rPr>
          <w:rFonts w:ascii="Garamond" w:hAnsi="Garamond"/>
          <w:b/>
        </w:rPr>
        <w:t>Chart 4: Movement of 10 year Government Bond Yields in BRIC Nations</w:t>
      </w:r>
    </w:p>
    <w:p w:rsidR="002B2DA3" w:rsidRDefault="002B2DA3" w:rsidP="002B2DA3">
      <w:pPr>
        <w:jc w:val="both"/>
        <w:outlineLvl w:val="0"/>
        <w:rPr>
          <w:rFonts w:ascii="Garamond" w:hAnsi="Garamond"/>
          <w:b/>
        </w:rPr>
      </w:pPr>
      <w:r>
        <w:rPr>
          <w:noProof/>
          <w:lang w:val="en-IN" w:eastAsia="en-IN"/>
        </w:rPr>
        <w:drawing>
          <wp:inline distT="0" distB="0" distL="0" distR="0" wp14:anchorId="311035B7" wp14:editId="55E98166">
            <wp:extent cx="4848625" cy="2382051"/>
            <wp:effectExtent l="0" t="0" r="0" b="0"/>
            <wp:docPr id="29" name="Chart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2B2DA3" w:rsidRDefault="002B2DA3" w:rsidP="002B2DA3">
      <w:pPr>
        <w:jc w:val="both"/>
        <w:outlineLvl w:val="0"/>
        <w:rPr>
          <w:rFonts w:ascii="Garamond" w:hAnsi="Garamond"/>
          <w:b/>
        </w:rPr>
      </w:pPr>
    </w:p>
    <w:p w:rsidR="002B2DA3" w:rsidRPr="00C271C0" w:rsidRDefault="002B2DA3" w:rsidP="002B2DA3">
      <w:pPr>
        <w:jc w:val="both"/>
        <w:outlineLvl w:val="0"/>
        <w:rPr>
          <w:rFonts w:ascii="Garamond" w:hAnsi="Garamond"/>
          <w:sz w:val="20"/>
        </w:rPr>
      </w:pPr>
      <w:r w:rsidRPr="00C271C0">
        <w:rPr>
          <w:rFonts w:ascii="Garamond" w:hAnsi="Garamond"/>
          <w:b/>
          <w:sz w:val="20"/>
        </w:rPr>
        <w:t xml:space="preserve">Source: </w:t>
      </w:r>
      <w:r w:rsidRPr="00C271C0">
        <w:rPr>
          <w:rFonts w:ascii="Garamond" w:hAnsi="Garamond"/>
          <w:sz w:val="20"/>
        </w:rPr>
        <w:t>Bloomberg</w:t>
      </w:r>
    </w:p>
    <w:p w:rsidR="002B2DA3" w:rsidRDefault="002B2DA3" w:rsidP="002B2DA3">
      <w:pPr>
        <w:jc w:val="both"/>
        <w:rPr>
          <w:rFonts w:ascii="Garamond" w:hAnsi="Garamond"/>
        </w:rPr>
      </w:pPr>
    </w:p>
    <w:p w:rsidR="002B2DA3" w:rsidRDefault="002B2DA3" w:rsidP="002B2DA3">
      <w:pPr>
        <w:jc w:val="both"/>
        <w:rPr>
          <w:rFonts w:ascii="Garamond" w:hAnsi="Garamond"/>
        </w:rPr>
      </w:pPr>
    </w:p>
    <w:p w:rsidR="002B2DA3" w:rsidRDefault="002B2DA3" w:rsidP="002B2DA3">
      <w:pPr>
        <w:jc w:val="both"/>
        <w:rPr>
          <w:rFonts w:ascii="Garamond" w:hAnsi="Garamond"/>
        </w:rPr>
      </w:pPr>
    </w:p>
    <w:p w:rsidR="002B2DA3" w:rsidRDefault="002B2DA3" w:rsidP="002B2DA3">
      <w:pPr>
        <w:jc w:val="both"/>
        <w:rPr>
          <w:rFonts w:ascii="Garamond" w:hAnsi="Garamond"/>
        </w:rPr>
      </w:pPr>
    </w:p>
    <w:p w:rsidR="002B2DA3" w:rsidRDefault="002B2DA3" w:rsidP="002B2DA3">
      <w:pPr>
        <w:jc w:val="both"/>
        <w:rPr>
          <w:rFonts w:ascii="Garamond" w:hAnsi="Garamond"/>
        </w:rPr>
      </w:pPr>
    </w:p>
    <w:p w:rsidR="002B2DA3" w:rsidRDefault="002B2DA3" w:rsidP="002B2DA3">
      <w:pPr>
        <w:jc w:val="both"/>
        <w:rPr>
          <w:rFonts w:ascii="Garamond" w:hAnsi="Garamond"/>
        </w:rPr>
      </w:pPr>
    </w:p>
    <w:p w:rsidR="002B2DA3" w:rsidRPr="00E503C7" w:rsidRDefault="002B2DA3" w:rsidP="002B2DA3">
      <w:pPr>
        <w:jc w:val="both"/>
        <w:rPr>
          <w:rFonts w:ascii="Garamond" w:hAnsi="Garamond"/>
        </w:rPr>
      </w:pPr>
      <w:r>
        <w:rPr>
          <w:rFonts w:ascii="Garamond" w:hAnsi="Garamond"/>
        </w:rPr>
        <w:lastRenderedPageBreak/>
        <w:t>As of December 2018, China and Japan accounted for 17.9 per cent and 16.6 per cent of total foreign holding of US Treasury Securities. India accounted for 2.3 per cent of total foreign holding of US Treasury Securities (Table A9).</w:t>
      </w:r>
    </w:p>
    <w:p w:rsidR="002B2DA3" w:rsidRDefault="002B2DA3" w:rsidP="002B2DA3">
      <w:pPr>
        <w:rPr>
          <w:rFonts w:ascii="Garamond" w:hAnsi="Garamond"/>
          <w:b/>
        </w:rPr>
      </w:pPr>
    </w:p>
    <w:p w:rsidR="002B2DA3" w:rsidRDefault="002B2DA3" w:rsidP="002B2DA3">
      <w:pPr>
        <w:outlineLvl w:val="0"/>
        <w:rPr>
          <w:rFonts w:ascii="Garamond" w:hAnsi="Garamond"/>
          <w:b/>
        </w:rPr>
      </w:pPr>
      <w:r>
        <w:rPr>
          <w:rFonts w:ascii="Garamond" w:hAnsi="Garamond"/>
          <w:b/>
        </w:rPr>
        <w:t xml:space="preserve">Table A9: </w:t>
      </w:r>
      <w:r w:rsidRPr="007A233C">
        <w:rPr>
          <w:rFonts w:ascii="Garamond" w:hAnsi="Garamond"/>
          <w:b/>
        </w:rPr>
        <w:t xml:space="preserve">Major Foreign Holders of </w:t>
      </w:r>
      <w:r>
        <w:rPr>
          <w:rFonts w:ascii="Garamond" w:hAnsi="Garamond"/>
          <w:b/>
        </w:rPr>
        <w:t xml:space="preserve">US </w:t>
      </w:r>
      <w:r w:rsidRPr="007A233C">
        <w:rPr>
          <w:rFonts w:ascii="Garamond" w:hAnsi="Garamond"/>
          <w:b/>
        </w:rPr>
        <w:t>Treasury Securities</w:t>
      </w:r>
      <w:r w:rsidRPr="00E503C7">
        <w:rPr>
          <w:rFonts w:ascii="Garamond" w:hAnsi="Garamond"/>
          <w:b/>
        </w:rPr>
        <w:t xml:space="preserve"> (US$ billion)</w:t>
      </w:r>
    </w:p>
    <w:tbl>
      <w:tblPr>
        <w:tblW w:w="9420" w:type="dxa"/>
        <w:tblInd w:w="118" w:type="dxa"/>
        <w:tblLook w:val="04A0" w:firstRow="1" w:lastRow="0" w:firstColumn="1" w:lastColumn="0" w:noHBand="0" w:noVBand="1"/>
      </w:tblPr>
      <w:tblGrid>
        <w:gridCol w:w="2077"/>
        <w:gridCol w:w="1049"/>
        <w:gridCol w:w="1049"/>
        <w:gridCol w:w="1049"/>
        <w:gridCol w:w="1049"/>
        <w:gridCol w:w="1049"/>
        <w:gridCol w:w="1049"/>
        <w:gridCol w:w="1049"/>
      </w:tblGrid>
      <w:tr w:rsidR="002B2DA3" w:rsidRPr="00AE4754" w:rsidTr="002B2DA3">
        <w:trPr>
          <w:trHeight w:val="277"/>
        </w:trPr>
        <w:tc>
          <w:tcPr>
            <w:tcW w:w="2077"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b/>
                <w:bCs/>
                <w:color w:val="000000"/>
                <w:sz w:val="20"/>
                <w:szCs w:val="20"/>
              </w:rPr>
            </w:pPr>
            <w:r w:rsidRPr="00AE4754">
              <w:rPr>
                <w:rFonts w:ascii="Garamond" w:eastAsia="Times New Roman" w:hAnsi="Garamond" w:cs="Calibri"/>
                <w:b/>
                <w:bCs/>
                <w:color w:val="000000"/>
                <w:sz w:val="20"/>
                <w:szCs w:val="20"/>
              </w:rPr>
              <w:t>Country</w:t>
            </w:r>
          </w:p>
        </w:tc>
        <w:tc>
          <w:tcPr>
            <w:tcW w:w="1049" w:type="dxa"/>
            <w:tcBorders>
              <w:top w:val="single" w:sz="8" w:space="0" w:color="auto"/>
              <w:left w:val="nil"/>
              <w:bottom w:val="single" w:sz="8" w:space="0" w:color="auto"/>
              <w:right w:val="nil"/>
            </w:tcBorders>
            <w:shd w:val="clear" w:color="auto" w:fill="auto"/>
            <w:noWrap/>
            <w:vAlign w:val="center"/>
            <w:hideMark/>
          </w:tcPr>
          <w:p w:rsidR="002B2DA3" w:rsidRPr="00AE4754" w:rsidRDefault="002B2DA3" w:rsidP="002B2DA3">
            <w:pPr>
              <w:jc w:val="right"/>
              <w:rPr>
                <w:rFonts w:ascii="Garamond" w:eastAsia="Times New Roman" w:hAnsi="Garamond" w:cs="Calibri"/>
                <w:b/>
                <w:bCs/>
                <w:color w:val="000000"/>
                <w:sz w:val="20"/>
                <w:szCs w:val="20"/>
              </w:rPr>
            </w:pPr>
            <w:r w:rsidRPr="00AE4754">
              <w:rPr>
                <w:rFonts w:ascii="Garamond" w:eastAsia="Times New Roman" w:hAnsi="Garamond" w:cs="Calibri"/>
                <w:b/>
                <w:bCs/>
                <w:color w:val="000000"/>
                <w:sz w:val="20"/>
                <w:szCs w:val="20"/>
              </w:rPr>
              <w:t>Jun-18</w:t>
            </w:r>
          </w:p>
        </w:tc>
        <w:tc>
          <w:tcPr>
            <w:tcW w:w="1049"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b/>
                <w:bCs/>
                <w:color w:val="000000"/>
                <w:sz w:val="20"/>
                <w:szCs w:val="20"/>
              </w:rPr>
            </w:pPr>
            <w:r w:rsidRPr="00AE4754">
              <w:rPr>
                <w:rFonts w:ascii="Garamond" w:eastAsia="Times New Roman" w:hAnsi="Garamond" w:cs="Calibri"/>
                <w:b/>
                <w:bCs/>
                <w:color w:val="000000"/>
                <w:sz w:val="20"/>
                <w:szCs w:val="20"/>
              </w:rPr>
              <w:t>Jul-18</w:t>
            </w:r>
          </w:p>
        </w:tc>
        <w:tc>
          <w:tcPr>
            <w:tcW w:w="1049" w:type="dxa"/>
            <w:tcBorders>
              <w:top w:val="single" w:sz="8" w:space="0" w:color="auto"/>
              <w:left w:val="nil"/>
              <w:bottom w:val="single" w:sz="8" w:space="0" w:color="auto"/>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b/>
                <w:bCs/>
                <w:color w:val="000000"/>
                <w:sz w:val="20"/>
                <w:szCs w:val="20"/>
              </w:rPr>
            </w:pPr>
            <w:r w:rsidRPr="00AE4754">
              <w:rPr>
                <w:rFonts w:ascii="Garamond" w:eastAsia="Times New Roman" w:hAnsi="Garamond" w:cs="Calibri"/>
                <w:b/>
                <w:bCs/>
                <w:color w:val="000000"/>
                <w:sz w:val="20"/>
                <w:szCs w:val="20"/>
              </w:rPr>
              <w:t>Aug-18</w:t>
            </w:r>
          </w:p>
        </w:tc>
        <w:tc>
          <w:tcPr>
            <w:tcW w:w="1049" w:type="dxa"/>
            <w:tcBorders>
              <w:top w:val="single" w:sz="8" w:space="0" w:color="auto"/>
              <w:left w:val="nil"/>
              <w:bottom w:val="single" w:sz="8" w:space="0" w:color="auto"/>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b/>
                <w:bCs/>
                <w:color w:val="000000"/>
                <w:sz w:val="20"/>
                <w:szCs w:val="20"/>
              </w:rPr>
            </w:pPr>
            <w:r w:rsidRPr="00AE4754">
              <w:rPr>
                <w:rFonts w:ascii="Garamond" w:eastAsia="Times New Roman" w:hAnsi="Garamond" w:cs="Calibri"/>
                <w:b/>
                <w:bCs/>
                <w:color w:val="000000"/>
                <w:sz w:val="20"/>
                <w:szCs w:val="20"/>
              </w:rPr>
              <w:t>Sep-18</w:t>
            </w:r>
          </w:p>
        </w:tc>
        <w:tc>
          <w:tcPr>
            <w:tcW w:w="1049" w:type="dxa"/>
            <w:tcBorders>
              <w:top w:val="single" w:sz="8" w:space="0" w:color="auto"/>
              <w:left w:val="nil"/>
              <w:bottom w:val="single" w:sz="8" w:space="0" w:color="auto"/>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b/>
                <w:bCs/>
                <w:color w:val="000000"/>
                <w:sz w:val="20"/>
                <w:szCs w:val="20"/>
              </w:rPr>
            </w:pPr>
            <w:r w:rsidRPr="00AE4754">
              <w:rPr>
                <w:rFonts w:ascii="Garamond" w:eastAsia="Times New Roman" w:hAnsi="Garamond" w:cs="Calibri"/>
                <w:b/>
                <w:bCs/>
                <w:color w:val="000000"/>
                <w:sz w:val="20"/>
                <w:szCs w:val="20"/>
              </w:rPr>
              <w:t>Oct-18</w:t>
            </w:r>
          </w:p>
        </w:tc>
        <w:tc>
          <w:tcPr>
            <w:tcW w:w="1049" w:type="dxa"/>
            <w:tcBorders>
              <w:top w:val="single" w:sz="8" w:space="0" w:color="auto"/>
              <w:left w:val="nil"/>
              <w:bottom w:val="single" w:sz="8" w:space="0" w:color="auto"/>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b/>
                <w:bCs/>
                <w:color w:val="000000"/>
                <w:sz w:val="20"/>
                <w:szCs w:val="20"/>
              </w:rPr>
            </w:pPr>
            <w:r w:rsidRPr="00AE4754">
              <w:rPr>
                <w:rFonts w:ascii="Garamond" w:eastAsia="Times New Roman" w:hAnsi="Garamond" w:cs="Calibri"/>
                <w:b/>
                <w:bCs/>
                <w:color w:val="000000"/>
                <w:sz w:val="20"/>
                <w:szCs w:val="20"/>
              </w:rPr>
              <w:t>Nov-18</w:t>
            </w:r>
          </w:p>
        </w:tc>
        <w:tc>
          <w:tcPr>
            <w:tcW w:w="1049" w:type="dxa"/>
            <w:tcBorders>
              <w:top w:val="single" w:sz="8" w:space="0" w:color="auto"/>
              <w:left w:val="nil"/>
              <w:bottom w:val="single" w:sz="8" w:space="0" w:color="auto"/>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b/>
                <w:bCs/>
                <w:color w:val="000000"/>
                <w:sz w:val="20"/>
                <w:szCs w:val="20"/>
              </w:rPr>
            </w:pPr>
            <w:r w:rsidRPr="00AE4754">
              <w:rPr>
                <w:rFonts w:ascii="Garamond" w:eastAsia="Times New Roman" w:hAnsi="Garamond" w:cs="Calibri"/>
                <w:b/>
                <w:bCs/>
                <w:color w:val="000000"/>
                <w:sz w:val="20"/>
                <w:szCs w:val="20"/>
              </w:rPr>
              <w:t>Dec-18</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China, Mainland</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1,179.00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1,171.00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1,165.10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1,151.40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1,138.90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1,121.40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1,123.50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Japan</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1,032.20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1,035.50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1,029.90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1,028.00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1,018.50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1,036.60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1,042.30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Brazil</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300.10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299.70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317.80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317.00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313.90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311.40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303.10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Ireland</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301.30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300.20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311.60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290.40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287.30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279.60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280.00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United Kingdom</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274.40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271.70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272.60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276.30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263.90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258.90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272.90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Switzerland</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236.30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233.10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232.00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226.90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225.20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227.50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235.00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Luxembourg</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220.50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221.50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224.00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227.20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225.40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225.70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231.00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Cayman Islands</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191.10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197.90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197.50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200.20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208.20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207.50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211.00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Hong Kong</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196.50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194.40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193.20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192.30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185.00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189.20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196.20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Belgium</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154.70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154.50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154.30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164.70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169.70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173.00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185.70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Saudi Arabia</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164.30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166.80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169.50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176.10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171.30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169.90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171.60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Taiwan</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162.60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164.20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163.20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166.50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162.40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155.40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157.30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India</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147.30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142.60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140.60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144.00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138.20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138.50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141.30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Singapore</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122.10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127.60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129.90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134.50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133.00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128.80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121.10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Korea</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106.10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109.10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110.20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110.80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111.10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110.20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114.90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France</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93.40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111.00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113.60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97.70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109.40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131.60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110.90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Canada</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102.30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96.10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96.20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94.10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101.90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106.30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109.90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Norway</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50.00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61.10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66.70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63.60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61.30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47.30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84.90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Thailand</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58.60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63.00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63.30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66.10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65.30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64.90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72.00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Germany</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70.80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71.00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73.30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68.30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77.50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77.70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69.80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Bermuda</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60.70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64.40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65.50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64.50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62.60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64.30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65.40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United Arab Emirates</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59.60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59.70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59.00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60.00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57.70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56.30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56.80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Mexico</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41.00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39.80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40.70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39.30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41.50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45.70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46.80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Sweden</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46.30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44.70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44.60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44.60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43.40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44.50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43.80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Netherlands</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44.80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45.10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43.40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43.00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43.00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42.80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43.60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Kuwait</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43.00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42.90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43.50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43.80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44.10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43.90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41.30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Italy</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40.70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38.40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37.30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39.60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39.60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40.40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40.30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Australia</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39.80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39.20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38.40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36.80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38.90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41.30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39.70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Poland</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40.60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40.60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39.90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40.10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40.00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40.20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39.60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Spain</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31.90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36.20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37.50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37.30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35.30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34.90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34.70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Iraq</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26.50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28.30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29.80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29.40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31.10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32.10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34.60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All Other</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575.70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583.10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574.30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551.30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555.50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552.10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544.10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b/>
                <w:bCs/>
                <w:color w:val="000000"/>
                <w:sz w:val="20"/>
                <w:szCs w:val="20"/>
              </w:rPr>
            </w:pPr>
            <w:r w:rsidRPr="00AE4754">
              <w:rPr>
                <w:rFonts w:ascii="Garamond" w:eastAsia="Times New Roman" w:hAnsi="Garamond" w:cs="Calibri"/>
                <w:b/>
                <w:bCs/>
                <w:color w:val="000000"/>
                <w:sz w:val="20"/>
                <w:szCs w:val="20"/>
              </w:rPr>
              <w:t>Grand Total</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6,214.00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6,254.20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6,278.30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6,225.60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6,200.10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6,199.70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6,265.20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hideMark/>
          </w:tcPr>
          <w:p w:rsidR="002B2DA3" w:rsidRPr="00AE4754" w:rsidRDefault="002B2DA3" w:rsidP="002B2DA3">
            <w:pPr>
              <w:rPr>
                <w:rFonts w:ascii="Calibri" w:eastAsia="Times New Roman" w:hAnsi="Calibri" w:cs="Calibri"/>
                <w:color w:val="000000"/>
                <w:szCs w:val="22"/>
              </w:rPr>
            </w:pPr>
            <w:r w:rsidRPr="00AE4754">
              <w:rPr>
                <w:rFonts w:ascii="Calibri" w:eastAsia="Times New Roman" w:hAnsi="Calibri" w:cs="Calibri"/>
                <w:color w:val="000000"/>
                <w:szCs w:val="22"/>
              </w:rPr>
              <w:t> </w:t>
            </w:r>
          </w:p>
        </w:tc>
        <w:tc>
          <w:tcPr>
            <w:tcW w:w="1049" w:type="dxa"/>
            <w:tcBorders>
              <w:top w:val="nil"/>
              <w:left w:val="nil"/>
              <w:bottom w:val="nil"/>
              <w:right w:val="nil"/>
            </w:tcBorders>
            <w:shd w:val="clear" w:color="auto" w:fill="auto"/>
            <w:noWrap/>
            <w:hideMark/>
          </w:tcPr>
          <w:p w:rsidR="002B2DA3" w:rsidRPr="00AE4754" w:rsidRDefault="002B2DA3" w:rsidP="002B2DA3">
            <w:pPr>
              <w:rPr>
                <w:rFonts w:ascii="Calibri" w:eastAsia="Times New Roman" w:hAnsi="Calibri" w:cs="Calibri"/>
                <w:color w:val="000000"/>
                <w:szCs w:val="22"/>
              </w:rPr>
            </w:pPr>
          </w:p>
        </w:tc>
        <w:tc>
          <w:tcPr>
            <w:tcW w:w="1049" w:type="dxa"/>
            <w:tcBorders>
              <w:top w:val="nil"/>
              <w:left w:val="single" w:sz="8" w:space="0" w:color="auto"/>
              <w:bottom w:val="nil"/>
              <w:right w:val="single" w:sz="8" w:space="0" w:color="auto"/>
            </w:tcBorders>
            <w:shd w:val="clear" w:color="auto" w:fill="auto"/>
            <w:noWrap/>
            <w:hideMark/>
          </w:tcPr>
          <w:p w:rsidR="002B2DA3" w:rsidRPr="00AE4754" w:rsidRDefault="002B2DA3" w:rsidP="002B2DA3">
            <w:pPr>
              <w:rPr>
                <w:rFonts w:ascii="Calibri" w:eastAsia="Times New Roman" w:hAnsi="Calibri" w:cs="Calibri"/>
                <w:color w:val="000000"/>
                <w:szCs w:val="22"/>
              </w:rPr>
            </w:pPr>
            <w:r w:rsidRPr="00AE4754">
              <w:rPr>
                <w:rFonts w:ascii="Calibri" w:eastAsia="Times New Roman" w:hAnsi="Calibri" w:cs="Calibri"/>
                <w:color w:val="000000"/>
                <w:szCs w:val="22"/>
              </w:rPr>
              <w:t> </w:t>
            </w:r>
          </w:p>
        </w:tc>
        <w:tc>
          <w:tcPr>
            <w:tcW w:w="1049" w:type="dxa"/>
            <w:tcBorders>
              <w:top w:val="nil"/>
              <w:left w:val="nil"/>
              <w:bottom w:val="nil"/>
              <w:right w:val="single" w:sz="8" w:space="0" w:color="auto"/>
            </w:tcBorders>
            <w:shd w:val="clear" w:color="auto" w:fill="auto"/>
            <w:noWrap/>
            <w:hideMark/>
          </w:tcPr>
          <w:p w:rsidR="002B2DA3" w:rsidRPr="00AE4754" w:rsidRDefault="002B2DA3" w:rsidP="002B2DA3">
            <w:pPr>
              <w:rPr>
                <w:rFonts w:ascii="Calibri" w:eastAsia="Times New Roman" w:hAnsi="Calibri" w:cs="Calibri"/>
                <w:color w:val="000000"/>
                <w:szCs w:val="22"/>
              </w:rPr>
            </w:pPr>
            <w:r w:rsidRPr="00AE4754">
              <w:rPr>
                <w:rFonts w:ascii="Calibri" w:eastAsia="Times New Roman" w:hAnsi="Calibri" w:cs="Calibri"/>
                <w:color w:val="000000"/>
                <w:szCs w:val="22"/>
              </w:rPr>
              <w:t> </w:t>
            </w:r>
          </w:p>
        </w:tc>
        <w:tc>
          <w:tcPr>
            <w:tcW w:w="1049" w:type="dxa"/>
            <w:tcBorders>
              <w:top w:val="nil"/>
              <w:left w:val="nil"/>
              <w:bottom w:val="nil"/>
              <w:right w:val="single" w:sz="8" w:space="0" w:color="auto"/>
            </w:tcBorders>
            <w:shd w:val="clear" w:color="auto" w:fill="auto"/>
            <w:noWrap/>
            <w:hideMark/>
          </w:tcPr>
          <w:p w:rsidR="002B2DA3" w:rsidRPr="00AE4754" w:rsidRDefault="002B2DA3" w:rsidP="002B2DA3">
            <w:pPr>
              <w:rPr>
                <w:rFonts w:ascii="Calibri" w:eastAsia="Times New Roman" w:hAnsi="Calibri" w:cs="Calibri"/>
                <w:color w:val="000000"/>
                <w:szCs w:val="22"/>
              </w:rPr>
            </w:pPr>
            <w:r w:rsidRPr="00AE4754">
              <w:rPr>
                <w:rFonts w:ascii="Calibri" w:eastAsia="Times New Roman" w:hAnsi="Calibri" w:cs="Calibri"/>
                <w:color w:val="000000"/>
                <w:szCs w:val="22"/>
              </w:rPr>
              <w:t> </w:t>
            </w:r>
          </w:p>
        </w:tc>
        <w:tc>
          <w:tcPr>
            <w:tcW w:w="1049" w:type="dxa"/>
            <w:tcBorders>
              <w:top w:val="nil"/>
              <w:left w:val="nil"/>
              <w:bottom w:val="nil"/>
              <w:right w:val="single" w:sz="8" w:space="0" w:color="auto"/>
            </w:tcBorders>
            <w:shd w:val="clear" w:color="auto" w:fill="auto"/>
            <w:noWrap/>
            <w:hideMark/>
          </w:tcPr>
          <w:p w:rsidR="002B2DA3" w:rsidRPr="00AE4754" w:rsidRDefault="002B2DA3" w:rsidP="002B2DA3">
            <w:pPr>
              <w:rPr>
                <w:rFonts w:ascii="Calibri" w:eastAsia="Times New Roman" w:hAnsi="Calibri" w:cs="Calibri"/>
                <w:color w:val="000000"/>
                <w:szCs w:val="22"/>
              </w:rPr>
            </w:pPr>
            <w:r w:rsidRPr="00AE4754">
              <w:rPr>
                <w:rFonts w:ascii="Calibri" w:eastAsia="Times New Roman" w:hAnsi="Calibri" w:cs="Calibri"/>
                <w:color w:val="000000"/>
                <w:szCs w:val="22"/>
              </w:rPr>
              <w:t> </w:t>
            </w:r>
          </w:p>
        </w:tc>
        <w:tc>
          <w:tcPr>
            <w:tcW w:w="1049" w:type="dxa"/>
            <w:tcBorders>
              <w:top w:val="nil"/>
              <w:left w:val="nil"/>
              <w:bottom w:val="nil"/>
              <w:right w:val="single" w:sz="8" w:space="0" w:color="auto"/>
            </w:tcBorders>
            <w:shd w:val="clear" w:color="auto" w:fill="auto"/>
            <w:noWrap/>
            <w:hideMark/>
          </w:tcPr>
          <w:p w:rsidR="002B2DA3" w:rsidRPr="00AE4754" w:rsidRDefault="002B2DA3" w:rsidP="002B2DA3">
            <w:pPr>
              <w:rPr>
                <w:rFonts w:ascii="Calibri" w:eastAsia="Times New Roman" w:hAnsi="Calibri" w:cs="Calibri"/>
                <w:color w:val="000000"/>
                <w:szCs w:val="22"/>
              </w:rPr>
            </w:pPr>
            <w:r w:rsidRPr="00AE4754">
              <w:rPr>
                <w:rFonts w:ascii="Calibri" w:eastAsia="Times New Roman" w:hAnsi="Calibri" w:cs="Calibri"/>
                <w:color w:val="000000"/>
                <w:szCs w:val="22"/>
              </w:rPr>
              <w:t> </w:t>
            </w:r>
          </w:p>
        </w:tc>
        <w:tc>
          <w:tcPr>
            <w:tcW w:w="1049" w:type="dxa"/>
            <w:tcBorders>
              <w:top w:val="nil"/>
              <w:left w:val="nil"/>
              <w:bottom w:val="nil"/>
              <w:right w:val="single" w:sz="8" w:space="0" w:color="auto"/>
            </w:tcBorders>
            <w:shd w:val="clear" w:color="auto" w:fill="auto"/>
            <w:noWrap/>
            <w:hideMark/>
          </w:tcPr>
          <w:p w:rsidR="002B2DA3" w:rsidRPr="00AE4754" w:rsidRDefault="002B2DA3" w:rsidP="002B2DA3">
            <w:pPr>
              <w:rPr>
                <w:rFonts w:ascii="Calibri" w:eastAsia="Times New Roman" w:hAnsi="Calibri" w:cs="Calibri"/>
                <w:color w:val="000000"/>
                <w:szCs w:val="22"/>
              </w:rPr>
            </w:pPr>
            <w:r w:rsidRPr="00AE4754">
              <w:rPr>
                <w:rFonts w:ascii="Calibri" w:eastAsia="Times New Roman" w:hAnsi="Calibri" w:cs="Calibri"/>
                <w:color w:val="000000"/>
                <w:szCs w:val="22"/>
              </w:rPr>
              <w:t> </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Of which:</w:t>
            </w:r>
          </w:p>
        </w:tc>
        <w:tc>
          <w:tcPr>
            <w:tcW w:w="1049" w:type="dxa"/>
            <w:tcBorders>
              <w:top w:val="nil"/>
              <w:left w:val="nil"/>
              <w:bottom w:val="nil"/>
              <w:right w:val="nil"/>
            </w:tcBorders>
            <w:shd w:val="clear" w:color="auto" w:fill="auto"/>
            <w:noWrap/>
            <w:hideMark/>
          </w:tcPr>
          <w:p w:rsidR="002B2DA3" w:rsidRPr="00AE4754" w:rsidRDefault="002B2DA3" w:rsidP="002B2DA3">
            <w:pPr>
              <w:rPr>
                <w:rFonts w:ascii="Garamond" w:eastAsia="Times New Roman" w:hAnsi="Garamond" w:cs="Calibri"/>
                <w:color w:val="000000"/>
                <w:sz w:val="20"/>
                <w:szCs w:val="20"/>
              </w:rPr>
            </w:pPr>
          </w:p>
        </w:tc>
        <w:tc>
          <w:tcPr>
            <w:tcW w:w="1049" w:type="dxa"/>
            <w:tcBorders>
              <w:top w:val="nil"/>
              <w:left w:val="single" w:sz="8" w:space="0" w:color="auto"/>
              <w:bottom w:val="nil"/>
              <w:right w:val="single" w:sz="8" w:space="0" w:color="auto"/>
            </w:tcBorders>
            <w:shd w:val="clear" w:color="auto" w:fill="auto"/>
            <w:noWrap/>
            <w:hideMark/>
          </w:tcPr>
          <w:p w:rsidR="002B2DA3" w:rsidRPr="00AE4754" w:rsidRDefault="002B2DA3" w:rsidP="002B2DA3">
            <w:pPr>
              <w:rPr>
                <w:rFonts w:ascii="Calibri" w:eastAsia="Times New Roman" w:hAnsi="Calibri" w:cs="Calibri"/>
                <w:color w:val="000000"/>
                <w:szCs w:val="22"/>
              </w:rPr>
            </w:pPr>
            <w:r w:rsidRPr="00AE4754">
              <w:rPr>
                <w:rFonts w:ascii="Calibri" w:eastAsia="Times New Roman" w:hAnsi="Calibri" w:cs="Calibri"/>
                <w:color w:val="000000"/>
                <w:szCs w:val="22"/>
              </w:rPr>
              <w:t> </w:t>
            </w:r>
          </w:p>
        </w:tc>
        <w:tc>
          <w:tcPr>
            <w:tcW w:w="1049" w:type="dxa"/>
            <w:tcBorders>
              <w:top w:val="nil"/>
              <w:left w:val="nil"/>
              <w:bottom w:val="nil"/>
              <w:right w:val="single" w:sz="8" w:space="0" w:color="auto"/>
            </w:tcBorders>
            <w:shd w:val="clear" w:color="auto" w:fill="auto"/>
            <w:noWrap/>
            <w:hideMark/>
          </w:tcPr>
          <w:p w:rsidR="002B2DA3" w:rsidRPr="00AE4754" w:rsidRDefault="002B2DA3" w:rsidP="002B2DA3">
            <w:pPr>
              <w:rPr>
                <w:rFonts w:ascii="Calibri" w:eastAsia="Times New Roman" w:hAnsi="Calibri" w:cs="Calibri"/>
                <w:color w:val="000000"/>
                <w:szCs w:val="22"/>
              </w:rPr>
            </w:pPr>
            <w:r w:rsidRPr="00AE4754">
              <w:rPr>
                <w:rFonts w:ascii="Calibri" w:eastAsia="Times New Roman" w:hAnsi="Calibri" w:cs="Calibri"/>
                <w:color w:val="000000"/>
                <w:szCs w:val="22"/>
              </w:rPr>
              <w:t> </w:t>
            </w:r>
          </w:p>
        </w:tc>
        <w:tc>
          <w:tcPr>
            <w:tcW w:w="1049" w:type="dxa"/>
            <w:tcBorders>
              <w:top w:val="nil"/>
              <w:left w:val="nil"/>
              <w:bottom w:val="nil"/>
              <w:right w:val="single" w:sz="8" w:space="0" w:color="auto"/>
            </w:tcBorders>
            <w:shd w:val="clear" w:color="auto" w:fill="auto"/>
            <w:noWrap/>
            <w:hideMark/>
          </w:tcPr>
          <w:p w:rsidR="002B2DA3" w:rsidRPr="00AE4754" w:rsidRDefault="002B2DA3" w:rsidP="002B2DA3">
            <w:pPr>
              <w:rPr>
                <w:rFonts w:ascii="Calibri" w:eastAsia="Times New Roman" w:hAnsi="Calibri" w:cs="Calibri"/>
                <w:color w:val="000000"/>
                <w:szCs w:val="22"/>
              </w:rPr>
            </w:pPr>
            <w:r w:rsidRPr="00AE4754">
              <w:rPr>
                <w:rFonts w:ascii="Calibri" w:eastAsia="Times New Roman" w:hAnsi="Calibri" w:cs="Calibri"/>
                <w:color w:val="000000"/>
                <w:szCs w:val="22"/>
              </w:rPr>
              <w:t> </w:t>
            </w:r>
          </w:p>
        </w:tc>
        <w:tc>
          <w:tcPr>
            <w:tcW w:w="1049" w:type="dxa"/>
            <w:tcBorders>
              <w:top w:val="nil"/>
              <w:left w:val="nil"/>
              <w:bottom w:val="nil"/>
              <w:right w:val="single" w:sz="8" w:space="0" w:color="auto"/>
            </w:tcBorders>
            <w:shd w:val="clear" w:color="auto" w:fill="auto"/>
            <w:noWrap/>
            <w:hideMark/>
          </w:tcPr>
          <w:p w:rsidR="002B2DA3" w:rsidRPr="00AE4754" w:rsidRDefault="002B2DA3" w:rsidP="002B2DA3">
            <w:pPr>
              <w:rPr>
                <w:rFonts w:ascii="Calibri" w:eastAsia="Times New Roman" w:hAnsi="Calibri" w:cs="Calibri"/>
                <w:color w:val="000000"/>
                <w:szCs w:val="22"/>
              </w:rPr>
            </w:pPr>
            <w:r w:rsidRPr="00AE4754">
              <w:rPr>
                <w:rFonts w:ascii="Calibri" w:eastAsia="Times New Roman" w:hAnsi="Calibri" w:cs="Calibri"/>
                <w:color w:val="000000"/>
                <w:szCs w:val="22"/>
              </w:rPr>
              <w:t> </w:t>
            </w:r>
          </w:p>
        </w:tc>
        <w:tc>
          <w:tcPr>
            <w:tcW w:w="1049" w:type="dxa"/>
            <w:tcBorders>
              <w:top w:val="nil"/>
              <w:left w:val="nil"/>
              <w:bottom w:val="nil"/>
              <w:right w:val="single" w:sz="8" w:space="0" w:color="auto"/>
            </w:tcBorders>
            <w:shd w:val="clear" w:color="auto" w:fill="auto"/>
            <w:noWrap/>
            <w:hideMark/>
          </w:tcPr>
          <w:p w:rsidR="002B2DA3" w:rsidRPr="00AE4754" w:rsidRDefault="002B2DA3" w:rsidP="002B2DA3">
            <w:pPr>
              <w:rPr>
                <w:rFonts w:ascii="Calibri" w:eastAsia="Times New Roman" w:hAnsi="Calibri" w:cs="Calibri"/>
                <w:color w:val="000000"/>
                <w:szCs w:val="22"/>
              </w:rPr>
            </w:pPr>
            <w:r w:rsidRPr="00AE4754">
              <w:rPr>
                <w:rFonts w:ascii="Calibri" w:eastAsia="Times New Roman" w:hAnsi="Calibri" w:cs="Calibri"/>
                <w:color w:val="000000"/>
                <w:szCs w:val="22"/>
              </w:rPr>
              <w:t> </w:t>
            </w:r>
          </w:p>
        </w:tc>
        <w:tc>
          <w:tcPr>
            <w:tcW w:w="1049" w:type="dxa"/>
            <w:tcBorders>
              <w:top w:val="nil"/>
              <w:left w:val="nil"/>
              <w:bottom w:val="nil"/>
              <w:right w:val="single" w:sz="8" w:space="0" w:color="auto"/>
            </w:tcBorders>
            <w:shd w:val="clear" w:color="auto" w:fill="auto"/>
            <w:noWrap/>
            <w:hideMark/>
          </w:tcPr>
          <w:p w:rsidR="002B2DA3" w:rsidRPr="00AE4754" w:rsidRDefault="002B2DA3" w:rsidP="002B2DA3">
            <w:pPr>
              <w:rPr>
                <w:rFonts w:ascii="Calibri" w:eastAsia="Times New Roman" w:hAnsi="Calibri" w:cs="Calibri"/>
                <w:color w:val="000000"/>
                <w:szCs w:val="22"/>
              </w:rPr>
            </w:pPr>
            <w:r w:rsidRPr="00AE4754">
              <w:rPr>
                <w:rFonts w:ascii="Calibri" w:eastAsia="Times New Roman" w:hAnsi="Calibri" w:cs="Calibri"/>
                <w:color w:val="000000"/>
                <w:szCs w:val="22"/>
              </w:rPr>
              <w:t> </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For. Official</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3,990.40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4,007.80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4,021.10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4,010.10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3,947.10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3,901.20</w:t>
            </w:r>
          </w:p>
        </w:tc>
        <w:tc>
          <w:tcPr>
            <w:tcW w:w="1049" w:type="dxa"/>
            <w:tcBorders>
              <w:top w:val="nil"/>
              <w:left w:val="nil"/>
              <w:bottom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3,949.70</w:t>
            </w:r>
          </w:p>
        </w:tc>
      </w:tr>
      <w:tr w:rsidR="002B2DA3" w:rsidRPr="00AE4754" w:rsidTr="002B2DA3">
        <w:trPr>
          <w:trHeight w:val="263"/>
        </w:trPr>
        <w:tc>
          <w:tcPr>
            <w:tcW w:w="2077" w:type="dxa"/>
            <w:tcBorders>
              <w:top w:val="nil"/>
              <w:left w:val="single" w:sz="8" w:space="0" w:color="auto"/>
              <w:bottom w:val="nil"/>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Treasury Bills</w:t>
            </w:r>
          </w:p>
        </w:tc>
        <w:tc>
          <w:tcPr>
            <w:tcW w:w="1049" w:type="dxa"/>
            <w:tcBorders>
              <w:top w:val="nil"/>
              <w:left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336.30</w:t>
            </w:r>
          </w:p>
        </w:tc>
        <w:tc>
          <w:tcPr>
            <w:tcW w:w="1049" w:type="dxa"/>
            <w:tcBorders>
              <w:top w:val="nil"/>
              <w:left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339.60</w:t>
            </w:r>
          </w:p>
        </w:tc>
        <w:tc>
          <w:tcPr>
            <w:tcW w:w="1049" w:type="dxa"/>
            <w:tcBorders>
              <w:top w:val="nil"/>
              <w:left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329.30</w:t>
            </w:r>
          </w:p>
        </w:tc>
        <w:tc>
          <w:tcPr>
            <w:tcW w:w="1049" w:type="dxa"/>
            <w:tcBorders>
              <w:top w:val="nil"/>
              <w:left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316.70</w:t>
            </w:r>
          </w:p>
        </w:tc>
        <w:tc>
          <w:tcPr>
            <w:tcW w:w="1049" w:type="dxa"/>
            <w:tcBorders>
              <w:top w:val="nil"/>
              <w:left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306.60</w:t>
            </w:r>
          </w:p>
        </w:tc>
        <w:tc>
          <w:tcPr>
            <w:tcW w:w="1049" w:type="dxa"/>
            <w:tcBorders>
              <w:top w:val="nil"/>
              <w:left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311.80</w:t>
            </w:r>
          </w:p>
        </w:tc>
        <w:tc>
          <w:tcPr>
            <w:tcW w:w="1049" w:type="dxa"/>
            <w:tcBorders>
              <w:top w:val="nil"/>
              <w:left w:val="nil"/>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310.40</w:t>
            </w:r>
          </w:p>
        </w:tc>
      </w:tr>
      <w:tr w:rsidR="002B2DA3" w:rsidRPr="00AE4754" w:rsidTr="002B2DA3">
        <w:trPr>
          <w:trHeight w:val="277"/>
        </w:trPr>
        <w:tc>
          <w:tcPr>
            <w:tcW w:w="2077" w:type="dxa"/>
            <w:tcBorders>
              <w:top w:val="nil"/>
              <w:left w:val="single" w:sz="8" w:space="0" w:color="auto"/>
              <w:bottom w:val="single" w:sz="8" w:space="0" w:color="auto"/>
              <w:right w:val="single" w:sz="8" w:space="0" w:color="auto"/>
            </w:tcBorders>
            <w:shd w:val="clear" w:color="auto" w:fill="auto"/>
            <w:noWrap/>
            <w:vAlign w:val="center"/>
            <w:hideMark/>
          </w:tcPr>
          <w:p w:rsidR="002B2DA3" w:rsidRPr="00AE4754" w:rsidRDefault="002B2DA3" w:rsidP="002B2DA3">
            <w:pPr>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T-Bonds &amp; Notes</w:t>
            </w:r>
          </w:p>
        </w:tc>
        <w:tc>
          <w:tcPr>
            <w:tcW w:w="1049" w:type="dxa"/>
            <w:tcBorders>
              <w:top w:val="nil"/>
              <w:left w:val="nil"/>
              <w:bottom w:val="single" w:sz="4" w:space="0" w:color="auto"/>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3,654.10</w:t>
            </w:r>
          </w:p>
        </w:tc>
        <w:tc>
          <w:tcPr>
            <w:tcW w:w="1049" w:type="dxa"/>
            <w:tcBorders>
              <w:top w:val="nil"/>
              <w:left w:val="nil"/>
              <w:bottom w:val="single" w:sz="4" w:space="0" w:color="auto"/>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3,668.10</w:t>
            </w:r>
          </w:p>
        </w:tc>
        <w:tc>
          <w:tcPr>
            <w:tcW w:w="1049" w:type="dxa"/>
            <w:tcBorders>
              <w:top w:val="nil"/>
              <w:left w:val="nil"/>
              <w:bottom w:val="single" w:sz="4" w:space="0" w:color="auto"/>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3,691.80</w:t>
            </w:r>
          </w:p>
        </w:tc>
        <w:tc>
          <w:tcPr>
            <w:tcW w:w="1049" w:type="dxa"/>
            <w:tcBorders>
              <w:top w:val="nil"/>
              <w:left w:val="nil"/>
              <w:bottom w:val="single" w:sz="4" w:space="0" w:color="auto"/>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3,693.40</w:t>
            </w:r>
          </w:p>
        </w:tc>
        <w:tc>
          <w:tcPr>
            <w:tcW w:w="1049" w:type="dxa"/>
            <w:tcBorders>
              <w:top w:val="nil"/>
              <w:left w:val="nil"/>
              <w:bottom w:val="single" w:sz="4" w:space="0" w:color="auto"/>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3,640.50</w:t>
            </w:r>
          </w:p>
        </w:tc>
        <w:tc>
          <w:tcPr>
            <w:tcW w:w="1049" w:type="dxa"/>
            <w:tcBorders>
              <w:top w:val="nil"/>
              <w:left w:val="nil"/>
              <w:bottom w:val="single" w:sz="4" w:space="0" w:color="auto"/>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3,589.40</w:t>
            </w:r>
          </w:p>
        </w:tc>
        <w:tc>
          <w:tcPr>
            <w:tcW w:w="1049" w:type="dxa"/>
            <w:tcBorders>
              <w:top w:val="nil"/>
              <w:left w:val="nil"/>
              <w:bottom w:val="single" w:sz="4" w:space="0" w:color="auto"/>
              <w:right w:val="single" w:sz="8" w:space="0" w:color="auto"/>
            </w:tcBorders>
            <w:shd w:val="clear" w:color="auto" w:fill="auto"/>
            <w:noWrap/>
            <w:vAlign w:val="center"/>
            <w:hideMark/>
          </w:tcPr>
          <w:p w:rsidR="002B2DA3" w:rsidRPr="00AE4754" w:rsidRDefault="002B2DA3" w:rsidP="002B2DA3">
            <w:pPr>
              <w:jc w:val="right"/>
              <w:rPr>
                <w:rFonts w:ascii="Garamond" w:eastAsia="Times New Roman" w:hAnsi="Garamond" w:cs="Calibri"/>
                <w:color w:val="000000"/>
                <w:sz w:val="20"/>
                <w:szCs w:val="20"/>
              </w:rPr>
            </w:pPr>
            <w:r w:rsidRPr="00AE4754">
              <w:rPr>
                <w:rFonts w:ascii="Garamond" w:eastAsia="Times New Roman" w:hAnsi="Garamond" w:cs="Calibri"/>
                <w:color w:val="000000"/>
                <w:sz w:val="20"/>
                <w:szCs w:val="20"/>
              </w:rPr>
              <w:t>3,639.30</w:t>
            </w:r>
          </w:p>
        </w:tc>
      </w:tr>
    </w:tbl>
    <w:p w:rsidR="002B2DA3" w:rsidRDefault="002B2DA3" w:rsidP="002B2DA3">
      <w:pPr>
        <w:rPr>
          <w:rFonts w:ascii="Garamond" w:hAnsi="Garamond"/>
          <w:b/>
          <w:sz w:val="20"/>
        </w:rPr>
      </w:pPr>
      <w:r>
        <w:rPr>
          <w:rFonts w:ascii="Garamond" w:hAnsi="Garamond"/>
          <w:b/>
          <w:sz w:val="20"/>
        </w:rPr>
        <w:t xml:space="preserve">Note: </w:t>
      </w:r>
    </w:p>
    <w:p w:rsidR="002B2DA3" w:rsidRDefault="002B2DA3" w:rsidP="002B2DA3">
      <w:pPr>
        <w:pStyle w:val="ListParagraph"/>
        <w:numPr>
          <w:ilvl w:val="0"/>
          <w:numId w:val="8"/>
        </w:numPr>
        <w:spacing w:after="0" w:line="240" w:lineRule="auto"/>
        <w:ind w:left="360"/>
        <w:jc w:val="both"/>
        <w:rPr>
          <w:rFonts w:ascii="Garamond" w:hAnsi="Garamond"/>
        </w:rPr>
      </w:pPr>
      <w:r>
        <w:rPr>
          <w:rFonts w:ascii="Garamond" w:hAnsi="Garamond"/>
        </w:rPr>
        <w:t xml:space="preserve">Data available as on February 15, 2019 </w:t>
      </w:r>
    </w:p>
    <w:p w:rsidR="002B2DA3" w:rsidRPr="007A233C" w:rsidRDefault="002B2DA3" w:rsidP="002B2DA3">
      <w:pPr>
        <w:pStyle w:val="ListParagraph"/>
        <w:numPr>
          <w:ilvl w:val="0"/>
          <w:numId w:val="8"/>
        </w:numPr>
        <w:spacing w:after="0" w:line="240" w:lineRule="auto"/>
        <w:ind w:left="360"/>
        <w:jc w:val="both"/>
        <w:rPr>
          <w:rFonts w:ascii="Garamond" w:hAnsi="Garamond"/>
        </w:rPr>
      </w:pPr>
      <w:r w:rsidRPr="007A233C">
        <w:rPr>
          <w:rFonts w:ascii="Garamond" w:hAnsi="Garamond"/>
        </w:rPr>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w:t>
      </w:r>
    </w:p>
    <w:p w:rsidR="002B2DA3" w:rsidRPr="007A233C" w:rsidRDefault="002B2DA3" w:rsidP="002B2DA3">
      <w:pPr>
        <w:pStyle w:val="ListParagraph"/>
        <w:numPr>
          <w:ilvl w:val="0"/>
          <w:numId w:val="8"/>
        </w:numPr>
        <w:spacing w:after="0" w:line="240" w:lineRule="auto"/>
        <w:ind w:left="360"/>
        <w:jc w:val="both"/>
        <w:rPr>
          <w:rFonts w:ascii="Garamond" w:hAnsi="Garamond"/>
        </w:rPr>
      </w:pPr>
      <w:r w:rsidRPr="007A233C">
        <w:rPr>
          <w:rFonts w:ascii="Garamond" w:hAnsi="Garamond"/>
        </w:rPr>
        <w:t>Estimated foreign holdings of U.S. Treasury marketable and non-marketable bills, bonds, and notes reported under the Treasury International Capital (TIC) reporting system are based on monthly data on holdings of Treasury bonds and notes as reported on TIC Form SLT, Aggregate Holdings of Long-Term Securities by U.S. and Foreign Residents and on TIC Form BL2, Report of Customers' U.S. Dollar Liabilities to Foreign Residents.</w:t>
      </w:r>
    </w:p>
    <w:p w:rsidR="002B2DA3" w:rsidRPr="007A233C" w:rsidRDefault="002B2DA3" w:rsidP="002B2DA3">
      <w:pPr>
        <w:rPr>
          <w:rFonts w:ascii="Garamond" w:hAnsi="Garamond"/>
          <w:sz w:val="20"/>
        </w:rPr>
      </w:pPr>
      <w:r w:rsidRPr="007A233C">
        <w:rPr>
          <w:rFonts w:ascii="Garamond" w:hAnsi="Garamond"/>
          <w:b/>
          <w:sz w:val="20"/>
        </w:rPr>
        <w:t>Source:</w:t>
      </w:r>
      <w:r>
        <w:rPr>
          <w:rFonts w:ascii="Garamond" w:hAnsi="Garamond"/>
          <w:b/>
          <w:sz w:val="20"/>
        </w:rPr>
        <w:t xml:space="preserve"> </w:t>
      </w:r>
      <w:r w:rsidRPr="007A233C">
        <w:rPr>
          <w:rFonts w:ascii="Garamond" w:hAnsi="Garamond"/>
          <w:sz w:val="20"/>
        </w:rPr>
        <w:t>Department of the Treasury/Federal Reserve Board</w:t>
      </w:r>
    </w:p>
    <w:p w:rsidR="002B2DA3" w:rsidRDefault="002B2DA3" w:rsidP="002B2DA3">
      <w:pPr>
        <w:rPr>
          <w:rFonts w:ascii="Garamond" w:hAnsi="Garamond"/>
          <w:b/>
        </w:rPr>
      </w:pPr>
    </w:p>
    <w:p w:rsidR="002B2DA3" w:rsidRPr="00973C91" w:rsidRDefault="002B2DA3" w:rsidP="002B2DA3">
      <w:pPr>
        <w:outlineLvl w:val="0"/>
        <w:rPr>
          <w:rFonts w:ascii="Garamond" w:hAnsi="Garamond"/>
          <w:b/>
        </w:rPr>
      </w:pPr>
      <w:r w:rsidRPr="00973C91">
        <w:rPr>
          <w:rFonts w:ascii="Garamond" w:hAnsi="Garamond"/>
          <w:b/>
        </w:rPr>
        <w:t>Currency Market:</w:t>
      </w:r>
    </w:p>
    <w:p w:rsidR="002B2DA3" w:rsidRPr="00973C91" w:rsidRDefault="002B2DA3" w:rsidP="002B2DA3">
      <w:pPr>
        <w:jc w:val="both"/>
        <w:rPr>
          <w:rFonts w:ascii="Garamond" w:hAnsi="Garamond"/>
        </w:rPr>
      </w:pPr>
    </w:p>
    <w:p w:rsidR="002B2DA3" w:rsidRPr="0056417E" w:rsidRDefault="002B2DA3" w:rsidP="002B2DA3">
      <w:pPr>
        <w:jc w:val="both"/>
        <w:rPr>
          <w:rFonts w:ascii="Garamond" w:hAnsi="Garamond"/>
        </w:rPr>
      </w:pPr>
      <w:r w:rsidRPr="0056417E">
        <w:rPr>
          <w:rFonts w:ascii="Garamond" w:hAnsi="Garamond"/>
        </w:rPr>
        <w:t xml:space="preserve">During February 2019, the US dollar paired its losses in the previous month and gained 0.6 per cent against basket of major currencies, as yields tightened marginally. Both Japanese Yen and Eurozone’s Euro depreciated by 2.3 </w:t>
      </w:r>
      <w:r>
        <w:rPr>
          <w:rFonts w:ascii="Garamond" w:hAnsi="Garamond"/>
        </w:rPr>
        <w:t>per cent</w:t>
      </w:r>
      <w:r w:rsidRPr="0056417E">
        <w:rPr>
          <w:rFonts w:ascii="Garamond" w:hAnsi="Garamond"/>
        </w:rPr>
        <w:t xml:space="preserve"> and 0.7 </w:t>
      </w:r>
      <w:r>
        <w:rPr>
          <w:rFonts w:ascii="Garamond" w:hAnsi="Garamond"/>
        </w:rPr>
        <w:t>per cent</w:t>
      </w:r>
      <w:r w:rsidRPr="0056417E">
        <w:rPr>
          <w:rFonts w:ascii="Garamond" w:hAnsi="Garamond"/>
        </w:rPr>
        <w:t xml:space="preserve"> respectively, whereas British Pound gained by 1.2 </w:t>
      </w:r>
      <w:r>
        <w:rPr>
          <w:rFonts w:ascii="Garamond" w:hAnsi="Garamond"/>
        </w:rPr>
        <w:t>per cent</w:t>
      </w:r>
      <w:r w:rsidRPr="0056417E">
        <w:rPr>
          <w:rFonts w:ascii="Garamond" w:hAnsi="Garamond"/>
        </w:rPr>
        <w:t xml:space="preserve">. Amongst currencies of BRICS nations, while the currencies of South Africa, Brazil and Russia depreciated by 6.3 </w:t>
      </w:r>
      <w:r>
        <w:rPr>
          <w:rFonts w:ascii="Garamond" w:hAnsi="Garamond"/>
        </w:rPr>
        <w:t>per cent</w:t>
      </w:r>
      <w:r w:rsidRPr="0056417E">
        <w:rPr>
          <w:rFonts w:ascii="Garamond" w:hAnsi="Garamond"/>
        </w:rPr>
        <w:t xml:space="preserve">, 3.0 </w:t>
      </w:r>
      <w:r>
        <w:rPr>
          <w:rFonts w:ascii="Garamond" w:hAnsi="Garamond"/>
        </w:rPr>
        <w:t>per cent</w:t>
      </w:r>
      <w:r w:rsidRPr="0056417E">
        <w:rPr>
          <w:rFonts w:ascii="Garamond" w:hAnsi="Garamond"/>
        </w:rPr>
        <w:t xml:space="preserve"> and 0.9 </w:t>
      </w:r>
      <w:r>
        <w:rPr>
          <w:rFonts w:ascii="Garamond" w:hAnsi="Garamond"/>
        </w:rPr>
        <w:t>per cent</w:t>
      </w:r>
      <w:r w:rsidRPr="0056417E">
        <w:rPr>
          <w:rFonts w:ascii="Garamond" w:hAnsi="Garamond"/>
        </w:rPr>
        <w:t xml:space="preserve"> respectively during February 2019, the Indian Rupee and Chinese Yuan appreciated by 0.5 </w:t>
      </w:r>
      <w:r>
        <w:rPr>
          <w:rFonts w:ascii="Garamond" w:hAnsi="Garamond"/>
        </w:rPr>
        <w:t>per cent</w:t>
      </w:r>
      <w:r w:rsidRPr="0056417E">
        <w:rPr>
          <w:rFonts w:ascii="Garamond" w:hAnsi="Garamond"/>
        </w:rPr>
        <w:t xml:space="preserve"> and 0.03 </w:t>
      </w:r>
      <w:r>
        <w:rPr>
          <w:rFonts w:ascii="Garamond" w:hAnsi="Garamond"/>
        </w:rPr>
        <w:t>per cent</w:t>
      </w:r>
      <w:r w:rsidRPr="0056417E">
        <w:rPr>
          <w:rFonts w:ascii="Garamond" w:hAnsi="Garamond"/>
        </w:rPr>
        <w:t xml:space="preserve"> respectively.</w:t>
      </w:r>
    </w:p>
    <w:p w:rsidR="002B2DA3" w:rsidRPr="0056417E" w:rsidRDefault="002B2DA3" w:rsidP="002B2DA3">
      <w:pPr>
        <w:jc w:val="both"/>
        <w:rPr>
          <w:rFonts w:ascii="Garamond" w:hAnsi="Garamond"/>
        </w:rPr>
      </w:pPr>
    </w:p>
    <w:p w:rsidR="002B2DA3" w:rsidRPr="00DD53EA" w:rsidRDefault="002B2DA3" w:rsidP="002B2DA3">
      <w:pPr>
        <w:jc w:val="both"/>
        <w:rPr>
          <w:rFonts w:ascii="Garamond" w:hAnsi="Garamond"/>
        </w:rPr>
      </w:pPr>
      <w:r w:rsidRPr="0056417E">
        <w:rPr>
          <w:rFonts w:ascii="Garamond" w:hAnsi="Garamond"/>
        </w:rPr>
        <w:t xml:space="preserve">In the last one year, major currencies across the world have depreciated against dollar to various extent. Amongst developed markets, in the past one year, Euro has depreciated highest by 7.2 </w:t>
      </w:r>
      <w:r>
        <w:rPr>
          <w:rFonts w:ascii="Garamond" w:hAnsi="Garamond"/>
        </w:rPr>
        <w:t>per cent</w:t>
      </w:r>
      <w:r w:rsidRPr="0056417E">
        <w:rPr>
          <w:rFonts w:ascii="Garamond" w:hAnsi="Garamond"/>
        </w:rPr>
        <w:t xml:space="preserve">, followed by Japanese Yen (4.4 </w:t>
      </w:r>
      <w:r>
        <w:rPr>
          <w:rFonts w:ascii="Garamond" w:hAnsi="Garamond"/>
        </w:rPr>
        <w:t>per cent</w:t>
      </w:r>
      <w:r w:rsidRPr="0056417E">
        <w:rPr>
          <w:rFonts w:ascii="Garamond" w:hAnsi="Garamond"/>
        </w:rPr>
        <w:t xml:space="preserve">), British Pound (3.7 </w:t>
      </w:r>
      <w:r>
        <w:rPr>
          <w:rFonts w:ascii="Garamond" w:hAnsi="Garamond"/>
        </w:rPr>
        <w:t>per cent</w:t>
      </w:r>
      <w:r w:rsidRPr="0056417E">
        <w:rPr>
          <w:rFonts w:ascii="Garamond" w:hAnsi="Garamond"/>
        </w:rPr>
        <w:t xml:space="preserve">) and Hong Kong Dollar by (0.3 </w:t>
      </w:r>
      <w:r>
        <w:rPr>
          <w:rFonts w:ascii="Garamond" w:hAnsi="Garamond"/>
        </w:rPr>
        <w:t>per cent</w:t>
      </w:r>
      <w:r w:rsidRPr="0056417E">
        <w:rPr>
          <w:rFonts w:ascii="Garamond" w:hAnsi="Garamond"/>
        </w:rPr>
        <w:t xml:space="preserve">). Amongst BRICS countries too, while South African Rand, Russian Rubble and Brazilian Real lost 19.4 </w:t>
      </w:r>
      <w:r>
        <w:rPr>
          <w:rFonts w:ascii="Garamond" w:hAnsi="Garamond"/>
        </w:rPr>
        <w:t>per cent</w:t>
      </w:r>
      <w:r w:rsidRPr="0056417E">
        <w:rPr>
          <w:rFonts w:ascii="Garamond" w:hAnsi="Garamond"/>
        </w:rPr>
        <w:t xml:space="preserve">, 17.1 </w:t>
      </w:r>
      <w:r>
        <w:rPr>
          <w:rFonts w:ascii="Garamond" w:hAnsi="Garamond"/>
        </w:rPr>
        <w:t>per cent</w:t>
      </w:r>
      <w:r w:rsidRPr="0056417E">
        <w:rPr>
          <w:rFonts w:ascii="Garamond" w:hAnsi="Garamond"/>
        </w:rPr>
        <w:t xml:space="preserve"> and 15.7 </w:t>
      </w:r>
      <w:r>
        <w:rPr>
          <w:rFonts w:ascii="Garamond" w:hAnsi="Garamond"/>
        </w:rPr>
        <w:t>per cent</w:t>
      </w:r>
      <w:r w:rsidRPr="0056417E">
        <w:rPr>
          <w:rFonts w:ascii="Garamond" w:hAnsi="Garamond"/>
        </w:rPr>
        <w:t xml:space="preserve"> respectively, Indian Rupee and Chinese Yuan depreciated modestly by 8.6 </w:t>
      </w:r>
      <w:r>
        <w:rPr>
          <w:rFonts w:ascii="Garamond" w:hAnsi="Garamond"/>
        </w:rPr>
        <w:t>per cent</w:t>
      </w:r>
      <w:r w:rsidRPr="0056417E">
        <w:rPr>
          <w:rFonts w:ascii="Garamond" w:hAnsi="Garamond"/>
        </w:rPr>
        <w:t xml:space="preserve"> and 5.7 </w:t>
      </w:r>
      <w:r>
        <w:rPr>
          <w:rFonts w:ascii="Garamond" w:hAnsi="Garamond"/>
        </w:rPr>
        <w:t>per cent</w:t>
      </w:r>
      <w:r w:rsidRPr="0056417E">
        <w:rPr>
          <w:rFonts w:ascii="Garamond" w:hAnsi="Garamond"/>
        </w:rPr>
        <w:t xml:space="preserve"> respectively (Chart 6).</w:t>
      </w:r>
    </w:p>
    <w:p w:rsidR="002B2DA3" w:rsidRPr="004D6031" w:rsidRDefault="002B2DA3" w:rsidP="002B2DA3">
      <w:pPr>
        <w:jc w:val="both"/>
        <w:rPr>
          <w:rFonts w:ascii="Garamond" w:hAnsi="Garamond"/>
        </w:rPr>
      </w:pPr>
    </w:p>
    <w:p w:rsidR="002B2DA3" w:rsidRDefault="002B2DA3" w:rsidP="002B2DA3">
      <w:pPr>
        <w:outlineLvl w:val="0"/>
        <w:rPr>
          <w:rFonts w:ascii="Garamond" w:hAnsi="Garamond"/>
          <w:b/>
        </w:rPr>
      </w:pPr>
      <w:r w:rsidRPr="003E388D">
        <w:rPr>
          <w:rFonts w:ascii="Garamond" w:hAnsi="Garamond"/>
          <w:b/>
        </w:rPr>
        <w:t>Chart 5: Movement of the Major Currencies against US$</w:t>
      </w:r>
    </w:p>
    <w:p w:rsidR="002B2DA3" w:rsidRDefault="002B2DA3" w:rsidP="002B2DA3">
      <w:pPr>
        <w:rPr>
          <w:rFonts w:ascii="Garamond" w:hAnsi="Garamond"/>
          <w:b/>
        </w:rPr>
      </w:pPr>
      <w:r>
        <w:rPr>
          <w:noProof/>
          <w:lang w:val="en-IN" w:eastAsia="en-IN"/>
        </w:rPr>
        <w:drawing>
          <wp:inline distT="0" distB="0" distL="0" distR="0" wp14:anchorId="7A1610AD" wp14:editId="3B8AA8E5">
            <wp:extent cx="5721292" cy="3070370"/>
            <wp:effectExtent l="0" t="0" r="0"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2B2DA3" w:rsidRPr="003E388D" w:rsidRDefault="002B2DA3" w:rsidP="002B2DA3">
      <w:pPr>
        <w:jc w:val="both"/>
        <w:rPr>
          <w:rFonts w:ascii="Garamond" w:hAnsi="Garamond" w:cs="Arial"/>
          <w:sz w:val="20"/>
        </w:rPr>
      </w:pPr>
      <w:r w:rsidRPr="003E388D">
        <w:rPr>
          <w:rFonts w:ascii="Garamond" w:hAnsi="Garamond"/>
          <w:b/>
          <w:sz w:val="20"/>
        </w:rPr>
        <w:t>Note:</w:t>
      </w:r>
      <w:r w:rsidRPr="003E388D">
        <w:rPr>
          <w:rFonts w:ascii="Garamond" w:hAnsi="Garamond"/>
          <w:sz w:val="20"/>
        </w:rPr>
        <w:t xml:space="preserve"> All currencies have been </w:t>
      </w:r>
      <w:r w:rsidRPr="003E388D">
        <w:rPr>
          <w:rFonts w:ascii="Garamond" w:hAnsi="Garamond" w:cs="Arial"/>
          <w:sz w:val="20"/>
        </w:rPr>
        <w:t>normalised keeping March 31, 2018 as base.</w:t>
      </w:r>
    </w:p>
    <w:p w:rsidR="002B2DA3" w:rsidRPr="003E388D" w:rsidRDefault="002B2DA3" w:rsidP="002B2DA3">
      <w:pPr>
        <w:outlineLvl w:val="0"/>
        <w:rPr>
          <w:rFonts w:ascii="Garamond" w:hAnsi="Garamond"/>
          <w:sz w:val="20"/>
        </w:rPr>
      </w:pPr>
      <w:r w:rsidRPr="003E388D">
        <w:rPr>
          <w:rFonts w:ascii="Garamond" w:hAnsi="Garamond"/>
          <w:b/>
          <w:sz w:val="20"/>
        </w:rPr>
        <w:t>Source:</w:t>
      </w:r>
      <w:r w:rsidRPr="003E388D">
        <w:rPr>
          <w:rFonts w:ascii="Garamond" w:hAnsi="Garamond"/>
          <w:sz w:val="20"/>
        </w:rPr>
        <w:t xml:space="preserve"> Bloomberg</w:t>
      </w:r>
    </w:p>
    <w:p w:rsidR="002B2DA3" w:rsidRPr="003E388D" w:rsidRDefault="002B2DA3" w:rsidP="002B2DA3">
      <w:pPr>
        <w:rPr>
          <w:rFonts w:ascii="Garamond" w:hAnsi="Garamond"/>
          <w:b/>
        </w:rPr>
      </w:pPr>
    </w:p>
    <w:p w:rsidR="002B2DA3" w:rsidRDefault="002B2DA3" w:rsidP="002B2DA3">
      <w:pPr>
        <w:spacing w:after="160" w:line="259" w:lineRule="auto"/>
        <w:rPr>
          <w:rFonts w:ascii="Garamond" w:hAnsi="Garamond"/>
          <w:b/>
        </w:rPr>
      </w:pPr>
      <w:r>
        <w:rPr>
          <w:rFonts w:ascii="Garamond" w:hAnsi="Garamond"/>
          <w:b/>
        </w:rPr>
        <w:br w:type="page"/>
      </w:r>
    </w:p>
    <w:p w:rsidR="002B2DA3" w:rsidRDefault="002B2DA3" w:rsidP="002B2DA3">
      <w:pPr>
        <w:outlineLvl w:val="0"/>
        <w:rPr>
          <w:rFonts w:ascii="Garamond" w:hAnsi="Garamond"/>
          <w:b/>
        </w:rPr>
      </w:pPr>
      <w:r w:rsidRPr="003E388D">
        <w:rPr>
          <w:rFonts w:ascii="Garamond" w:hAnsi="Garamond"/>
          <w:b/>
        </w:rPr>
        <w:lastRenderedPageBreak/>
        <w:t>Chart 6: Movement of the US Dollar Index and MSCI EM Currency Index</w:t>
      </w:r>
    </w:p>
    <w:p w:rsidR="002B2DA3" w:rsidRDefault="002B2DA3" w:rsidP="002B2DA3">
      <w:pPr>
        <w:rPr>
          <w:rFonts w:ascii="Garamond" w:hAnsi="Garamond"/>
          <w:b/>
        </w:rPr>
      </w:pPr>
      <w:r>
        <w:rPr>
          <w:noProof/>
          <w:lang w:val="en-IN" w:eastAsia="en-IN"/>
        </w:rPr>
        <w:drawing>
          <wp:inline distT="0" distB="0" distL="0" distR="0" wp14:anchorId="517E3055" wp14:editId="7111103B">
            <wp:extent cx="5048410" cy="2320578"/>
            <wp:effectExtent l="0" t="0" r="0" b="0"/>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002B2DA3" w:rsidRDefault="002B2DA3" w:rsidP="002B2DA3">
      <w:pPr>
        <w:rPr>
          <w:rFonts w:ascii="Garamond" w:hAnsi="Garamond"/>
          <w:b/>
        </w:rPr>
      </w:pPr>
    </w:p>
    <w:p w:rsidR="002B2DA3" w:rsidRPr="003E388D" w:rsidRDefault="002B2DA3" w:rsidP="002B2DA3">
      <w:pPr>
        <w:jc w:val="both"/>
        <w:outlineLvl w:val="0"/>
        <w:rPr>
          <w:rFonts w:ascii="Garamond" w:hAnsi="Garamond"/>
          <w:sz w:val="20"/>
        </w:rPr>
      </w:pPr>
      <w:r w:rsidRPr="003E388D">
        <w:rPr>
          <w:rFonts w:ascii="Garamond" w:hAnsi="Garamond"/>
          <w:b/>
          <w:sz w:val="20"/>
        </w:rPr>
        <w:t>Note:</w:t>
      </w:r>
    </w:p>
    <w:p w:rsidR="002B2DA3" w:rsidRPr="003E388D" w:rsidRDefault="002B2DA3" w:rsidP="002B2DA3">
      <w:pPr>
        <w:pStyle w:val="ListParagraph"/>
        <w:numPr>
          <w:ilvl w:val="0"/>
          <w:numId w:val="6"/>
        </w:numPr>
        <w:spacing w:after="0" w:line="240" w:lineRule="auto"/>
        <w:jc w:val="both"/>
        <w:rPr>
          <w:rFonts w:ascii="Garamond" w:hAnsi="Garamond" w:cs="Arial"/>
        </w:rPr>
      </w:pPr>
      <w:r w:rsidRPr="003E388D">
        <w:rPr>
          <w:rFonts w:ascii="Garamond" w:hAnsi="Garamond"/>
        </w:rPr>
        <w:t xml:space="preserve">All currencies have been </w:t>
      </w:r>
      <w:r w:rsidRPr="003E388D">
        <w:rPr>
          <w:rFonts w:ascii="Garamond" w:hAnsi="Garamond" w:cs="Arial"/>
        </w:rPr>
        <w:t>normalised keeping March 31, 2018 as base.</w:t>
      </w:r>
    </w:p>
    <w:p w:rsidR="002B2DA3" w:rsidRPr="003E388D" w:rsidRDefault="002B2DA3" w:rsidP="002B2DA3">
      <w:pPr>
        <w:pStyle w:val="ListParagraph"/>
        <w:numPr>
          <w:ilvl w:val="0"/>
          <w:numId w:val="6"/>
        </w:numPr>
        <w:spacing w:after="0" w:line="240" w:lineRule="auto"/>
        <w:jc w:val="both"/>
        <w:rPr>
          <w:rFonts w:ascii="Garamond" w:hAnsi="Garamond" w:cs="Arial"/>
        </w:rPr>
      </w:pPr>
      <w:r w:rsidRPr="003E388D">
        <w:rPr>
          <w:rFonts w:ascii="Garamond" w:hAnsi="Garamond" w:cs="Arial"/>
        </w:rPr>
        <w:t>The U.S. Dollar Index is an index of the value of the United States dollar relative to a basket of foreign currencies. The Index goes up when the U.S. dollar gains value when compared to other currencies. The index is maintained and published by Intercontinental Exchange. It is a weighted geometric mean of the dollar's value relative to following select currencies: Euro, Japanese yen, Pound sterling, Canadian dollar, Swedish krona, Swiss franc.</w:t>
      </w:r>
    </w:p>
    <w:p w:rsidR="002B2DA3" w:rsidRPr="003E388D" w:rsidRDefault="002B2DA3" w:rsidP="002B2DA3">
      <w:pPr>
        <w:pStyle w:val="ListParagraph"/>
        <w:numPr>
          <w:ilvl w:val="0"/>
          <w:numId w:val="6"/>
        </w:numPr>
        <w:spacing w:after="0" w:line="240" w:lineRule="auto"/>
        <w:jc w:val="both"/>
        <w:rPr>
          <w:rFonts w:ascii="Garamond" w:hAnsi="Garamond" w:cs="Arial"/>
        </w:rPr>
      </w:pPr>
      <w:r w:rsidRPr="003E388D">
        <w:rPr>
          <w:rFonts w:ascii="Garamond" w:hAnsi="Garamond" w:cs="Arial"/>
        </w:rPr>
        <w:t>The MSCI Emerging Markets (EM) Currency Index tracks the performance of twenty-five emerging-market currencies relative to the US Dollar.</w:t>
      </w:r>
    </w:p>
    <w:p w:rsidR="002B2DA3" w:rsidRPr="003E388D" w:rsidRDefault="002B2DA3" w:rsidP="002B2DA3">
      <w:pPr>
        <w:outlineLvl w:val="0"/>
        <w:rPr>
          <w:rFonts w:ascii="Garamond" w:hAnsi="Garamond"/>
          <w:sz w:val="20"/>
        </w:rPr>
      </w:pPr>
      <w:r w:rsidRPr="003E388D">
        <w:rPr>
          <w:rFonts w:ascii="Garamond" w:hAnsi="Garamond"/>
          <w:b/>
          <w:sz w:val="20"/>
        </w:rPr>
        <w:t>Source:</w:t>
      </w:r>
      <w:r w:rsidRPr="003E388D">
        <w:rPr>
          <w:rFonts w:ascii="Garamond" w:hAnsi="Garamond"/>
          <w:sz w:val="20"/>
        </w:rPr>
        <w:t xml:space="preserve"> Bloomberg</w:t>
      </w:r>
    </w:p>
    <w:p w:rsidR="002726A8" w:rsidRPr="002726A8" w:rsidRDefault="002726A8" w:rsidP="002726A8">
      <w:pPr>
        <w:outlineLvl w:val="0"/>
        <w:rPr>
          <w:rFonts w:ascii="Garamond" w:hAnsi="Garamond"/>
          <w:sz w:val="20"/>
        </w:rPr>
      </w:pPr>
    </w:p>
    <w:p w:rsidR="00454926" w:rsidRPr="002726A8" w:rsidRDefault="00454926" w:rsidP="00454926">
      <w:pPr>
        <w:outlineLvl w:val="0"/>
        <w:rPr>
          <w:rFonts w:ascii="Garamond" w:hAnsi="Garamond" w:cstheme="minorBidi"/>
          <w:sz w:val="20"/>
          <w:szCs w:val="28"/>
          <w:lang w:bidi="bn-IN"/>
        </w:rPr>
      </w:pPr>
    </w:p>
    <w:p w:rsidR="005260F0" w:rsidRPr="002726A8" w:rsidRDefault="005260F0" w:rsidP="00454926">
      <w:pPr>
        <w:rPr>
          <w:rFonts w:ascii="Garamond" w:hAnsi="Garamond" w:cs="Helvetica"/>
          <w:b/>
          <w:strike/>
          <w:color w:val="000099"/>
          <w:sz w:val="32"/>
          <w:szCs w:val="40"/>
        </w:rPr>
      </w:pPr>
      <w:r w:rsidRPr="002726A8">
        <w:rPr>
          <w:rFonts w:ascii="Garamond" w:hAnsi="Garamond" w:cs="Helvetica"/>
          <w:b/>
          <w:strike/>
          <w:color w:val="000099"/>
          <w:sz w:val="32"/>
          <w:szCs w:val="40"/>
        </w:rPr>
        <w:br w:type="page"/>
      </w:r>
    </w:p>
    <w:p w:rsidR="009C313D" w:rsidRPr="002726A8" w:rsidRDefault="009C313D" w:rsidP="009C313D">
      <w:pPr>
        <w:jc w:val="center"/>
        <w:outlineLvl w:val="0"/>
        <w:rPr>
          <w:rFonts w:ascii="Garamond" w:hAnsi="Garamond" w:cs="Helvetica"/>
          <w:b/>
          <w:color w:val="000099"/>
          <w:sz w:val="32"/>
          <w:szCs w:val="40"/>
        </w:rPr>
      </w:pPr>
      <w:r w:rsidRPr="002726A8">
        <w:rPr>
          <w:rFonts w:ascii="Garamond" w:hAnsi="Garamond" w:cs="Helvetica"/>
          <w:b/>
          <w:color w:val="000099"/>
          <w:sz w:val="32"/>
          <w:szCs w:val="40"/>
        </w:rPr>
        <w:lastRenderedPageBreak/>
        <w:t>HIGHLIGHTS OF DEVELOPMENTS IN INTERNATIONAL SECURITIES MARKET</w:t>
      </w:r>
    </w:p>
    <w:p w:rsidR="009C313D" w:rsidRPr="002726A8" w:rsidRDefault="009C313D" w:rsidP="009C313D">
      <w:pPr>
        <w:rPr>
          <w:rFonts w:ascii="Garamond" w:hAnsi="Garamond"/>
          <w:b/>
          <w:strike/>
        </w:rPr>
      </w:pPr>
    </w:p>
    <w:p w:rsidR="00FF5B19" w:rsidRPr="002B666F" w:rsidRDefault="00FF5B19" w:rsidP="00C0009A">
      <w:pPr>
        <w:numPr>
          <w:ilvl w:val="0"/>
          <w:numId w:val="11"/>
        </w:numPr>
        <w:tabs>
          <w:tab w:val="left" w:pos="720"/>
          <w:tab w:val="left" w:pos="1080"/>
        </w:tabs>
        <w:spacing w:after="200" w:line="276" w:lineRule="auto"/>
        <w:ind w:left="450" w:right="-360"/>
        <w:contextualSpacing/>
        <w:jc w:val="both"/>
        <w:rPr>
          <w:rFonts w:ascii="Garamond" w:hAnsi="Garamond" w:cstheme="minorHAnsi"/>
          <w:b/>
          <w:color w:val="2F5496" w:themeColor="accent5" w:themeShade="BF"/>
          <w:u w:val="single"/>
        </w:rPr>
      </w:pPr>
      <w:r w:rsidRPr="002B666F">
        <w:rPr>
          <w:rFonts w:ascii="Garamond" w:hAnsi="Garamond" w:cstheme="minorHAnsi"/>
          <w:b/>
          <w:color w:val="2F5496" w:themeColor="accent5" w:themeShade="BF"/>
          <w:sz w:val="28"/>
          <w:u w:val="single"/>
        </w:rPr>
        <w:t>U.S. Securities and Exchange Commission (SEC)</w:t>
      </w:r>
    </w:p>
    <w:p w:rsidR="00FF5B19" w:rsidRPr="002B666F" w:rsidRDefault="00FF5B19" w:rsidP="00C0009A">
      <w:pPr>
        <w:pStyle w:val="ListParagraph"/>
        <w:numPr>
          <w:ilvl w:val="0"/>
          <w:numId w:val="14"/>
        </w:numPr>
        <w:tabs>
          <w:tab w:val="left" w:pos="810"/>
          <w:tab w:val="left" w:pos="1080"/>
        </w:tabs>
        <w:ind w:right="-360"/>
        <w:jc w:val="both"/>
        <w:rPr>
          <w:rFonts w:ascii="Garamond" w:hAnsi="Garamond"/>
          <w:b/>
          <w:sz w:val="24"/>
          <w:szCs w:val="24"/>
        </w:rPr>
      </w:pPr>
      <w:r w:rsidRPr="002B666F">
        <w:rPr>
          <w:rFonts w:ascii="Garamond" w:hAnsi="Garamond"/>
          <w:b/>
          <w:sz w:val="24"/>
          <w:szCs w:val="24"/>
        </w:rPr>
        <w:t>SEC Proposes to Expand “Test-the-Waters” Modernization Reform to All Issuers</w:t>
      </w:r>
    </w:p>
    <w:p w:rsidR="00FF5B19" w:rsidRPr="002B666F" w:rsidRDefault="00FF5B19" w:rsidP="00FF5B19">
      <w:pPr>
        <w:tabs>
          <w:tab w:val="left" w:pos="810"/>
          <w:tab w:val="left" w:pos="1080"/>
        </w:tabs>
        <w:ind w:right="-360"/>
        <w:jc w:val="both"/>
        <w:rPr>
          <w:rFonts w:ascii="Garamond" w:hAnsi="Garamond"/>
        </w:rPr>
      </w:pPr>
      <w:r w:rsidRPr="002B666F">
        <w:rPr>
          <w:rFonts w:ascii="Garamond" w:hAnsi="Garamond"/>
        </w:rPr>
        <w:t>The Securities and Exchange Commission proposed an expansion of a popular modernization reform that would permit investor views about potential offerings to be taken into account at an earlier stage in the process. The new rule and related amendments would expand the "test-the-waters" accommodation—currently available to emerging growth companies or "EGCs"—to all issuers, including investment company issuers.  </w:t>
      </w:r>
    </w:p>
    <w:p w:rsidR="00FF5B19" w:rsidRPr="002B666F" w:rsidRDefault="00FF5B19" w:rsidP="00FF5B19">
      <w:pPr>
        <w:tabs>
          <w:tab w:val="left" w:pos="810"/>
          <w:tab w:val="left" w:pos="1080"/>
        </w:tabs>
        <w:ind w:right="-360"/>
        <w:jc w:val="both"/>
        <w:rPr>
          <w:rFonts w:ascii="Garamond" w:hAnsi="Garamond"/>
        </w:rPr>
      </w:pPr>
      <w:r w:rsidRPr="002B666F">
        <w:rPr>
          <w:rFonts w:ascii="Garamond" w:hAnsi="Garamond"/>
        </w:rPr>
        <w:t>This proposal would allow all prospective issuers, not just EGCs, to gauge market interest in a possible initial public offering or other proposed registered securities offering by permitting discussions with certain investors prior to the filing of a registration statement. The proposed reform builds on a popular similar provision of the Jumpstart Our Business Startups Act (JOBS Act) that has been limited to EGCs. Generally, companies with more than $1 billion in annual revenues do not qualify as EGCs and, therefore, have not benefitted from JOBS Act provisions intended to foster capital formation in the public markets. The proposed rule follows action taken by the Division of Corporation Finance in 2017 to extend another EGC reform to all issuers: the ability to initially submit certain filings in draft, non-public form. As a result of that policy change, all issuers, not just EGCs, have been able to make non-public filings with the SEC as they begin the process of becoming a public company.  </w:t>
      </w:r>
    </w:p>
    <w:p w:rsidR="00FF5B19" w:rsidRPr="002B666F" w:rsidRDefault="00FF5B19" w:rsidP="00FF5B19">
      <w:pPr>
        <w:tabs>
          <w:tab w:val="left" w:pos="810"/>
          <w:tab w:val="left" w:pos="1080"/>
        </w:tabs>
        <w:ind w:right="-360"/>
        <w:jc w:val="both"/>
        <w:rPr>
          <w:rFonts w:ascii="Garamond" w:hAnsi="Garamond"/>
        </w:rPr>
      </w:pPr>
      <w:r w:rsidRPr="002B666F">
        <w:rPr>
          <w:rFonts w:ascii="Garamond" w:hAnsi="Garamond"/>
        </w:rPr>
        <w:t>"Extending the test-the-waters reform to a broader range of issuers is designed to enhance their ability to conduct successful public securities offerings and lower their cost of capital, and ultimately to provide investors with more opportunities to invest in public companies," said SEC Chairman Jay Clayton. "I have seen first-hand how the modernization reforms of the JOBS Act have helped companies and investors. The proposed rules would allow companies to more effectively consult with investors and better identify information that is important to them in advance of a public offering."</w:t>
      </w:r>
    </w:p>
    <w:p w:rsidR="00FF5B19" w:rsidRPr="002B666F" w:rsidRDefault="00FF5B19" w:rsidP="00FF5B19">
      <w:pPr>
        <w:tabs>
          <w:tab w:val="left" w:pos="810"/>
          <w:tab w:val="left" w:pos="1080"/>
        </w:tabs>
        <w:ind w:right="-360"/>
        <w:jc w:val="both"/>
        <w:rPr>
          <w:rFonts w:ascii="Garamond" w:hAnsi="Garamond"/>
          <w:b/>
          <w:bCs/>
          <w:i/>
          <w:iCs/>
        </w:rPr>
      </w:pPr>
      <w:r w:rsidRPr="002B666F">
        <w:rPr>
          <w:rFonts w:ascii="Garamond" w:hAnsi="Garamond"/>
          <w:b/>
          <w:bCs/>
          <w:i/>
          <w:iCs/>
        </w:rPr>
        <w:t xml:space="preserve">Source: </w:t>
      </w:r>
      <w:hyperlink r:id="rId36" w:history="1">
        <w:r w:rsidRPr="002B666F">
          <w:rPr>
            <w:rStyle w:val="Hyperlink"/>
            <w:rFonts w:ascii="Garamond" w:hAnsi="Garamond"/>
            <w:b/>
            <w:bCs/>
            <w:i/>
            <w:iCs/>
          </w:rPr>
          <w:t>https://www.sec.gov/news/press-release/2019-14</w:t>
        </w:r>
      </w:hyperlink>
    </w:p>
    <w:p w:rsidR="00FF5B19" w:rsidRPr="002B666F" w:rsidRDefault="00FF5B19" w:rsidP="00FF5B19">
      <w:pPr>
        <w:tabs>
          <w:tab w:val="left" w:pos="810"/>
          <w:tab w:val="left" w:pos="1080"/>
        </w:tabs>
        <w:ind w:right="-360"/>
        <w:jc w:val="both"/>
        <w:rPr>
          <w:rFonts w:ascii="Garamond" w:hAnsi="Garamond"/>
          <w:b/>
          <w:bCs/>
          <w:i/>
          <w:iCs/>
          <w:color w:val="0563C1" w:themeColor="hyperlink"/>
          <w:u w:val="single"/>
        </w:rPr>
      </w:pPr>
    </w:p>
    <w:p w:rsidR="00FF5B19" w:rsidRPr="002B666F" w:rsidRDefault="00FF5B19" w:rsidP="00FF5B19">
      <w:pPr>
        <w:tabs>
          <w:tab w:val="left" w:pos="810"/>
          <w:tab w:val="left" w:pos="1080"/>
        </w:tabs>
        <w:ind w:right="-360"/>
        <w:jc w:val="both"/>
        <w:rPr>
          <w:rFonts w:ascii="Garamond" w:hAnsi="Garamond"/>
          <w:b/>
          <w:bCs/>
          <w:i/>
          <w:iCs/>
          <w:color w:val="0563C1" w:themeColor="hyperlink"/>
          <w:u w:val="single"/>
        </w:rPr>
      </w:pPr>
    </w:p>
    <w:p w:rsidR="00FF5B19" w:rsidRPr="002B666F" w:rsidRDefault="00FF5B19" w:rsidP="00C0009A">
      <w:pPr>
        <w:numPr>
          <w:ilvl w:val="0"/>
          <w:numId w:val="11"/>
        </w:numPr>
        <w:tabs>
          <w:tab w:val="left" w:pos="720"/>
          <w:tab w:val="left" w:pos="1080"/>
        </w:tabs>
        <w:spacing w:after="200" w:line="276" w:lineRule="auto"/>
        <w:ind w:left="450" w:right="-360"/>
        <w:contextualSpacing/>
        <w:jc w:val="both"/>
        <w:rPr>
          <w:rFonts w:ascii="Garamond" w:hAnsi="Garamond" w:cstheme="minorHAnsi"/>
          <w:b/>
          <w:color w:val="2F5496" w:themeColor="accent5" w:themeShade="BF"/>
          <w:u w:val="single"/>
        </w:rPr>
      </w:pPr>
      <w:r w:rsidRPr="002B666F">
        <w:rPr>
          <w:rFonts w:ascii="Garamond" w:hAnsi="Garamond" w:cstheme="minorHAnsi"/>
          <w:b/>
          <w:color w:val="2F5496" w:themeColor="accent5" w:themeShade="BF"/>
          <w:sz w:val="28"/>
          <w:u w:val="single"/>
        </w:rPr>
        <w:t>European Securities and Market Authority (ESMA)</w:t>
      </w:r>
    </w:p>
    <w:p w:rsidR="00FF5B19" w:rsidRPr="002B666F" w:rsidRDefault="00FF5B19" w:rsidP="00C0009A">
      <w:pPr>
        <w:pStyle w:val="ListParagraph"/>
        <w:numPr>
          <w:ilvl w:val="0"/>
          <w:numId w:val="9"/>
        </w:numPr>
        <w:tabs>
          <w:tab w:val="left" w:pos="810"/>
          <w:tab w:val="left" w:pos="1080"/>
        </w:tabs>
        <w:ind w:left="630" w:right="-360" w:hanging="450"/>
        <w:jc w:val="both"/>
        <w:rPr>
          <w:rFonts w:ascii="Garamond" w:hAnsi="Garamond"/>
          <w:b/>
          <w:sz w:val="24"/>
          <w:szCs w:val="24"/>
        </w:rPr>
      </w:pPr>
      <w:r w:rsidRPr="002B666F">
        <w:rPr>
          <w:rFonts w:ascii="Garamond" w:hAnsi="Garamond"/>
          <w:b/>
          <w:sz w:val="24"/>
          <w:szCs w:val="24"/>
        </w:rPr>
        <w:t>ESMA and EU securities regulators agree no-deal Brexit MoUs with FCA</w:t>
      </w:r>
    </w:p>
    <w:p w:rsidR="00FF5B19" w:rsidRPr="002B666F" w:rsidRDefault="00FF5B19" w:rsidP="00FF5B19">
      <w:pPr>
        <w:tabs>
          <w:tab w:val="left" w:pos="810"/>
          <w:tab w:val="left" w:pos="1080"/>
        </w:tabs>
        <w:ind w:right="-360"/>
        <w:jc w:val="both"/>
        <w:rPr>
          <w:rFonts w:ascii="Garamond" w:hAnsi="Garamond"/>
        </w:rPr>
      </w:pPr>
      <w:r w:rsidRPr="002B666F">
        <w:rPr>
          <w:rFonts w:ascii="Garamond" w:hAnsi="Garamond"/>
        </w:rPr>
        <w:t>The European Securities and Markets Authority (ESMA) and European securities regulators have agreed Memoranda of Understanding (MoUs) with the Financial Conduct Authority (FCA) of the United Kingdom (UK). The MoUs form part of authorities’ preparations should the UK leave the EU without a withdrawal agreement, the no-deal Brexit scenario. The MoUs will therefore only take effect in the event of a no-deal Brexit scenario. The MoUs are similar to those already concluded on the exchange of information with many third country supervisory authorities.</w:t>
      </w:r>
    </w:p>
    <w:p w:rsidR="00FF5B19" w:rsidRPr="002B666F" w:rsidRDefault="00FF5B19" w:rsidP="00FF5B19">
      <w:pPr>
        <w:tabs>
          <w:tab w:val="left" w:pos="810"/>
          <w:tab w:val="left" w:pos="1080"/>
        </w:tabs>
        <w:ind w:right="-360"/>
        <w:jc w:val="both"/>
        <w:rPr>
          <w:rFonts w:ascii="Garamond" w:hAnsi="Garamond"/>
        </w:rPr>
      </w:pPr>
      <w:r w:rsidRPr="002B666F">
        <w:rPr>
          <w:rFonts w:ascii="Garamond" w:hAnsi="Garamond"/>
        </w:rPr>
        <w:t>The MoUs are: 1. an MoU between ESMA and the FCA concerning the exchange of information in relation to the supervision of credit rating agencies (CRAs) and trade repositories (TRs). The MoU will allow ESMA to continue to discharge its mission and meet its mandate regarding investor protection, orderly markets and financial stability in the EU; and 2. a multilateral MoU (MMoU) between EU/EEA securities regulators and the FCA covering supervisory cooperation, enforcement and information exchange between individual regulators and the FCA, and will allow them to share information relating to, amongst others, market surveillance, investment services and asset management activities. This, in turn, will allow certain activities, such as fund manager outsourcing and delegation, to continue to be carried out by UK based entities on behalf of counterparties based in the EEA.</w:t>
      </w:r>
    </w:p>
    <w:p w:rsidR="00FF5B19" w:rsidRPr="002B666F" w:rsidRDefault="00FF5B19" w:rsidP="00FF5B19">
      <w:pPr>
        <w:tabs>
          <w:tab w:val="left" w:pos="810"/>
          <w:tab w:val="left" w:pos="1080"/>
        </w:tabs>
        <w:ind w:right="-360"/>
        <w:jc w:val="both"/>
        <w:rPr>
          <w:rFonts w:ascii="Garamond" w:hAnsi="Garamond"/>
        </w:rPr>
      </w:pPr>
      <w:r w:rsidRPr="002B666F">
        <w:rPr>
          <w:rFonts w:ascii="Garamond" w:hAnsi="Garamond"/>
          <w:b/>
          <w:bCs/>
          <w:i/>
          <w:iCs/>
        </w:rPr>
        <w:t>Source:</w:t>
      </w:r>
      <w:r w:rsidRPr="002B666F">
        <w:rPr>
          <w:rFonts w:ascii="Garamond" w:hAnsi="Garamond"/>
        </w:rPr>
        <w:t xml:space="preserve"> </w:t>
      </w:r>
      <w:hyperlink r:id="rId37" w:history="1">
        <w:r w:rsidRPr="002B666F">
          <w:rPr>
            <w:rStyle w:val="Hyperlink"/>
            <w:rFonts w:ascii="Garamond" w:hAnsi="Garamond"/>
            <w:i/>
          </w:rPr>
          <w:t>https://www.esma.europa.eu/sites/default/files/library/esma71-99-1096_esma_and_eu_securities _regulators_agree_no-deal_brexit_mous_with_fca.pdf</w:t>
        </w:r>
      </w:hyperlink>
    </w:p>
    <w:p w:rsidR="00FF5B19" w:rsidRPr="002B666F" w:rsidRDefault="00FF5B19" w:rsidP="00FF5B19">
      <w:pPr>
        <w:tabs>
          <w:tab w:val="left" w:pos="810"/>
          <w:tab w:val="left" w:pos="1080"/>
        </w:tabs>
        <w:ind w:right="-360"/>
        <w:jc w:val="both"/>
        <w:rPr>
          <w:rFonts w:ascii="Garamond" w:hAnsi="Garamond"/>
        </w:rPr>
      </w:pPr>
    </w:p>
    <w:p w:rsidR="00FF5B19" w:rsidRPr="002B666F" w:rsidRDefault="00FF5B19" w:rsidP="00C0009A">
      <w:pPr>
        <w:numPr>
          <w:ilvl w:val="0"/>
          <w:numId w:val="11"/>
        </w:numPr>
        <w:tabs>
          <w:tab w:val="left" w:pos="720"/>
          <w:tab w:val="left" w:pos="1080"/>
        </w:tabs>
        <w:spacing w:after="200" w:line="276" w:lineRule="auto"/>
        <w:ind w:left="450" w:right="-360"/>
        <w:contextualSpacing/>
        <w:jc w:val="both"/>
        <w:rPr>
          <w:rFonts w:ascii="Garamond" w:hAnsi="Garamond" w:cstheme="minorHAnsi"/>
          <w:b/>
          <w:color w:val="2F5496" w:themeColor="accent5" w:themeShade="BF"/>
          <w:u w:val="single"/>
        </w:rPr>
      </w:pPr>
      <w:r w:rsidRPr="002B666F">
        <w:rPr>
          <w:rFonts w:ascii="Garamond" w:hAnsi="Garamond" w:cstheme="minorHAnsi"/>
          <w:b/>
          <w:color w:val="2F5496" w:themeColor="accent5" w:themeShade="BF"/>
          <w:sz w:val="28"/>
          <w:u w:val="single"/>
        </w:rPr>
        <w:t>U.K. Financial Conduct Authority (FCA)</w:t>
      </w:r>
    </w:p>
    <w:p w:rsidR="00FF5B19" w:rsidRPr="002B666F" w:rsidRDefault="00FF5B19" w:rsidP="00C0009A">
      <w:pPr>
        <w:pStyle w:val="ListParagraph"/>
        <w:numPr>
          <w:ilvl w:val="0"/>
          <w:numId w:val="11"/>
        </w:numPr>
        <w:tabs>
          <w:tab w:val="left" w:pos="810"/>
          <w:tab w:val="left" w:pos="1080"/>
        </w:tabs>
        <w:ind w:right="-360"/>
        <w:jc w:val="both"/>
        <w:rPr>
          <w:rFonts w:ascii="Garamond" w:hAnsi="Garamond"/>
          <w:b/>
          <w:sz w:val="24"/>
          <w:szCs w:val="24"/>
        </w:rPr>
      </w:pPr>
      <w:r w:rsidRPr="002B666F">
        <w:rPr>
          <w:rFonts w:ascii="Garamond" w:hAnsi="Garamond"/>
          <w:b/>
          <w:sz w:val="24"/>
          <w:szCs w:val="24"/>
        </w:rPr>
        <w:t>FCA calls on firms to act following review of costs and charges disclosure in the investment sector</w:t>
      </w:r>
    </w:p>
    <w:p w:rsidR="00FF5B19" w:rsidRPr="002B666F" w:rsidRDefault="00FF5B19" w:rsidP="00FF5B19">
      <w:pPr>
        <w:rPr>
          <w:rFonts w:ascii="Garamond" w:hAnsi="Garamond"/>
        </w:rPr>
      </w:pPr>
      <w:r w:rsidRPr="002B666F">
        <w:rPr>
          <w:rFonts w:ascii="Garamond" w:hAnsi="Garamond"/>
        </w:rPr>
        <w:t>The Financial Conduct Authority (FCA) has published the key findings of supervisory work to assess the effectiveness of disclosure by asset managers and intermediaries, such as wealth managers, to their retail customers. This work was prompted by new disclosure requirements on costs and charges introduced by MiFID II and PRIIPs (</w:t>
      </w:r>
      <w:hyperlink r:id="rId38" w:history="1">
        <w:r w:rsidRPr="002B666F">
          <w:rPr>
            <w:rFonts w:ascii="Garamond" w:hAnsi="Garamond"/>
          </w:rPr>
          <w:t>Packaged Retail Investment and Insurance-Based Products – PRIIPs)</w:t>
        </w:r>
      </w:hyperlink>
      <w:r w:rsidRPr="002B666F">
        <w:rPr>
          <w:rFonts w:ascii="Garamond" w:hAnsi="Garamond"/>
        </w:rPr>
        <w:t>, which came into effect in January 2018.</w:t>
      </w:r>
    </w:p>
    <w:p w:rsidR="00FF5B19" w:rsidRPr="002B666F" w:rsidRDefault="00FF5B19" w:rsidP="00FF5B19">
      <w:pPr>
        <w:rPr>
          <w:rFonts w:ascii="Garamond" w:hAnsi="Garamond"/>
        </w:rPr>
      </w:pPr>
    </w:p>
    <w:p w:rsidR="00FF5B19" w:rsidRPr="002B666F" w:rsidRDefault="005B0B12" w:rsidP="00FF5B19">
      <w:pPr>
        <w:rPr>
          <w:rFonts w:ascii="Garamond" w:hAnsi="Garamond"/>
        </w:rPr>
      </w:pPr>
      <w:hyperlink r:id="rId39" w:history="1">
        <w:r w:rsidR="00FF5B19" w:rsidRPr="002B666F">
          <w:rPr>
            <w:rFonts w:ascii="Garamond" w:hAnsi="Garamond"/>
          </w:rPr>
          <w:t>Review of disclosure of costs by asset managers</w:t>
        </w:r>
      </w:hyperlink>
      <w:r w:rsidR="00FF5B19" w:rsidRPr="002B666F">
        <w:rPr>
          <w:rFonts w:ascii="Garamond" w:hAnsi="Garamond"/>
        </w:rPr>
        <w:t xml:space="preserve"> -   The review identified problems with the way some asset managers calculate transaction costs and how prominently they disclose them. The FCA also found that asset managers generally do not disclose all associated costs and charges. Asset managers should review their cost disclosures to ensure that they are clear, fair and not misleading.</w:t>
      </w:r>
    </w:p>
    <w:p w:rsidR="00FF5B19" w:rsidRPr="002B666F" w:rsidRDefault="00FF5B19" w:rsidP="00FF5B19">
      <w:pPr>
        <w:tabs>
          <w:tab w:val="left" w:pos="810"/>
          <w:tab w:val="left" w:pos="1080"/>
        </w:tabs>
        <w:ind w:right="-360"/>
        <w:jc w:val="both"/>
        <w:rPr>
          <w:rFonts w:ascii="Garamond" w:hAnsi="Garamond"/>
        </w:rPr>
      </w:pPr>
    </w:p>
    <w:p w:rsidR="00FF5B19" w:rsidRPr="002B666F" w:rsidRDefault="005B0B12" w:rsidP="00FF5B19">
      <w:pPr>
        <w:tabs>
          <w:tab w:val="left" w:pos="810"/>
          <w:tab w:val="left" w:pos="1080"/>
        </w:tabs>
        <w:ind w:right="-360"/>
        <w:jc w:val="both"/>
        <w:rPr>
          <w:rFonts w:ascii="Garamond" w:hAnsi="Garamond"/>
        </w:rPr>
      </w:pPr>
      <w:hyperlink r:id="rId40" w:history="1">
        <w:r w:rsidR="00FF5B19" w:rsidRPr="002B666F">
          <w:rPr>
            <w:rFonts w:ascii="Garamond" w:hAnsi="Garamond"/>
          </w:rPr>
          <w:t>Review of disclosure of costs by retail intermediaries</w:t>
        </w:r>
      </w:hyperlink>
      <w:r w:rsidR="00FF5B19" w:rsidRPr="002B666F">
        <w:rPr>
          <w:rFonts w:ascii="Garamond" w:hAnsi="Garamond"/>
        </w:rPr>
        <w:t>- The FCA found that firms in the sample interpreted the rules inconsistently, making like-for-like comparisons of costs and charges difficult. Some firms said they struggled to obtain all the data they need from other firms to enable disclosure of all costs. Firms involved in the design, manufacture and distribution of products need to work together to ensure all costs and charges are disclosed properly to customers.</w:t>
      </w:r>
    </w:p>
    <w:p w:rsidR="00FF5B19" w:rsidRPr="002B666F" w:rsidRDefault="00FF5B19" w:rsidP="00FF5B19">
      <w:pPr>
        <w:tabs>
          <w:tab w:val="left" w:pos="810"/>
          <w:tab w:val="left" w:pos="1080"/>
        </w:tabs>
        <w:ind w:right="-360"/>
        <w:jc w:val="both"/>
        <w:rPr>
          <w:rStyle w:val="Hyperlink"/>
          <w:rFonts w:ascii="Garamond" w:hAnsi="Garamond"/>
          <w:b/>
          <w:bCs/>
          <w:iCs/>
        </w:rPr>
      </w:pPr>
      <w:r w:rsidRPr="002B666F">
        <w:rPr>
          <w:rFonts w:ascii="Garamond" w:hAnsi="Garamond"/>
          <w:b/>
          <w:bCs/>
          <w:iCs/>
        </w:rPr>
        <w:t>Source</w:t>
      </w:r>
      <w:r w:rsidRPr="002B666F">
        <w:rPr>
          <w:rFonts w:ascii="Garamond" w:hAnsi="Garamond"/>
          <w:b/>
          <w:bCs/>
          <w:iCs/>
          <w:u w:val="single"/>
        </w:rPr>
        <w:t>:</w:t>
      </w:r>
      <w:r w:rsidRPr="002B666F">
        <w:rPr>
          <w:rStyle w:val="Hyperlink"/>
          <w:rFonts w:ascii="Garamond" w:hAnsi="Garamond"/>
          <w:b/>
          <w:bCs/>
          <w:iCs/>
        </w:rPr>
        <w:t xml:space="preserve"> https://www.fca.org.uk/news/press-releases/fca-calls-firms-act-following-review-costs-and-charges-disclosure-investment-sector</w:t>
      </w:r>
    </w:p>
    <w:p w:rsidR="00FF5B19" w:rsidRPr="002B666F" w:rsidRDefault="00FF5B19" w:rsidP="00FF5B19">
      <w:pPr>
        <w:tabs>
          <w:tab w:val="left" w:pos="810"/>
          <w:tab w:val="left" w:pos="1080"/>
        </w:tabs>
        <w:ind w:right="-360"/>
        <w:jc w:val="both"/>
        <w:rPr>
          <w:rStyle w:val="Hyperlink"/>
          <w:rFonts w:ascii="Garamond" w:hAnsi="Garamond"/>
          <w:b/>
          <w:bCs/>
          <w:iCs/>
        </w:rPr>
      </w:pPr>
    </w:p>
    <w:p w:rsidR="00FF5B19" w:rsidRPr="002B666F" w:rsidRDefault="00FF5B19" w:rsidP="00C0009A">
      <w:pPr>
        <w:pStyle w:val="ListParagraph"/>
        <w:numPr>
          <w:ilvl w:val="0"/>
          <w:numId w:val="11"/>
        </w:numPr>
        <w:tabs>
          <w:tab w:val="left" w:pos="810"/>
          <w:tab w:val="left" w:pos="1080"/>
        </w:tabs>
        <w:ind w:right="-360"/>
        <w:jc w:val="both"/>
        <w:rPr>
          <w:rFonts w:ascii="Garamond" w:hAnsi="Garamond"/>
          <w:b/>
          <w:sz w:val="24"/>
          <w:szCs w:val="24"/>
        </w:rPr>
      </w:pPr>
      <w:r w:rsidRPr="002B666F">
        <w:rPr>
          <w:rFonts w:ascii="Garamond" w:hAnsi="Garamond"/>
          <w:b/>
          <w:sz w:val="24"/>
          <w:szCs w:val="24"/>
        </w:rPr>
        <w:t>FCA warns public of investment scams as over £197 million reported losses in 2018</w:t>
      </w:r>
    </w:p>
    <w:p w:rsidR="00FF5B19" w:rsidRPr="002B666F" w:rsidRDefault="00FF5B19" w:rsidP="00FF5B19">
      <w:pPr>
        <w:pStyle w:val="ListParagraph"/>
        <w:tabs>
          <w:tab w:val="left" w:pos="810"/>
          <w:tab w:val="left" w:pos="1080"/>
        </w:tabs>
        <w:ind w:right="-360"/>
        <w:jc w:val="both"/>
        <w:rPr>
          <w:rFonts w:ascii="Garamond" w:hAnsi="Garamond"/>
          <w:b/>
          <w:sz w:val="24"/>
          <w:szCs w:val="24"/>
        </w:rPr>
      </w:pPr>
    </w:p>
    <w:p w:rsidR="00FF5B19" w:rsidRPr="002B666F" w:rsidRDefault="00FF5B19" w:rsidP="00FF5B19">
      <w:pPr>
        <w:tabs>
          <w:tab w:val="left" w:pos="810"/>
          <w:tab w:val="left" w:pos="1080"/>
        </w:tabs>
        <w:ind w:right="-360"/>
        <w:jc w:val="both"/>
        <w:rPr>
          <w:rFonts w:ascii="Garamond" w:hAnsi="Garamond"/>
        </w:rPr>
      </w:pPr>
      <w:r w:rsidRPr="002B666F">
        <w:rPr>
          <w:rFonts w:ascii="Garamond" w:hAnsi="Garamond"/>
        </w:rPr>
        <w:t>The Financial Conduct Authority (FCA) warned investors to be vigilant to the threat posed by investment scammers, as data from Action Fraud reveals over £197 million1 of reported losses in 2018. Victims were scammed out of over £29,000 on average last year, as fraudsters employed increasingly sophisticated tactics to persuade victims to invest.</w:t>
      </w:r>
    </w:p>
    <w:p w:rsidR="00FF5B19" w:rsidRPr="002B666F" w:rsidRDefault="00FF5B19" w:rsidP="00FF5B19">
      <w:pPr>
        <w:tabs>
          <w:tab w:val="left" w:pos="810"/>
          <w:tab w:val="left" w:pos="1080"/>
        </w:tabs>
        <w:ind w:right="-360"/>
        <w:jc w:val="both"/>
        <w:rPr>
          <w:rFonts w:ascii="Garamond" w:hAnsi="Garamond"/>
        </w:rPr>
      </w:pPr>
      <w:r w:rsidRPr="002B666F">
        <w:rPr>
          <w:rFonts w:ascii="Garamond" w:hAnsi="Garamond"/>
        </w:rPr>
        <w:t>According to data from the FCA call centre, the most commonly reported scams involved investments in shares and bonds, forex and cryptocurrencies by firms that are not authorised by the FCA. Together they accounted for 85%2 of all suspected investment scams reported in 2018. People are warned to be particularly vigilant during the first quarter of the year, the peak investment season, as many look to invest before the tax year end.</w:t>
      </w:r>
    </w:p>
    <w:p w:rsidR="00FF5B19" w:rsidRPr="002B666F" w:rsidRDefault="00FF5B19" w:rsidP="00FF5B19">
      <w:pPr>
        <w:tabs>
          <w:tab w:val="left" w:pos="810"/>
          <w:tab w:val="left" w:pos="1080"/>
        </w:tabs>
        <w:ind w:right="-360"/>
        <w:jc w:val="both"/>
        <w:rPr>
          <w:rFonts w:ascii="Garamond" w:hAnsi="Garamond"/>
        </w:rPr>
      </w:pPr>
      <w:r w:rsidRPr="002B666F">
        <w:rPr>
          <w:rFonts w:ascii="Garamond" w:hAnsi="Garamond"/>
        </w:rPr>
        <w:t>Interestingly, the profile of investment scams is changing as more and more people are being targeted online, moving away from the traditional cold call. Fraudsters are now contacting people through emails, professional looking websites and social media channels, such as Facebook and Instagram. Last year 54% of those who did the right thing by checking the FCA Warning List had been contacted by potential fraudsters via online sources, up from 45% in 2017. The FCA Warning List is a tool that helps users to find out more about the risks associated with an investment, and search a list of firms the FCA knows are operating without its authorisation.</w:t>
      </w:r>
    </w:p>
    <w:p w:rsidR="00FF5B19" w:rsidRPr="002B666F" w:rsidRDefault="00FF5B19" w:rsidP="00FF5B19">
      <w:pPr>
        <w:tabs>
          <w:tab w:val="left" w:pos="810"/>
          <w:tab w:val="left" w:pos="1080"/>
        </w:tabs>
        <w:ind w:right="-360"/>
        <w:jc w:val="both"/>
        <w:rPr>
          <w:rFonts w:ascii="Garamond" w:hAnsi="Garamond"/>
        </w:rPr>
      </w:pPr>
      <w:r w:rsidRPr="002B666F">
        <w:rPr>
          <w:rFonts w:ascii="Garamond" w:hAnsi="Garamond"/>
          <w:b/>
          <w:bCs/>
          <w:iCs/>
        </w:rPr>
        <w:t>Source</w:t>
      </w:r>
      <w:r w:rsidRPr="002B666F">
        <w:rPr>
          <w:rFonts w:ascii="Garamond" w:hAnsi="Garamond"/>
          <w:b/>
          <w:bCs/>
          <w:iCs/>
          <w:u w:val="single"/>
        </w:rPr>
        <w:t>:</w:t>
      </w:r>
      <w:r w:rsidRPr="002B666F">
        <w:rPr>
          <w:rFonts w:ascii="Garamond" w:hAnsi="Garamond"/>
        </w:rPr>
        <w:t xml:space="preserve"> </w:t>
      </w:r>
      <w:hyperlink r:id="rId41" w:history="1">
        <w:r w:rsidRPr="002B666F">
          <w:rPr>
            <w:rStyle w:val="Hyperlink"/>
            <w:rFonts w:ascii="Garamond" w:hAnsi="Garamond"/>
            <w:b/>
          </w:rPr>
          <w:t>https://www.fca.org.uk/news/press-releases/fca-warns-public-investment-scams-over-197-million-reported-losses-2018</w:t>
        </w:r>
      </w:hyperlink>
    </w:p>
    <w:p w:rsidR="00FF5B19" w:rsidRPr="002B666F" w:rsidRDefault="00FF5B19" w:rsidP="00FF5B19">
      <w:pPr>
        <w:tabs>
          <w:tab w:val="left" w:pos="810"/>
          <w:tab w:val="left" w:pos="1080"/>
        </w:tabs>
        <w:ind w:right="-360"/>
        <w:jc w:val="both"/>
        <w:rPr>
          <w:rFonts w:ascii="Garamond" w:hAnsi="Garamond"/>
          <w:b/>
          <w:bCs/>
          <w:iCs/>
          <w:u w:val="single"/>
        </w:rPr>
      </w:pPr>
      <w:r w:rsidRPr="002B666F">
        <w:rPr>
          <w:rFonts w:ascii="Garamond" w:hAnsi="Garamond"/>
          <w:b/>
          <w:bCs/>
          <w:iCs/>
          <w:u w:val="single"/>
        </w:rPr>
        <w:t xml:space="preserve"> </w:t>
      </w:r>
    </w:p>
    <w:p w:rsidR="00FF5B19" w:rsidRPr="002B666F" w:rsidRDefault="00FF5B19" w:rsidP="00FF5B19">
      <w:pPr>
        <w:tabs>
          <w:tab w:val="left" w:pos="810"/>
          <w:tab w:val="left" w:pos="1080"/>
        </w:tabs>
        <w:ind w:right="-360"/>
        <w:jc w:val="both"/>
        <w:rPr>
          <w:rStyle w:val="Hyperlink"/>
          <w:rFonts w:ascii="Garamond" w:hAnsi="Garamond"/>
          <w:b/>
          <w:bCs/>
          <w:iCs/>
        </w:rPr>
      </w:pPr>
    </w:p>
    <w:p w:rsidR="00FF5B19" w:rsidRPr="002B666F" w:rsidRDefault="00FF5B19" w:rsidP="00C0009A">
      <w:pPr>
        <w:pStyle w:val="ListParagraph"/>
        <w:numPr>
          <w:ilvl w:val="0"/>
          <w:numId w:val="11"/>
        </w:numPr>
        <w:tabs>
          <w:tab w:val="left" w:pos="810"/>
          <w:tab w:val="left" w:pos="1080"/>
        </w:tabs>
        <w:ind w:right="-360"/>
        <w:jc w:val="both"/>
        <w:rPr>
          <w:rFonts w:ascii="Garamond" w:hAnsi="Garamond"/>
          <w:b/>
          <w:sz w:val="24"/>
          <w:szCs w:val="24"/>
        </w:rPr>
      </w:pPr>
      <w:r w:rsidRPr="002B666F">
        <w:rPr>
          <w:rFonts w:ascii="Garamond" w:hAnsi="Garamond"/>
          <w:b/>
          <w:sz w:val="24"/>
          <w:szCs w:val="24"/>
        </w:rPr>
        <w:t>FCA publishes its second set of rules following its Asset Management Market Study</w:t>
      </w:r>
    </w:p>
    <w:p w:rsidR="00FF5B19" w:rsidRPr="002B666F" w:rsidRDefault="00FF5B19" w:rsidP="00FF5B19">
      <w:pPr>
        <w:tabs>
          <w:tab w:val="left" w:pos="810"/>
          <w:tab w:val="left" w:pos="1080"/>
        </w:tabs>
        <w:ind w:right="-360"/>
        <w:jc w:val="both"/>
        <w:rPr>
          <w:rFonts w:ascii="Garamond" w:hAnsi="Garamond"/>
        </w:rPr>
      </w:pPr>
      <w:r w:rsidRPr="002B666F">
        <w:rPr>
          <w:rFonts w:ascii="Garamond" w:hAnsi="Garamond"/>
        </w:rPr>
        <w:t xml:space="preserve">The asset management industry plays an important role in the UK’s economy. Asset managers seek returns for investors by investing in a variety of assets.  Over £1 trillion is managed for individual investors </w:t>
      </w:r>
      <w:r w:rsidRPr="002B666F">
        <w:rPr>
          <w:rFonts w:ascii="Garamond" w:hAnsi="Garamond"/>
        </w:rPr>
        <w:lastRenderedPageBreak/>
        <w:t>and £3 trillion on behalf of UK pension funds and other institutional investors. The FCA’s </w:t>
      </w:r>
      <w:hyperlink r:id="rId42" w:history="1">
        <w:r w:rsidRPr="002B666F">
          <w:rPr>
            <w:rFonts w:ascii="Garamond" w:hAnsi="Garamond"/>
          </w:rPr>
          <w:t>asset management market study</w:t>
        </w:r>
      </w:hyperlink>
      <w:r w:rsidRPr="002B666F">
        <w:rPr>
          <w:rFonts w:ascii="Garamond" w:hAnsi="Garamond"/>
        </w:rPr>
        <w:t> presented evidence of weak price competition in many areas of the asset management industry. This means lower returns for savers, pensioners and other investors.</w:t>
      </w:r>
    </w:p>
    <w:p w:rsidR="00FF5B19" w:rsidRPr="002B666F" w:rsidRDefault="00FF5B19" w:rsidP="00FF5B19">
      <w:pPr>
        <w:tabs>
          <w:tab w:val="left" w:pos="810"/>
          <w:tab w:val="left" w:pos="1080"/>
        </w:tabs>
        <w:ind w:right="-360"/>
        <w:jc w:val="both"/>
        <w:rPr>
          <w:rFonts w:ascii="Garamond" w:hAnsi="Garamond"/>
        </w:rPr>
      </w:pPr>
      <w:r w:rsidRPr="002B666F">
        <w:rPr>
          <w:rFonts w:ascii="Garamond" w:hAnsi="Garamond"/>
        </w:rPr>
        <w:t>The FCA has acted to tackle the issues found. In April 2018, the FCA introduced new rules to ensure fund managers act as agents of investors in their funds. These rules and guidance complement that work by helping consumers understand more about how their money is being managed, so that they can make better investment decisions.</w:t>
      </w:r>
    </w:p>
    <w:p w:rsidR="00FF5B19" w:rsidRPr="002B666F" w:rsidRDefault="00FF5B19" w:rsidP="00FF5B19">
      <w:pPr>
        <w:tabs>
          <w:tab w:val="left" w:pos="810"/>
          <w:tab w:val="left" w:pos="1080"/>
        </w:tabs>
        <w:ind w:right="-360"/>
        <w:jc w:val="both"/>
        <w:rPr>
          <w:rFonts w:ascii="Garamond" w:hAnsi="Garamond"/>
        </w:rPr>
      </w:pPr>
      <w:r w:rsidRPr="002B666F">
        <w:rPr>
          <w:rFonts w:ascii="Garamond" w:hAnsi="Garamond"/>
        </w:rPr>
        <w:t>The new rules and guidance:</w:t>
      </w:r>
    </w:p>
    <w:p w:rsidR="00FF5B19" w:rsidRPr="002B666F" w:rsidRDefault="00FF5B19" w:rsidP="00C0009A">
      <w:pPr>
        <w:pStyle w:val="ListParagraph"/>
        <w:numPr>
          <w:ilvl w:val="0"/>
          <w:numId w:val="15"/>
        </w:numPr>
        <w:tabs>
          <w:tab w:val="left" w:pos="810"/>
          <w:tab w:val="left" w:pos="1080"/>
        </w:tabs>
        <w:ind w:right="-360"/>
        <w:jc w:val="both"/>
        <w:rPr>
          <w:rFonts w:ascii="Garamond" w:hAnsi="Garamond"/>
          <w:sz w:val="24"/>
          <w:szCs w:val="24"/>
        </w:rPr>
      </w:pPr>
      <w:r w:rsidRPr="002B666F">
        <w:rPr>
          <w:rFonts w:ascii="Garamond" w:hAnsi="Garamond"/>
          <w:sz w:val="24"/>
          <w:szCs w:val="24"/>
        </w:rPr>
        <w:t>set out how fund managers should describe fund objectives and investment policies to make them more useful to investors</w:t>
      </w:r>
    </w:p>
    <w:p w:rsidR="00FF5B19" w:rsidRPr="002B666F" w:rsidRDefault="00FF5B19" w:rsidP="00C0009A">
      <w:pPr>
        <w:pStyle w:val="ListParagraph"/>
        <w:numPr>
          <w:ilvl w:val="0"/>
          <w:numId w:val="15"/>
        </w:numPr>
        <w:tabs>
          <w:tab w:val="left" w:pos="810"/>
          <w:tab w:val="left" w:pos="1080"/>
        </w:tabs>
        <w:ind w:right="-360"/>
        <w:jc w:val="both"/>
        <w:rPr>
          <w:rFonts w:ascii="Garamond" w:hAnsi="Garamond"/>
          <w:sz w:val="24"/>
          <w:szCs w:val="24"/>
        </w:rPr>
      </w:pPr>
      <w:r w:rsidRPr="002B666F">
        <w:rPr>
          <w:rFonts w:ascii="Garamond" w:hAnsi="Garamond"/>
          <w:sz w:val="24"/>
          <w:szCs w:val="24"/>
        </w:rPr>
        <w:t>require fund managers to explain why or how their funds use particular benchmarks or, if they do not use a benchmark, how investors should assess the performance of a fund</w:t>
      </w:r>
    </w:p>
    <w:p w:rsidR="00FF5B19" w:rsidRPr="002B666F" w:rsidRDefault="00FF5B19" w:rsidP="00C0009A">
      <w:pPr>
        <w:pStyle w:val="ListParagraph"/>
        <w:numPr>
          <w:ilvl w:val="0"/>
          <w:numId w:val="15"/>
        </w:numPr>
        <w:tabs>
          <w:tab w:val="left" w:pos="810"/>
          <w:tab w:val="left" w:pos="1080"/>
        </w:tabs>
        <w:ind w:right="-360"/>
        <w:jc w:val="both"/>
        <w:rPr>
          <w:rFonts w:ascii="Garamond" w:hAnsi="Garamond"/>
          <w:sz w:val="24"/>
          <w:szCs w:val="24"/>
        </w:rPr>
      </w:pPr>
      <w:r w:rsidRPr="002B666F">
        <w:rPr>
          <w:rFonts w:ascii="Garamond" w:hAnsi="Garamond"/>
          <w:sz w:val="24"/>
          <w:szCs w:val="24"/>
        </w:rPr>
        <w:t>require fund managers who use benchmarks to reference them consistently across the fund’s documents</w:t>
      </w:r>
    </w:p>
    <w:p w:rsidR="00FF5B19" w:rsidRPr="002B666F" w:rsidRDefault="00FF5B19" w:rsidP="00C0009A">
      <w:pPr>
        <w:pStyle w:val="ListParagraph"/>
        <w:numPr>
          <w:ilvl w:val="0"/>
          <w:numId w:val="15"/>
        </w:numPr>
        <w:tabs>
          <w:tab w:val="left" w:pos="810"/>
          <w:tab w:val="left" w:pos="1080"/>
        </w:tabs>
        <w:ind w:right="-360"/>
        <w:jc w:val="both"/>
        <w:rPr>
          <w:rFonts w:ascii="Garamond" w:hAnsi="Garamond"/>
          <w:sz w:val="24"/>
          <w:szCs w:val="24"/>
        </w:rPr>
      </w:pPr>
      <w:r w:rsidRPr="002B666F">
        <w:rPr>
          <w:rFonts w:ascii="Garamond" w:hAnsi="Garamond"/>
          <w:sz w:val="24"/>
          <w:szCs w:val="24"/>
        </w:rPr>
        <w:t>require fund managers who present a fund’s past performance to do so against each benchmark used as a constraint on portfolio construction or as a performance target, and</w:t>
      </w:r>
    </w:p>
    <w:p w:rsidR="00FF5B19" w:rsidRPr="002B666F" w:rsidRDefault="00FF5B19" w:rsidP="00C0009A">
      <w:pPr>
        <w:pStyle w:val="ListParagraph"/>
        <w:numPr>
          <w:ilvl w:val="0"/>
          <w:numId w:val="15"/>
        </w:numPr>
        <w:tabs>
          <w:tab w:val="left" w:pos="810"/>
          <w:tab w:val="left" w:pos="1080"/>
        </w:tabs>
        <w:ind w:right="-360"/>
        <w:jc w:val="both"/>
        <w:rPr>
          <w:rFonts w:ascii="Garamond" w:hAnsi="Garamond"/>
          <w:sz w:val="24"/>
          <w:szCs w:val="24"/>
        </w:rPr>
      </w:pPr>
      <w:r w:rsidRPr="002B666F">
        <w:rPr>
          <w:rFonts w:ascii="Garamond" w:hAnsi="Garamond"/>
          <w:sz w:val="24"/>
          <w:szCs w:val="24"/>
        </w:rPr>
        <w:t>clarify that where a performance fee is specified in the prospectus, it must be calculated based on the scheme’s performance after the deduction of all other fees</w:t>
      </w:r>
    </w:p>
    <w:p w:rsidR="00FF5B19" w:rsidRPr="002B666F" w:rsidRDefault="00FF5B19" w:rsidP="00FF5B19">
      <w:pPr>
        <w:tabs>
          <w:tab w:val="left" w:pos="810"/>
          <w:tab w:val="left" w:pos="1080"/>
        </w:tabs>
        <w:ind w:right="-360"/>
        <w:jc w:val="both"/>
        <w:rPr>
          <w:rStyle w:val="Hyperlink"/>
          <w:rFonts w:ascii="Garamond" w:hAnsi="Garamond"/>
          <w:b/>
          <w:bCs/>
          <w:iCs/>
        </w:rPr>
      </w:pPr>
      <w:r w:rsidRPr="002B666F">
        <w:rPr>
          <w:rStyle w:val="Hyperlink"/>
          <w:rFonts w:ascii="Garamond" w:hAnsi="Garamond"/>
          <w:b/>
          <w:bCs/>
          <w:iCs/>
          <w:color w:val="000000" w:themeColor="text1"/>
        </w:rPr>
        <w:t>Source:</w:t>
      </w:r>
      <w:hyperlink r:id="rId43" w:history="1">
        <w:r w:rsidRPr="002B666F">
          <w:rPr>
            <w:rStyle w:val="Hyperlink"/>
            <w:rFonts w:ascii="Garamond" w:hAnsi="Garamond"/>
            <w:b/>
            <w:bCs/>
            <w:iCs/>
          </w:rPr>
          <w:t>https://www.fca.org.uk/news/press-releases/fca-publishes-second-set-rules-following-asset-management-market-study</w:t>
        </w:r>
      </w:hyperlink>
      <w:r w:rsidRPr="002B666F">
        <w:rPr>
          <w:rStyle w:val="Hyperlink"/>
          <w:rFonts w:ascii="Garamond" w:hAnsi="Garamond"/>
          <w:b/>
          <w:bCs/>
          <w:iCs/>
        </w:rPr>
        <w:br/>
      </w:r>
    </w:p>
    <w:p w:rsidR="00FF5B19" w:rsidRPr="002B666F" w:rsidRDefault="00FF5B19" w:rsidP="00C0009A">
      <w:pPr>
        <w:numPr>
          <w:ilvl w:val="0"/>
          <w:numId w:val="11"/>
        </w:numPr>
        <w:tabs>
          <w:tab w:val="left" w:pos="720"/>
          <w:tab w:val="left" w:pos="1080"/>
        </w:tabs>
        <w:spacing w:after="200" w:line="276" w:lineRule="auto"/>
        <w:ind w:left="450" w:right="-360"/>
        <w:contextualSpacing/>
        <w:jc w:val="both"/>
        <w:rPr>
          <w:rFonts w:ascii="Garamond" w:hAnsi="Garamond" w:cstheme="minorHAnsi"/>
          <w:b/>
          <w:color w:val="2F5496" w:themeColor="accent5" w:themeShade="BF"/>
          <w:u w:val="single"/>
        </w:rPr>
      </w:pPr>
      <w:r w:rsidRPr="002B666F">
        <w:rPr>
          <w:rFonts w:ascii="Garamond" w:hAnsi="Garamond" w:cstheme="minorHAnsi"/>
          <w:b/>
          <w:color w:val="2F5496" w:themeColor="accent5" w:themeShade="BF"/>
          <w:sz w:val="28"/>
          <w:u w:val="single"/>
        </w:rPr>
        <w:t>Monetary Authority of Singapore (MAS)</w:t>
      </w:r>
    </w:p>
    <w:p w:rsidR="00FF5B19" w:rsidRPr="002B666F" w:rsidRDefault="00FF5B19" w:rsidP="00FF5B19">
      <w:pPr>
        <w:tabs>
          <w:tab w:val="left" w:pos="810"/>
          <w:tab w:val="left" w:pos="1080"/>
        </w:tabs>
        <w:ind w:right="-360"/>
        <w:jc w:val="both"/>
        <w:rPr>
          <w:rFonts w:ascii="Garamond" w:hAnsi="Garamond"/>
          <w:b/>
        </w:rPr>
      </w:pPr>
    </w:p>
    <w:p w:rsidR="00FF5B19" w:rsidRPr="002B666F" w:rsidRDefault="00FF5B19" w:rsidP="00C0009A">
      <w:pPr>
        <w:pStyle w:val="ListParagraph"/>
        <w:numPr>
          <w:ilvl w:val="0"/>
          <w:numId w:val="10"/>
        </w:numPr>
        <w:tabs>
          <w:tab w:val="left" w:pos="450"/>
          <w:tab w:val="left" w:pos="1080"/>
        </w:tabs>
        <w:ind w:left="810" w:right="-360" w:hanging="720"/>
        <w:jc w:val="both"/>
        <w:rPr>
          <w:rFonts w:ascii="Garamond" w:hAnsi="Garamond"/>
          <w:b/>
          <w:sz w:val="24"/>
          <w:szCs w:val="24"/>
        </w:rPr>
      </w:pPr>
      <w:r w:rsidRPr="002B666F">
        <w:rPr>
          <w:rFonts w:ascii="Garamond" w:hAnsi="Garamond"/>
          <w:b/>
          <w:sz w:val="24"/>
          <w:szCs w:val="24"/>
        </w:rPr>
        <w:t>Monetary Authority of Singapore (MAS) Sets Up Corporate Governance Advisory Committee to Promote Good Corporate Governance</w:t>
      </w:r>
    </w:p>
    <w:p w:rsidR="00FF5B19" w:rsidRPr="002B666F" w:rsidRDefault="00FF5B19" w:rsidP="00FF5B19">
      <w:pPr>
        <w:tabs>
          <w:tab w:val="left" w:pos="810"/>
          <w:tab w:val="left" w:pos="1080"/>
        </w:tabs>
        <w:ind w:right="-360"/>
        <w:jc w:val="both"/>
        <w:rPr>
          <w:rFonts w:ascii="Garamond" w:hAnsi="Garamond"/>
        </w:rPr>
      </w:pPr>
      <w:r w:rsidRPr="002B666F">
        <w:rPr>
          <w:rFonts w:ascii="Garamond" w:hAnsi="Garamond"/>
        </w:rPr>
        <w:t xml:space="preserve">The Monetary Authority of Singapore (MAS) announced the establishment of a Corporate Governance Advisory Committee (CGAC) to advocate good corporate governance practices among listed companies in Singapore. The permanent, industry-led body, will be chaired by Mr Bobby Chin, director of Singapore Telecommunications Ltd. </w:t>
      </w:r>
    </w:p>
    <w:p w:rsidR="00FF5B19" w:rsidRPr="002B666F" w:rsidRDefault="00FF5B19" w:rsidP="00FF5B19">
      <w:pPr>
        <w:tabs>
          <w:tab w:val="left" w:pos="810"/>
          <w:tab w:val="left" w:pos="1080"/>
        </w:tabs>
        <w:ind w:right="-360"/>
        <w:jc w:val="both"/>
        <w:rPr>
          <w:rFonts w:ascii="Garamond" w:hAnsi="Garamond"/>
          <w:b/>
          <w:bCs/>
          <w:i/>
          <w:iCs/>
        </w:rPr>
      </w:pPr>
      <w:r w:rsidRPr="002B666F">
        <w:rPr>
          <w:rFonts w:ascii="Garamond" w:hAnsi="Garamond"/>
        </w:rPr>
        <w:t>The CGAC will identify current and potential risks to the quality of corporate governance in Singapore, and take a leading role in advocating good corporate governance practices. It will also monitor international trends, revise the Practice Guidance to clarify the CG Code, and recommend updates to the CG Code. The CGAC will not carry regulatory or enforcement powers or provide opinion on ongoing cases and investigations. Singapore Exchange Regulation, the MAS, and the Accounting and Corporate Regulatory Authority remain responsible for taking regulatory actions against corporate governance-related breaches. The CGAC will work closely with these regulators to uphold corporate governance standards</w:t>
      </w:r>
      <w:r w:rsidRPr="002B666F">
        <w:rPr>
          <w:rFonts w:ascii="Garamond" w:hAnsi="Garamond" w:cs="Arial"/>
          <w:color w:val="333333"/>
          <w:shd w:val="clear" w:color="auto" w:fill="FFFFFF"/>
        </w:rPr>
        <w:t>. </w:t>
      </w:r>
      <w:r w:rsidRPr="002B666F">
        <w:rPr>
          <w:rFonts w:ascii="Garamond" w:hAnsi="Garamond"/>
          <w:b/>
          <w:bCs/>
          <w:i/>
          <w:iCs/>
        </w:rPr>
        <w:t xml:space="preserve"> </w:t>
      </w:r>
    </w:p>
    <w:p w:rsidR="00FF5B19" w:rsidRPr="002B666F" w:rsidRDefault="00FF5B19" w:rsidP="00FF5B19">
      <w:pPr>
        <w:tabs>
          <w:tab w:val="left" w:pos="810"/>
          <w:tab w:val="left" w:pos="1080"/>
        </w:tabs>
        <w:ind w:right="-360"/>
        <w:jc w:val="both"/>
        <w:rPr>
          <w:rStyle w:val="Hyperlink"/>
          <w:rFonts w:ascii="Garamond" w:hAnsi="Garamond"/>
          <w:b/>
          <w:bCs/>
          <w:i/>
          <w:iCs/>
        </w:rPr>
      </w:pPr>
      <w:r w:rsidRPr="002B666F">
        <w:rPr>
          <w:rFonts w:ascii="Garamond" w:hAnsi="Garamond"/>
          <w:b/>
          <w:bCs/>
          <w:i/>
          <w:iCs/>
        </w:rPr>
        <w:t>Source:</w:t>
      </w:r>
      <w:r w:rsidRPr="002B666F">
        <w:rPr>
          <w:rStyle w:val="Hyperlink"/>
          <w:rFonts w:ascii="Garamond" w:hAnsi="Garamond"/>
          <w:b/>
          <w:bCs/>
          <w:i/>
          <w:iCs/>
        </w:rPr>
        <w:t>http://www.mas.gov.sg/News-and-Publications/Media-Releases/2019/MAS-Sets-Up-Corporate-Governance-Advisory-Committee-to-Promote-Good-Corporate-Governance.aspx</w:t>
      </w:r>
    </w:p>
    <w:p w:rsidR="002B666F" w:rsidRDefault="002B666F">
      <w:pPr>
        <w:rPr>
          <w:rFonts w:ascii="Garamond" w:hAnsi="Garamond"/>
        </w:rPr>
      </w:pPr>
      <w:r>
        <w:rPr>
          <w:rFonts w:ascii="Garamond" w:hAnsi="Garamond"/>
        </w:rPr>
        <w:br w:type="page"/>
      </w:r>
    </w:p>
    <w:p w:rsidR="00FF5B19" w:rsidRPr="002B666F" w:rsidRDefault="00FF5B19" w:rsidP="00C0009A">
      <w:pPr>
        <w:numPr>
          <w:ilvl w:val="0"/>
          <w:numId w:val="11"/>
        </w:numPr>
        <w:tabs>
          <w:tab w:val="left" w:pos="720"/>
          <w:tab w:val="left" w:pos="1080"/>
        </w:tabs>
        <w:spacing w:after="200" w:line="276" w:lineRule="auto"/>
        <w:ind w:left="450" w:right="-360"/>
        <w:contextualSpacing/>
        <w:jc w:val="both"/>
        <w:rPr>
          <w:rFonts w:ascii="Garamond" w:hAnsi="Garamond" w:cstheme="minorHAnsi"/>
          <w:b/>
          <w:color w:val="2F5496" w:themeColor="accent5" w:themeShade="BF"/>
          <w:u w:val="single"/>
        </w:rPr>
      </w:pPr>
      <w:r w:rsidRPr="002B666F">
        <w:rPr>
          <w:rFonts w:ascii="Garamond" w:hAnsi="Garamond" w:cstheme="minorHAnsi"/>
          <w:b/>
          <w:color w:val="2F5496" w:themeColor="accent5" w:themeShade="BF"/>
          <w:sz w:val="28"/>
          <w:u w:val="single"/>
        </w:rPr>
        <w:lastRenderedPageBreak/>
        <w:t xml:space="preserve">Hong Kong Securities and Future Commission (SFC) </w:t>
      </w:r>
    </w:p>
    <w:p w:rsidR="00FF5B19" w:rsidRPr="002B666F" w:rsidRDefault="00FF5B19" w:rsidP="00FF5B19">
      <w:pPr>
        <w:tabs>
          <w:tab w:val="left" w:pos="450"/>
          <w:tab w:val="left" w:pos="1080"/>
        </w:tabs>
        <w:ind w:right="-360"/>
        <w:jc w:val="both"/>
        <w:rPr>
          <w:rFonts w:ascii="Garamond" w:hAnsi="Garamond"/>
          <w:b/>
        </w:rPr>
      </w:pPr>
    </w:p>
    <w:p w:rsidR="00FF5B19" w:rsidRPr="002B666F" w:rsidRDefault="00FF5B19" w:rsidP="00C0009A">
      <w:pPr>
        <w:pStyle w:val="ListParagraph"/>
        <w:numPr>
          <w:ilvl w:val="0"/>
          <w:numId w:val="16"/>
        </w:numPr>
        <w:tabs>
          <w:tab w:val="left" w:pos="450"/>
          <w:tab w:val="left" w:pos="1080"/>
        </w:tabs>
        <w:ind w:right="-360"/>
        <w:jc w:val="both"/>
        <w:rPr>
          <w:rFonts w:ascii="Garamond" w:hAnsi="Garamond"/>
          <w:b/>
          <w:sz w:val="24"/>
          <w:szCs w:val="24"/>
        </w:rPr>
      </w:pPr>
      <w:r w:rsidRPr="002B666F">
        <w:rPr>
          <w:rFonts w:ascii="Garamond" w:hAnsi="Garamond"/>
          <w:b/>
          <w:sz w:val="24"/>
          <w:szCs w:val="24"/>
        </w:rPr>
        <w:t>Joint consultation on the model for an uncertificated securities market New measures to update the SFC’s licensing processes</w:t>
      </w:r>
    </w:p>
    <w:p w:rsidR="00FF5B19" w:rsidRPr="002B666F" w:rsidRDefault="00FF5B19" w:rsidP="00FF5B19">
      <w:pPr>
        <w:tabs>
          <w:tab w:val="left" w:pos="810"/>
          <w:tab w:val="left" w:pos="1080"/>
        </w:tabs>
        <w:ind w:right="-360"/>
        <w:jc w:val="both"/>
        <w:rPr>
          <w:rFonts w:ascii="Garamond" w:hAnsi="Garamond"/>
        </w:rPr>
      </w:pPr>
      <w:r w:rsidRPr="002B666F">
        <w:rPr>
          <w:rFonts w:ascii="Garamond" w:hAnsi="Garamond"/>
        </w:rPr>
        <w:t>The Securities and Futures Commission (SFC) announced new measures to enhance its gatekeeping function (Note 1), introducing revamped licensing forms, a new edition of the SFC’s Licensing Handbook and mandatory electronic submission of all annual returns and notifications.</w:t>
      </w:r>
    </w:p>
    <w:p w:rsidR="00FF5B19" w:rsidRPr="002B666F" w:rsidRDefault="00FF5B19" w:rsidP="00FF5B19">
      <w:pPr>
        <w:tabs>
          <w:tab w:val="left" w:pos="810"/>
          <w:tab w:val="left" w:pos="1080"/>
        </w:tabs>
        <w:ind w:right="-360"/>
        <w:jc w:val="both"/>
        <w:rPr>
          <w:rFonts w:ascii="Garamond" w:hAnsi="Garamond"/>
        </w:rPr>
      </w:pPr>
      <w:r w:rsidRPr="002B666F">
        <w:rPr>
          <w:rFonts w:ascii="Garamond" w:hAnsi="Garamond"/>
        </w:rPr>
        <w:t>The revamped forms, which have been standardised and come with clear instructions and navigation guides, will help the SFC more efficiently gather the information it needs to assess an applicant’s fitness and properness to be licensed (Note 3). Applicants for corporate licences will be required to complete newly-introduced business profile and internal control questionnaires which will allow the SFC to identify potential regulatory issues at an early stage.</w:t>
      </w:r>
    </w:p>
    <w:p w:rsidR="00FF5B19" w:rsidRPr="002B666F" w:rsidRDefault="00FF5B19" w:rsidP="00FF5B19">
      <w:pPr>
        <w:tabs>
          <w:tab w:val="left" w:pos="810"/>
          <w:tab w:val="left" w:pos="1080"/>
        </w:tabs>
        <w:ind w:right="-360"/>
        <w:jc w:val="both"/>
        <w:rPr>
          <w:rFonts w:ascii="Garamond" w:hAnsi="Garamond"/>
        </w:rPr>
      </w:pPr>
      <w:r w:rsidRPr="002B666F">
        <w:rPr>
          <w:rFonts w:ascii="Garamond" w:hAnsi="Garamond"/>
        </w:rPr>
        <w:t>"These new measures are part of the SFC’s front-loaded, risk-based approach to address issues as early as possible, "said Mr Ashley Alder, the SFC’s Chief Executive Officer. “It is essential for the SFC to modernise its licensing processes to keep ahead of rapid changes in the market landscape and the emergence of new technologies."</w:t>
      </w:r>
    </w:p>
    <w:p w:rsidR="00FF5B19" w:rsidRPr="002B666F" w:rsidRDefault="00FF5B19" w:rsidP="00FF5B19">
      <w:pPr>
        <w:tabs>
          <w:tab w:val="left" w:pos="810"/>
          <w:tab w:val="left" w:pos="1080"/>
        </w:tabs>
        <w:ind w:right="-360"/>
        <w:jc w:val="both"/>
        <w:rPr>
          <w:rFonts w:ascii="Garamond" w:hAnsi="Garamond"/>
        </w:rPr>
      </w:pPr>
      <w:r w:rsidRPr="002B666F">
        <w:rPr>
          <w:rFonts w:ascii="Garamond" w:hAnsi="Garamond"/>
        </w:rPr>
        <w:t>The new licensing forms are now available on the </w:t>
      </w:r>
      <w:hyperlink r:id="rId44" w:tgtFrame="_blank" w:history="1">
        <w:r w:rsidRPr="002B666F">
          <w:rPr>
            <w:rFonts w:ascii="Garamond" w:hAnsi="Garamond"/>
          </w:rPr>
          <w:t>SFC website</w:t>
        </w:r>
      </w:hyperlink>
      <w:r w:rsidRPr="002B666F">
        <w:rPr>
          <w:rFonts w:ascii="Garamond" w:hAnsi="Garamond"/>
        </w:rPr>
        <w:t> and should be used starting 11 February 2019. Current forms will be accepted during a two-month transition period. Use of the new forms will be compulsory from 11 April 2019, when mandatory electronic submission of annual returns and notifications will also take effect. The SFC will organise workshops on the revamped licensing processes for the industry in February and March 2019.</w:t>
      </w:r>
    </w:p>
    <w:p w:rsidR="00401520" w:rsidRPr="002726A8" w:rsidRDefault="00FF5B19" w:rsidP="002B666F">
      <w:pPr>
        <w:tabs>
          <w:tab w:val="left" w:pos="810"/>
          <w:tab w:val="left" w:pos="1080"/>
        </w:tabs>
        <w:ind w:right="-360"/>
        <w:rPr>
          <w:rFonts w:ascii="Garamond" w:hAnsi="Garamond"/>
          <w:b/>
          <w:i/>
          <w:sz w:val="18"/>
        </w:rPr>
      </w:pPr>
      <w:r w:rsidRPr="002B666F">
        <w:rPr>
          <w:rFonts w:ascii="Garamond" w:hAnsi="Garamond"/>
          <w:b/>
          <w:bCs/>
          <w:i/>
          <w:iCs/>
        </w:rPr>
        <w:t>Source</w:t>
      </w:r>
      <w:r w:rsidRPr="002B666F">
        <w:rPr>
          <w:rFonts w:ascii="Garamond" w:hAnsi="Garamond"/>
          <w:b/>
          <w:i/>
        </w:rPr>
        <w:t>:</w:t>
      </w:r>
      <w:r w:rsidR="002B666F">
        <w:rPr>
          <w:rFonts w:ascii="Garamond" w:hAnsi="Garamond"/>
        </w:rPr>
        <w:t xml:space="preserve"> </w:t>
      </w:r>
      <w:hyperlink r:id="rId45" w:history="1">
        <w:r w:rsidR="00E72F91" w:rsidRPr="001B5A55">
          <w:rPr>
            <w:rStyle w:val="Hyperlink"/>
            <w:rFonts w:ascii="Garamond" w:hAnsi="Garamond"/>
            <w:b/>
            <w:i/>
          </w:rPr>
          <w:t>https://www.sfc.hk/edistributionWeb/gateway/EN/news-and-announcements/news/doc?refNo=19PR6</w:t>
        </w:r>
      </w:hyperlink>
    </w:p>
    <w:p w:rsidR="009F13C5" w:rsidRPr="002726A8" w:rsidRDefault="009F13C5" w:rsidP="009F13C5">
      <w:pPr>
        <w:pStyle w:val="ListParagraph"/>
        <w:tabs>
          <w:tab w:val="left" w:pos="810"/>
          <w:tab w:val="left" w:pos="1080"/>
        </w:tabs>
        <w:jc w:val="both"/>
        <w:rPr>
          <w:rFonts w:ascii="Garamond" w:hAnsi="Garamond"/>
          <w:b/>
          <w:bCs/>
          <w:strike/>
          <w:sz w:val="22"/>
          <w:szCs w:val="22"/>
        </w:rPr>
      </w:pPr>
    </w:p>
    <w:p w:rsidR="009F13C5" w:rsidRPr="002726A8" w:rsidRDefault="009F13C5" w:rsidP="009F13C5">
      <w:pPr>
        <w:pStyle w:val="ListParagraph"/>
        <w:tabs>
          <w:tab w:val="left" w:pos="810"/>
          <w:tab w:val="left" w:pos="1080"/>
        </w:tabs>
        <w:jc w:val="both"/>
        <w:rPr>
          <w:rFonts w:ascii="Garamond" w:hAnsi="Garamond"/>
          <w:b/>
          <w:bCs/>
          <w:strike/>
          <w:sz w:val="22"/>
          <w:szCs w:val="22"/>
        </w:rPr>
      </w:pPr>
    </w:p>
    <w:p w:rsidR="009F13C5" w:rsidRPr="002726A8" w:rsidRDefault="009F13C5" w:rsidP="009F13C5">
      <w:pPr>
        <w:pStyle w:val="ListParagraph"/>
        <w:tabs>
          <w:tab w:val="left" w:pos="810"/>
          <w:tab w:val="left" w:pos="1080"/>
        </w:tabs>
        <w:jc w:val="both"/>
        <w:rPr>
          <w:rFonts w:ascii="Garamond" w:hAnsi="Garamond"/>
          <w:b/>
          <w:bCs/>
          <w:strike/>
          <w:sz w:val="22"/>
          <w:szCs w:val="22"/>
        </w:rPr>
      </w:pPr>
    </w:p>
    <w:p w:rsidR="002726A8" w:rsidRDefault="002726A8">
      <w:pPr>
        <w:rPr>
          <w:rFonts w:ascii="Garamond" w:hAnsi="Garamond" w:cs="Helvetica"/>
          <w:b/>
          <w:color w:val="000099"/>
          <w:sz w:val="32"/>
          <w:szCs w:val="40"/>
        </w:rPr>
      </w:pPr>
      <w:r>
        <w:rPr>
          <w:rFonts w:ascii="Garamond" w:hAnsi="Garamond" w:cs="Helvetica"/>
          <w:b/>
          <w:color w:val="000099"/>
          <w:sz w:val="32"/>
          <w:szCs w:val="40"/>
        </w:rPr>
        <w:br w:type="page"/>
      </w:r>
    </w:p>
    <w:p w:rsidR="009C313D" w:rsidRPr="002726A8" w:rsidRDefault="009C313D" w:rsidP="009C313D">
      <w:pPr>
        <w:jc w:val="center"/>
        <w:outlineLvl w:val="0"/>
        <w:rPr>
          <w:rFonts w:ascii="Garamond" w:hAnsi="Garamond" w:cs="Helvetica"/>
          <w:b/>
          <w:color w:val="000099"/>
          <w:sz w:val="32"/>
          <w:szCs w:val="40"/>
        </w:rPr>
      </w:pPr>
      <w:r w:rsidRPr="002726A8">
        <w:rPr>
          <w:rFonts w:ascii="Garamond" w:hAnsi="Garamond" w:cs="Helvetica"/>
          <w:b/>
          <w:color w:val="000099"/>
          <w:sz w:val="32"/>
          <w:szCs w:val="40"/>
        </w:rPr>
        <w:lastRenderedPageBreak/>
        <w:t xml:space="preserve">POLICY DEVELOPMENTS </w:t>
      </w:r>
    </w:p>
    <w:p w:rsidR="009C313D" w:rsidRPr="002726A8" w:rsidRDefault="009C313D" w:rsidP="009C313D">
      <w:pPr>
        <w:jc w:val="both"/>
        <w:rPr>
          <w:rFonts w:ascii="Garamond" w:hAnsi="Garamond" w:cs="Arial"/>
          <w:b/>
        </w:rPr>
      </w:pPr>
    </w:p>
    <w:p w:rsidR="00467311" w:rsidRPr="003B1C78" w:rsidRDefault="00467311" w:rsidP="00C0009A">
      <w:pPr>
        <w:pStyle w:val="ListParagraph"/>
        <w:numPr>
          <w:ilvl w:val="0"/>
          <w:numId w:val="13"/>
        </w:numPr>
        <w:spacing w:after="0" w:line="240" w:lineRule="auto"/>
        <w:ind w:left="0"/>
        <w:jc w:val="both"/>
        <w:rPr>
          <w:rFonts w:ascii="Garamond" w:hAnsi="Garamond" w:cs="Arial"/>
          <w:b/>
          <w:sz w:val="32"/>
          <w:szCs w:val="32"/>
        </w:rPr>
      </w:pPr>
      <w:r w:rsidRPr="00453246">
        <w:rPr>
          <w:rFonts w:ascii="Garamond" w:hAnsi="Garamond" w:cs="Arial"/>
          <w:b/>
          <w:sz w:val="32"/>
          <w:szCs w:val="32"/>
        </w:rPr>
        <w:t>Performance review of Public Interest Directors (PIDs)</w:t>
      </w:r>
    </w:p>
    <w:p w:rsidR="00467311" w:rsidRPr="00453246" w:rsidRDefault="00467311" w:rsidP="00467311">
      <w:pPr>
        <w:jc w:val="both"/>
        <w:rPr>
          <w:rFonts w:ascii="Garamond" w:hAnsi="Garamond"/>
        </w:rPr>
      </w:pPr>
      <w:r w:rsidRPr="00453246">
        <w:rPr>
          <w:rFonts w:ascii="Garamond" w:hAnsi="Garamond"/>
        </w:rPr>
        <w:t xml:space="preserve">SEBI Board, in its meeting dated June 21, 2018, inter alia, decided that the tenure of PIDs may be extended by another 3 years, subject to performance review in the manner specified by the Board. </w:t>
      </w:r>
    </w:p>
    <w:p w:rsidR="00467311" w:rsidRDefault="00467311" w:rsidP="00467311">
      <w:pPr>
        <w:jc w:val="both"/>
        <w:rPr>
          <w:rFonts w:ascii="Garamond" w:hAnsi="Garamond"/>
        </w:rPr>
      </w:pPr>
    </w:p>
    <w:p w:rsidR="00467311" w:rsidRDefault="00467311" w:rsidP="00467311">
      <w:pPr>
        <w:jc w:val="both"/>
        <w:rPr>
          <w:rFonts w:ascii="Garamond" w:hAnsi="Garamond"/>
        </w:rPr>
      </w:pPr>
      <w:r w:rsidRPr="00453246">
        <w:rPr>
          <w:rFonts w:ascii="Garamond" w:hAnsi="Garamond"/>
        </w:rPr>
        <w:t>Based on decisions taken by SEBI Board, the clauses relating to tenure of PID were amended and have been provided in the Regulation 24(3) of Securities Contracts (Regulation) (Stock Exchanges and Clearing Corporations) Regulations, 2018 [SECC Regulations, 2018] and Regulation 25(3) of SEBI(Depositories and Participants) Regulations, 2018 [SEBI(D&amp;P) Regulations, 2018]</w:t>
      </w:r>
      <w:r w:rsidRPr="00A95CCC">
        <w:rPr>
          <w:rFonts w:ascii="Garamond" w:hAnsi="Garamond"/>
        </w:rPr>
        <w:t xml:space="preserve"> </w:t>
      </w:r>
    </w:p>
    <w:p w:rsidR="00467311" w:rsidRDefault="00467311" w:rsidP="00467311">
      <w:pPr>
        <w:jc w:val="both"/>
        <w:rPr>
          <w:rFonts w:ascii="Garamond" w:hAnsi="Garamond"/>
        </w:rPr>
      </w:pPr>
      <w:r w:rsidRPr="00453246">
        <w:rPr>
          <w:rFonts w:ascii="Garamond" w:hAnsi="Garamond" w:cs="Arial"/>
          <w:i/>
          <w:szCs w:val="32"/>
        </w:rPr>
        <w:t>Source: SEBI/HO/MRD/DOP2DSA2/CIR/P/2019/26 dated 05 February 2019</w:t>
      </w:r>
    </w:p>
    <w:p w:rsidR="00467311" w:rsidRDefault="00467311" w:rsidP="00467311">
      <w:pPr>
        <w:jc w:val="both"/>
        <w:rPr>
          <w:rFonts w:ascii="Garamond" w:hAnsi="Garamond"/>
        </w:rPr>
      </w:pPr>
    </w:p>
    <w:p w:rsidR="00467311" w:rsidRDefault="00467311" w:rsidP="00C0009A">
      <w:pPr>
        <w:pStyle w:val="ListParagraph"/>
        <w:numPr>
          <w:ilvl w:val="0"/>
          <w:numId w:val="13"/>
        </w:numPr>
        <w:spacing w:after="0" w:line="240" w:lineRule="auto"/>
        <w:ind w:left="0"/>
        <w:jc w:val="both"/>
        <w:rPr>
          <w:rFonts w:ascii="Garamond" w:hAnsi="Garamond" w:cs="Arial"/>
          <w:b/>
          <w:sz w:val="32"/>
          <w:szCs w:val="32"/>
        </w:rPr>
      </w:pPr>
      <w:r w:rsidRPr="00453246">
        <w:rPr>
          <w:rFonts w:ascii="Garamond" w:hAnsi="Garamond" w:cs="Arial"/>
          <w:b/>
          <w:sz w:val="32"/>
          <w:szCs w:val="32"/>
        </w:rPr>
        <w:t>Format for annual secretarial audit report and annual secretarial compliance report for listed entities and their material subsidiaries</w:t>
      </w:r>
    </w:p>
    <w:p w:rsidR="00467311" w:rsidRPr="00453246" w:rsidRDefault="00467311" w:rsidP="00467311">
      <w:pPr>
        <w:jc w:val="both"/>
        <w:rPr>
          <w:rFonts w:ascii="Garamond" w:hAnsi="Garamond"/>
        </w:rPr>
      </w:pPr>
      <w:r w:rsidRPr="00453246">
        <w:rPr>
          <w:rFonts w:ascii="Garamond" w:hAnsi="Garamond"/>
        </w:rPr>
        <w:t xml:space="preserve">The Committee on Corporate Governance, constituted under the Chairmanship of Shri Uday Kotak, in its report dated October 05, 2017, recommended the following in view of the criticality of secretarial functions to efficient board functioning: </w:t>
      </w:r>
    </w:p>
    <w:p w:rsidR="00467311" w:rsidRPr="00453246" w:rsidRDefault="00467311" w:rsidP="00467311">
      <w:pPr>
        <w:ind w:left="709" w:hanging="283"/>
        <w:jc w:val="both"/>
        <w:rPr>
          <w:rFonts w:ascii="Garamond" w:hAnsi="Garamond"/>
        </w:rPr>
      </w:pPr>
      <w:r w:rsidRPr="00453246">
        <w:rPr>
          <w:rFonts w:ascii="Garamond" w:hAnsi="Garamond"/>
        </w:rPr>
        <w:t>a.</w:t>
      </w:r>
      <w:r w:rsidRPr="00453246">
        <w:rPr>
          <w:rFonts w:ascii="Garamond" w:hAnsi="Garamond"/>
        </w:rPr>
        <w:tab/>
        <w:t xml:space="preserve">Secretarial audit to be made compulsory for all listed entities under the SEBI (Listing Obligations and Disclosure Requirements) Regulations, 2015 (“Regulations”) in line with the provisions of the Companies Act, 2013. </w:t>
      </w:r>
    </w:p>
    <w:p w:rsidR="00467311" w:rsidRPr="00453246" w:rsidRDefault="00467311" w:rsidP="00467311">
      <w:pPr>
        <w:ind w:left="709" w:hanging="283"/>
        <w:jc w:val="both"/>
        <w:rPr>
          <w:rFonts w:ascii="Garamond" w:hAnsi="Garamond"/>
        </w:rPr>
      </w:pPr>
      <w:r w:rsidRPr="00453246">
        <w:rPr>
          <w:rFonts w:ascii="Garamond" w:hAnsi="Garamond"/>
        </w:rPr>
        <w:t>b.</w:t>
      </w:r>
      <w:r w:rsidRPr="00453246">
        <w:rPr>
          <w:rFonts w:ascii="Garamond" w:hAnsi="Garamond"/>
        </w:rPr>
        <w:tab/>
        <w:t xml:space="preserve">Secretarial audit to be extended to all material unlisted Indian subsidiaries in line with the recommendations of the Committee on strengthening group oversight and improving compliance at a group level for listed entities. </w:t>
      </w:r>
    </w:p>
    <w:p w:rsidR="00467311" w:rsidRDefault="00467311" w:rsidP="00467311">
      <w:pPr>
        <w:jc w:val="both"/>
        <w:rPr>
          <w:rFonts w:ascii="Garamond" w:eastAsia="Arial" w:hAnsi="Garamond" w:cs="Arial"/>
          <w:b/>
        </w:rPr>
      </w:pPr>
      <w:r w:rsidRPr="00453246">
        <w:rPr>
          <w:rFonts w:ascii="Garamond" w:hAnsi="Garamond"/>
        </w:rPr>
        <w:t>The aforesaid recommendations were accepted and in order to implement the same, the SEBI (Listing Obligations and Disclosure Requirements) Regulations, 2015 have been amended</w:t>
      </w:r>
      <w:r>
        <w:rPr>
          <w:rFonts w:ascii="Garamond" w:hAnsi="Garamond"/>
        </w:rPr>
        <w:t>.</w:t>
      </w:r>
    </w:p>
    <w:p w:rsidR="00467311" w:rsidRDefault="00467311" w:rsidP="00467311">
      <w:pPr>
        <w:jc w:val="both"/>
        <w:rPr>
          <w:rFonts w:ascii="Garamond" w:eastAsia="Arial" w:hAnsi="Garamond" w:cs="Arial"/>
          <w:b/>
        </w:rPr>
      </w:pPr>
      <w:r w:rsidRPr="00192130">
        <w:rPr>
          <w:rFonts w:ascii="Garamond" w:hAnsi="Garamond" w:cs="Arial"/>
          <w:i/>
          <w:szCs w:val="32"/>
        </w:rPr>
        <w:t>Source: CIR/CFD/CMD1/27/2019 dated 08 February 2019</w:t>
      </w:r>
    </w:p>
    <w:p w:rsidR="00467311" w:rsidRDefault="00467311" w:rsidP="00467311">
      <w:pPr>
        <w:jc w:val="both"/>
        <w:rPr>
          <w:rFonts w:ascii="Garamond" w:eastAsia="Arial" w:hAnsi="Garamond" w:cs="Arial"/>
          <w:b/>
        </w:rPr>
      </w:pPr>
    </w:p>
    <w:p w:rsidR="00467311" w:rsidRDefault="00467311" w:rsidP="00C0009A">
      <w:pPr>
        <w:pStyle w:val="ListParagraph"/>
        <w:numPr>
          <w:ilvl w:val="0"/>
          <w:numId w:val="13"/>
        </w:numPr>
        <w:spacing w:after="0" w:line="240" w:lineRule="auto"/>
        <w:ind w:left="0"/>
        <w:jc w:val="both"/>
        <w:rPr>
          <w:rFonts w:ascii="Garamond" w:hAnsi="Garamond" w:cs="Arial"/>
          <w:b/>
          <w:sz w:val="32"/>
          <w:szCs w:val="32"/>
        </w:rPr>
      </w:pPr>
      <w:r w:rsidRPr="00395E10">
        <w:rPr>
          <w:rFonts w:ascii="Garamond" w:hAnsi="Garamond" w:cs="Arial"/>
          <w:b/>
          <w:sz w:val="32"/>
          <w:szCs w:val="32"/>
        </w:rPr>
        <w:t>Physical settlement of stock derivatives</w:t>
      </w:r>
    </w:p>
    <w:p w:rsidR="00467311" w:rsidRDefault="00467311" w:rsidP="00467311">
      <w:pPr>
        <w:jc w:val="both"/>
        <w:rPr>
          <w:rFonts w:ascii="Garamond" w:hAnsi="Garamond"/>
        </w:rPr>
      </w:pPr>
      <w:r w:rsidRPr="00395E10">
        <w:rPr>
          <w:rFonts w:ascii="Garamond" w:hAnsi="Garamond"/>
        </w:rPr>
        <w:t>Please refer to SEBI circular SEBI/HO/MRD/DP/CIR/P/2018/67 dated April 11, 2018 and circular SEBI/HO/MRD/DOPI/CIR/P/2018/161 dated December 31, 2018 on the captioned subject. In furtherance to the aforesaid circulars, it has been decided, in consultation with Secondary Market Advisory Committee (SMAC) of SEBI, that in addition to the existing schedule of stock derivatives moving to physical settlement, if a stock satisfies any of the following criteria, then derivative on such stock shall be moved to physical settlement from the new expiry cycle.</w:t>
      </w:r>
    </w:p>
    <w:p w:rsidR="00467311" w:rsidRDefault="00467311" w:rsidP="00467311">
      <w:pPr>
        <w:spacing w:line="236" w:lineRule="auto"/>
        <w:jc w:val="both"/>
        <w:rPr>
          <w:rFonts w:ascii="Garamond" w:hAnsi="Garamond" w:cs="Arial"/>
          <w:i/>
          <w:szCs w:val="32"/>
        </w:rPr>
      </w:pPr>
      <w:r w:rsidRPr="00DB2DFF">
        <w:rPr>
          <w:rFonts w:ascii="Garamond" w:hAnsi="Garamond" w:cs="Arial"/>
          <w:i/>
          <w:szCs w:val="32"/>
        </w:rPr>
        <w:t xml:space="preserve">Source: </w:t>
      </w:r>
      <w:r w:rsidRPr="00395E10">
        <w:rPr>
          <w:rFonts w:ascii="Garamond" w:hAnsi="Garamond"/>
          <w:i/>
        </w:rPr>
        <w:t>SEBI/HO/MRD/DOP1/CIR/P/2019/28</w:t>
      </w:r>
      <w:r w:rsidRPr="00DB2DFF">
        <w:rPr>
          <w:rFonts w:ascii="Garamond" w:hAnsi="Garamond"/>
          <w:i/>
        </w:rPr>
        <w:t xml:space="preserve"> dated </w:t>
      </w:r>
      <w:r>
        <w:rPr>
          <w:rFonts w:ascii="Garamond" w:hAnsi="Garamond"/>
          <w:i/>
        </w:rPr>
        <w:t>08</w:t>
      </w:r>
      <w:r w:rsidRPr="00DB2DFF">
        <w:rPr>
          <w:rFonts w:ascii="Garamond" w:hAnsi="Garamond"/>
          <w:i/>
        </w:rPr>
        <w:t xml:space="preserve"> </w:t>
      </w:r>
      <w:r w:rsidRPr="00513A8A">
        <w:rPr>
          <w:rFonts w:ascii="Garamond" w:hAnsi="Garamond"/>
          <w:i/>
        </w:rPr>
        <w:t xml:space="preserve">February </w:t>
      </w:r>
      <w:r w:rsidRPr="00DB2DFF">
        <w:rPr>
          <w:rFonts w:ascii="Garamond" w:hAnsi="Garamond"/>
          <w:i/>
        </w:rPr>
        <w:t>2019</w:t>
      </w:r>
    </w:p>
    <w:p w:rsidR="00467311" w:rsidRDefault="00467311" w:rsidP="00467311">
      <w:pPr>
        <w:spacing w:line="236" w:lineRule="auto"/>
        <w:jc w:val="both"/>
        <w:rPr>
          <w:rFonts w:ascii="Garamond" w:hAnsi="Garamond" w:cs="Arial"/>
          <w:i/>
          <w:szCs w:val="32"/>
        </w:rPr>
      </w:pPr>
    </w:p>
    <w:p w:rsidR="00467311" w:rsidRDefault="00467311" w:rsidP="00C0009A">
      <w:pPr>
        <w:pStyle w:val="ListParagraph"/>
        <w:numPr>
          <w:ilvl w:val="0"/>
          <w:numId w:val="13"/>
        </w:numPr>
        <w:spacing w:after="0" w:line="240" w:lineRule="auto"/>
        <w:ind w:left="0"/>
        <w:jc w:val="both"/>
        <w:rPr>
          <w:rFonts w:ascii="Garamond" w:hAnsi="Garamond" w:cs="Arial"/>
          <w:b/>
          <w:sz w:val="32"/>
          <w:szCs w:val="32"/>
        </w:rPr>
      </w:pPr>
      <w:r w:rsidRPr="00395E10">
        <w:rPr>
          <w:rFonts w:ascii="Garamond" w:hAnsi="Garamond" w:cs="Arial"/>
          <w:b/>
          <w:sz w:val="32"/>
          <w:szCs w:val="32"/>
        </w:rPr>
        <w:t>Framework for utilization of Financial Security Deposit (FSD) available with Clearing Corporations and WDRA</w:t>
      </w:r>
    </w:p>
    <w:p w:rsidR="00467311" w:rsidRDefault="00467311" w:rsidP="00467311">
      <w:pPr>
        <w:jc w:val="both"/>
        <w:rPr>
          <w:rFonts w:ascii="Garamond" w:hAnsi="Garamond"/>
        </w:rPr>
      </w:pPr>
      <w:r>
        <w:rPr>
          <w:rFonts w:ascii="Garamond" w:hAnsi="Garamond"/>
        </w:rPr>
        <w:t>S</w:t>
      </w:r>
      <w:r w:rsidRPr="00DD62DD">
        <w:rPr>
          <w:rFonts w:ascii="Garamond" w:hAnsi="Garamond"/>
        </w:rPr>
        <w:t xml:space="preserve">EBI vide its circular SEBI/HO/CDMRD/DMP/CIR/P/2016/103 dated September 27, 2016 had inter alia specified the norms requiring Financial Security Deposit (FSD) to be furnished by Warehouse Service Providers (WSPs) linked to the value of goods stored in the warehouses. In addition to this, Warehousing Development Regulatory Authority (WDRA) vide notification dated July 06, 2017 has also specified Security Deposit to be maintained by warehouse/warehouseman with the WDRA, linked to the value of outstanding negotiable warehouse receipts for the registered warehouses of the warehouseman. Thus, on the same goods, security deposits are required to be maintained with both WDRA and Recognized Clearing Corporations, putting additional financial burden on the warehouse operators. In order to rationalize security deposit and after consultation with WDRA &amp; Exchanges/Clearing Corporations, </w:t>
      </w:r>
      <w:r>
        <w:rPr>
          <w:rFonts w:ascii="Garamond" w:hAnsi="Garamond"/>
        </w:rPr>
        <w:t>revised norms were introduced.</w:t>
      </w:r>
    </w:p>
    <w:p w:rsidR="00467311" w:rsidRDefault="00467311" w:rsidP="00467311">
      <w:pPr>
        <w:jc w:val="both"/>
        <w:rPr>
          <w:rFonts w:ascii="Garamond" w:hAnsi="Garamond"/>
        </w:rPr>
      </w:pPr>
      <w:r w:rsidRPr="00DB591E">
        <w:rPr>
          <w:rFonts w:ascii="Garamond" w:hAnsi="Garamond" w:cs="Arial"/>
          <w:i/>
          <w:szCs w:val="32"/>
        </w:rPr>
        <w:t>Source: SEBI/HO/CDMRD/DNPMP/CIR/P/2019/29 dated 11 February 2019</w:t>
      </w:r>
    </w:p>
    <w:p w:rsidR="00467311" w:rsidRDefault="00467311" w:rsidP="00467311">
      <w:pPr>
        <w:jc w:val="both"/>
        <w:rPr>
          <w:rFonts w:ascii="Garamond" w:hAnsi="Garamond"/>
        </w:rPr>
      </w:pPr>
    </w:p>
    <w:p w:rsidR="00467311" w:rsidRDefault="00467311" w:rsidP="00C0009A">
      <w:pPr>
        <w:pStyle w:val="ListParagraph"/>
        <w:numPr>
          <w:ilvl w:val="0"/>
          <w:numId w:val="13"/>
        </w:numPr>
        <w:spacing w:after="0" w:line="240" w:lineRule="auto"/>
        <w:ind w:left="0"/>
        <w:jc w:val="both"/>
        <w:rPr>
          <w:rFonts w:ascii="Garamond" w:hAnsi="Garamond" w:cs="Arial"/>
          <w:b/>
          <w:sz w:val="32"/>
          <w:szCs w:val="32"/>
        </w:rPr>
      </w:pPr>
      <w:r w:rsidRPr="009E49C3">
        <w:rPr>
          <w:rFonts w:ascii="Garamond" w:hAnsi="Garamond" w:cs="Arial"/>
          <w:b/>
          <w:sz w:val="32"/>
          <w:szCs w:val="32"/>
        </w:rPr>
        <w:lastRenderedPageBreak/>
        <w:t>Relaxation from requirement to furnish a copy of PAN for transfer of equity shares of listed entities executed by non-residents</w:t>
      </w:r>
    </w:p>
    <w:p w:rsidR="00467311" w:rsidRDefault="00467311" w:rsidP="00467311">
      <w:pPr>
        <w:jc w:val="both"/>
        <w:rPr>
          <w:rFonts w:ascii="Garamond" w:hAnsi="Garamond"/>
        </w:rPr>
      </w:pPr>
      <w:r>
        <w:rPr>
          <w:rFonts w:ascii="Garamond" w:hAnsi="Garamond"/>
        </w:rPr>
        <w:t>I</w:t>
      </w:r>
      <w:r w:rsidRPr="009E49C3">
        <w:rPr>
          <w:rFonts w:ascii="Garamond" w:hAnsi="Garamond"/>
        </w:rPr>
        <w:t>t has been decided to grant relaxation to non-residents (such as NRIs, PIOs, OCIs and foreign nationals) from the requirement to furnish PAN and permit them to transfer equity shares held by them in listed entities to their immediate relatives</w:t>
      </w:r>
    </w:p>
    <w:p w:rsidR="00467311" w:rsidRPr="009F238C" w:rsidRDefault="00467311" w:rsidP="00467311">
      <w:pPr>
        <w:rPr>
          <w:rFonts w:ascii="Garamond" w:hAnsi="Garamond"/>
        </w:rPr>
      </w:pPr>
      <w:r>
        <w:rPr>
          <w:rFonts w:ascii="Garamond" w:hAnsi="Garamond" w:cs="Arial"/>
          <w:i/>
          <w:szCs w:val="32"/>
        </w:rPr>
        <w:t>S</w:t>
      </w:r>
      <w:r w:rsidRPr="00DB2DFF">
        <w:rPr>
          <w:rFonts w:ascii="Garamond" w:hAnsi="Garamond" w:cs="Arial"/>
          <w:i/>
          <w:szCs w:val="32"/>
        </w:rPr>
        <w:t xml:space="preserve">ource: </w:t>
      </w:r>
      <w:r w:rsidRPr="00E168BB">
        <w:rPr>
          <w:rFonts w:ascii="Garamond" w:hAnsi="Garamond"/>
          <w:i/>
        </w:rPr>
        <w:t>SEBI/HO/MIRSD/DOS3/CIR/P/2019/30</w:t>
      </w:r>
      <w:r w:rsidRPr="00DB2DFF">
        <w:rPr>
          <w:rFonts w:ascii="Garamond" w:hAnsi="Garamond"/>
          <w:i/>
        </w:rPr>
        <w:t xml:space="preserve"> dated </w:t>
      </w:r>
      <w:r>
        <w:rPr>
          <w:rFonts w:ascii="Garamond" w:hAnsi="Garamond"/>
          <w:i/>
        </w:rPr>
        <w:t>11</w:t>
      </w:r>
      <w:r w:rsidRPr="00DB2DFF">
        <w:rPr>
          <w:rFonts w:ascii="Garamond" w:hAnsi="Garamond"/>
          <w:i/>
        </w:rPr>
        <w:t xml:space="preserve"> </w:t>
      </w:r>
      <w:r w:rsidRPr="00513A8A">
        <w:rPr>
          <w:rFonts w:ascii="Garamond" w:hAnsi="Garamond"/>
          <w:i/>
        </w:rPr>
        <w:t xml:space="preserve">February </w:t>
      </w:r>
      <w:r w:rsidRPr="00DB2DFF">
        <w:rPr>
          <w:rFonts w:ascii="Garamond" w:hAnsi="Garamond"/>
          <w:i/>
        </w:rPr>
        <w:t>2019</w:t>
      </w:r>
    </w:p>
    <w:p w:rsidR="00467311" w:rsidRDefault="00467311" w:rsidP="00C0009A">
      <w:pPr>
        <w:pStyle w:val="ListParagraph"/>
        <w:numPr>
          <w:ilvl w:val="0"/>
          <w:numId w:val="13"/>
        </w:numPr>
        <w:spacing w:after="0" w:line="240" w:lineRule="auto"/>
        <w:ind w:left="0"/>
        <w:jc w:val="both"/>
        <w:rPr>
          <w:rFonts w:ascii="Garamond" w:hAnsi="Garamond" w:cs="Arial"/>
          <w:b/>
          <w:sz w:val="32"/>
          <w:szCs w:val="32"/>
        </w:rPr>
      </w:pPr>
      <w:r w:rsidRPr="007126B2">
        <w:rPr>
          <w:rFonts w:ascii="Garamond" w:hAnsi="Garamond" w:cs="Arial"/>
          <w:b/>
          <w:sz w:val="32"/>
          <w:szCs w:val="32"/>
        </w:rPr>
        <w:t>Advisory Committee at Market Infrastructure Institutions (MIIs)</w:t>
      </w:r>
    </w:p>
    <w:p w:rsidR="00467311" w:rsidRDefault="00467311" w:rsidP="00467311">
      <w:pPr>
        <w:jc w:val="both"/>
        <w:rPr>
          <w:rFonts w:ascii="Garamond" w:hAnsi="Garamond"/>
        </w:rPr>
      </w:pPr>
      <w:r w:rsidRPr="00366046">
        <w:rPr>
          <w:rFonts w:ascii="Garamond" w:hAnsi="Garamond"/>
        </w:rPr>
        <w:t xml:space="preserve">Based on representations received and the fact that the Advisory committee is the only committee wherein trading members, clearing members and depository participants can provide their suggestions to the concerned MIs on non-regulatory and operational matters, it has been decided that Clause 6 of circular no. SEBI/HO/MRD/DOP2DSA2/CIR/P/2019/13 dated </w:t>
      </w:r>
      <w:r>
        <w:rPr>
          <w:rFonts w:ascii="Garamond" w:hAnsi="Garamond"/>
        </w:rPr>
        <w:t xml:space="preserve">10 </w:t>
      </w:r>
      <w:r w:rsidRPr="00366046">
        <w:rPr>
          <w:rFonts w:ascii="Garamond" w:hAnsi="Garamond"/>
        </w:rPr>
        <w:t xml:space="preserve">January </w:t>
      </w:r>
      <w:r>
        <w:rPr>
          <w:rFonts w:ascii="Garamond" w:hAnsi="Garamond"/>
        </w:rPr>
        <w:t>2019</w:t>
      </w:r>
      <w:r w:rsidRPr="00366046">
        <w:rPr>
          <w:rFonts w:ascii="Garamond" w:hAnsi="Garamond"/>
        </w:rPr>
        <w:t xml:space="preserve"> shall not be applicable to the advisory committee at MIIs towards enabling wider participation of members of MIIs in the said advisory committee.</w:t>
      </w:r>
    </w:p>
    <w:p w:rsidR="00467311" w:rsidRDefault="00467311" w:rsidP="00467311">
      <w:pPr>
        <w:ind w:right="-5"/>
        <w:jc w:val="both"/>
        <w:rPr>
          <w:rFonts w:ascii="Garamond" w:hAnsi="Garamond"/>
        </w:rPr>
      </w:pPr>
      <w:r w:rsidRPr="007A485F">
        <w:rPr>
          <w:rFonts w:ascii="Garamond" w:hAnsi="Garamond" w:cs="Arial"/>
          <w:i/>
          <w:szCs w:val="32"/>
        </w:rPr>
        <w:t>Source: SEBI/HO/MRD/DOP2DSA2/CIR/P/2019/31 dated 1</w:t>
      </w:r>
      <w:r>
        <w:rPr>
          <w:rFonts w:ascii="Garamond" w:hAnsi="Garamond" w:cs="Arial"/>
          <w:i/>
          <w:szCs w:val="32"/>
        </w:rPr>
        <w:t>5</w:t>
      </w:r>
      <w:r w:rsidRPr="007A485F">
        <w:rPr>
          <w:rFonts w:ascii="Garamond" w:hAnsi="Garamond" w:cs="Arial"/>
          <w:i/>
          <w:szCs w:val="32"/>
        </w:rPr>
        <w:t xml:space="preserve"> February 2019</w:t>
      </w:r>
    </w:p>
    <w:p w:rsidR="00467311" w:rsidRDefault="00467311" w:rsidP="00467311">
      <w:pPr>
        <w:ind w:right="-5"/>
        <w:jc w:val="both"/>
        <w:rPr>
          <w:rFonts w:ascii="Garamond" w:hAnsi="Garamond"/>
        </w:rPr>
      </w:pPr>
    </w:p>
    <w:p w:rsidR="00467311" w:rsidRDefault="00467311" w:rsidP="00C0009A">
      <w:pPr>
        <w:pStyle w:val="ListParagraph"/>
        <w:numPr>
          <w:ilvl w:val="0"/>
          <w:numId w:val="13"/>
        </w:numPr>
        <w:spacing w:after="0" w:line="240" w:lineRule="auto"/>
        <w:ind w:left="0"/>
        <w:jc w:val="both"/>
        <w:rPr>
          <w:rFonts w:ascii="Garamond" w:hAnsi="Garamond" w:cs="Arial"/>
          <w:b/>
          <w:sz w:val="32"/>
          <w:szCs w:val="32"/>
        </w:rPr>
      </w:pPr>
      <w:r w:rsidRPr="00715983">
        <w:rPr>
          <w:rFonts w:ascii="Garamond" w:hAnsi="Garamond" w:cs="Arial"/>
          <w:b/>
          <w:sz w:val="32"/>
          <w:szCs w:val="32"/>
        </w:rPr>
        <w:t>Revision in Haircut on Central Government Securities (G-Sec) accepted as Collateral</w:t>
      </w:r>
    </w:p>
    <w:p w:rsidR="00467311" w:rsidRDefault="00467311" w:rsidP="00467311">
      <w:pPr>
        <w:jc w:val="both"/>
        <w:rPr>
          <w:rFonts w:ascii="Garamond" w:hAnsi="Garamond"/>
        </w:rPr>
      </w:pPr>
      <w:r w:rsidRPr="00715983">
        <w:rPr>
          <w:rFonts w:ascii="Garamond" w:hAnsi="Garamond"/>
        </w:rPr>
        <w:t>SEBI, vide circular MRD/DoP/SE/Cir-7/2005 dated February 23, 2005, captioned ‘Comprehensive Risk Management Framework for the cash market’, has, inter alia, specified the applicable haircuts for the acceptable liquid assets deposited by members with the exchange/clearing corporation for various requirements.  Based on the feedback received from the Clearing Corporations and the recommendations of the Risk Management Review Committee (RMRC) of SEBI, it has been decided to revise the minimum haircuts applicable to the Central Government securities deposited by clearing members.</w:t>
      </w:r>
    </w:p>
    <w:p w:rsidR="00467311" w:rsidRPr="00FB6876" w:rsidRDefault="00467311" w:rsidP="00467311">
      <w:pPr>
        <w:rPr>
          <w:rFonts w:ascii="Garamond" w:hAnsi="Garamond"/>
        </w:rPr>
      </w:pPr>
      <w:r w:rsidRPr="00DB2DFF">
        <w:rPr>
          <w:rFonts w:ascii="Garamond" w:hAnsi="Garamond" w:cs="Arial"/>
          <w:i/>
          <w:szCs w:val="32"/>
        </w:rPr>
        <w:t xml:space="preserve">Source: </w:t>
      </w:r>
      <w:r w:rsidRPr="0009216B">
        <w:rPr>
          <w:rFonts w:ascii="Garamond" w:hAnsi="Garamond"/>
          <w:i/>
        </w:rPr>
        <w:t>SEBI/HO/MRD/DRMNP/CIR/P/2019/33</w:t>
      </w:r>
      <w:r w:rsidRPr="00DB2DFF">
        <w:rPr>
          <w:rFonts w:ascii="Garamond" w:hAnsi="Garamond"/>
          <w:i/>
        </w:rPr>
        <w:t xml:space="preserve"> dated </w:t>
      </w:r>
      <w:r>
        <w:rPr>
          <w:rFonts w:ascii="Garamond" w:hAnsi="Garamond"/>
          <w:i/>
        </w:rPr>
        <w:t>21</w:t>
      </w:r>
      <w:r w:rsidRPr="00DB2DFF">
        <w:rPr>
          <w:rFonts w:ascii="Garamond" w:hAnsi="Garamond"/>
          <w:i/>
        </w:rPr>
        <w:t xml:space="preserve"> </w:t>
      </w:r>
      <w:r>
        <w:rPr>
          <w:rFonts w:ascii="Garamond" w:hAnsi="Garamond"/>
          <w:i/>
        </w:rPr>
        <w:t>February</w:t>
      </w:r>
      <w:r w:rsidRPr="00DB2DFF">
        <w:rPr>
          <w:rFonts w:ascii="Garamond" w:hAnsi="Garamond"/>
          <w:i/>
        </w:rPr>
        <w:t xml:space="preserve"> 2019</w:t>
      </w:r>
    </w:p>
    <w:p w:rsidR="002726A8" w:rsidRPr="00696402" w:rsidRDefault="002726A8" w:rsidP="002726A8">
      <w:pPr>
        <w:rPr>
          <w:rFonts w:ascii="Garamond" w:hAnsi="Garamond"/>
          <w:i/>
        </w:rPr>
      </w:pPr>
    </w:p>
    <w:p w:rsidR="002726A8" w:rsidRPr="00696402" w:rsidRDefault="002726A8" w:rsidP="002726A8">
      <w:pPr>
        <w:jc w:val="both"/>
        <w:rPr>
          <w:rFonts w:ascii="Garamond" w:hAnsi="Garamond" w:cs="Arial"/>
          <w:b/>
        </w:rPr>
      </w:pPr>
    </w:p>
    <w:p w:rsidR="002726A8" w:rsidRPr="00696402" w:rsidRDefault="002726A8" w:rsidP="002726A8">
      <w:pPr>
        <w:rPr>
          <w:rFonts w:ascii="Garamond" w:hAnsi="Garamond" w:cs="Arial"/>
          <w:i/>
        </w:rPr>
      </w:pPr>
    </w:p>
    <w:p w:rsidR="002726A8" w:rsidRPr="00696402" w:rsidRDefault="002726A8" w:rsidP="002726A8">
      <w:pPr>
        <w:rPr>
          <w:rFonts w:ascii="Garamond" w:hAnsi="Garamond" w:cs="Arial"/>
          <w:i/>
        </w:rPr>
      </w:pPr>
      <w:r w:rsidRPr="00696402">
        <w:rPr>
          <w:rFonts w:ascii="Garamond" w:hAnsi="Garamond" w:cs="Arial"/>
          <w:i/>
        </w:rPr>
        <w:t>Disclaimer: The summary has been prepared for the convenience of readers. In case of any ambiguity please refer to the original circular.</w:t>
      </w:r>
    </w:p>
    <w:p w:rsidR="002726A8" w:rsidRDefault="002726A8" w:rsidP="002726A8"/>
    <w:p w:rsidR="009C313D" w:rsidRPr="002726A8" w:rsidRDefault="009C313D" w:rsidP="009C313D">
      <w:pPr>
        <w:spacing w:after="160" w:line="259" w:lineRule="auto"/>
        <w:rPr>
          <w:rFonts w:ascii="Garamond" w:hAnsi="Garamond" w:cs="Arial"/>
        </w:rPr>
      </w:pPr>
      <w:r w:rsidRPr="002726A8">
        <w:rPr>
          <w:rFonts w:ascii="Garamond" w:hAnsi="Garamond" w:cs="Arial"/>
        </w:rPr>
        <w:br w:type="page"/>
      </w:r>
    </w:p>
    <w:p w:rsidR="009C313D" w:rsidRPr="002726A8" w:rsidRDefault="009C313D" w:rsidP="009C313D">
      <w:pPr>
        <w:jc w:val="center"/>
        <w:outlineLvl w:val="0"/>
        <w:rPr>
          <w:rFonts w:ascii="Garamond" w:hAnsi="Garamond"/>
          <w:b/>
          <w:caps/>
          <w:color w:val="4472C4" w:themeColor="accent5"/>
          <w:sz w:val="32"/>
        </w:rPr>
      </w:pPr>
      <w:r w:rsidRPr="002726A8">
        <w:rPr>
          <w:rFonts w:ascii="Garamond" w:hAnsi="Garamond"/>
          <w:b/>
          <w:caps/>
          <w:color w:val="4472C4" w:themeColor="accent5"/>
          <w:sz w:val="32"/>
        </w:rPr>
        <w:lastRenderedPageBreak/>
        <w:t>Regulatory Actions taken by SEBI</w:t>
      </w:r>
    </w:p>
    <w:p w:rsidR="009C313D" w:rsidRPr="002726A8" w:rsidRDefault="009C313D" w:rsidP="009C313D">
      <w:pPr>
        <w:jc w:val="both"/>
        <w:rPr>
          <w:rFonts w:ascii="Garamond" w:hAnsi="Garamond"/>
          <w:b/>
          <w:u w:val="single"/>
        </w:rPr>
      </w:pPr>
    </w:p>
    <w:p w:rsidR="00467311" w:rsidRPr="004B268C" w:rsidRDefault="00467311" w:rsidP="004B268C">
      <w:pPr>
        <w:pStyle w:val="Default"/>
        <w:numPr>
          <w:ilvl w:val="0"/>
          <w:numId w:val="7"/>
        </w:numPr>
        <w:spacing w:after="120"/>
        <w:ind w:right="283"/>
        <w:jc w:val="both"/>
        <w:rPr>
          <w:rFonts w:ascii="Garamond" w:hAnsi="Garamond"/>
          <w:bCs/>
          <w:color w:val="auto"/>
        </w:rPr>
      </w:pPr>
      <w:r w:rsidRPr="004B268C">
        <w:rPr>
          <w:rFonts w:ascii="Garamond" w:hAnsi="Garamond"/>
          <w:bCs/>
          <w:color w:val="auto"/>
        </w:rPr>
        <w:t xml:space="preserve">SEBI passed an order, dated 05 February 2019, in the matter of dealing in illiquid options on the BSE imposing a total penalty of Rs 5,00,000 (Rupees Five Lakh Only) on Lahliwala Steels Pvt. Ltd. for the violation of </w:t>
      </w:r>
      <w:r w:rsidRPr="004B268C">
        <w:rPr>
          <w:rFonts w:ascii="Garamond" w:hAnsi="Garamond"/>
        </w:rPr>
        <w:t>Regulation 3(a), 4(1) and 4(2)(a)</w:t>
      </w:r>
      <w:r w:rsidRPr="004B268C">
        <w:rPr>
          <w:rFonts w:ascii="Garamond" w:hAnsi="Garamond"/>
          <w:bCs/>
          <w:color w:val="auto"/>
        </w:rPr>
        <w:t xml:space="preserve"> of PFUTP Regulations.</w:t>
      </w:r>
    </w:p>
    <w:p w:rsidR="00467311" w:rsidRPr="004B268C" w:rsidRDefault="00467311" w:rsidP="004B268C">
      <w:pPr>
        <w:pStyle w:val="Default"/>
        <w:numPr>
          <w:ilvl w:val="0"/>
          <w:numId w:val="7"/>
        </w:numPr>
        <w:spacing w:after="120"/>
        <w:ind w:right="283"/>
        <w:jc w:val="both"/>
        <w:rPr>
          <w:rFonts w:ascii="Garamond" w:hAnsi="Garamond"/>
          <w:bCs/>
          <w:color w:val="auto"/>
        </w:rPr>
      </w:pPr>
      <w:r w:rsidRPr="004B268C">
        <w:rPr>
          <w:rFonts w:ascii="Garamond" w:hAnsi="Garamond"/>
          <w:bCs/>
          <w:color w:val="auto"/>
        </w:rPr>
        <w:t>SEBI passed an order, dated 07 February 2019, in the matter of Finalysis Credit and Guarantee Company Limited imposing a total penalty of Rs 1,00,000 (Rupees One Lakh Only) on Jagdish D Sarkhot for the violation of Regulations 13(4A) read with Regulation 13(5) of PIT Regulations.</w:t>
      </w:r>
    </w:p>
    <w:p w:rsidR="00467311" w:rsidRPr="004B268C" w:rsidRDefault="00467311" w:rsidP="004B268C">
      <w:pPr>
        <w:pStyle w:val="Default"/>
        <w:numPr>
          <w:ilvl w:val="0"/>
          <w:numId w:val="7"/>
        </w:numPr>
        <w:spacing w:after="120"/>
        <w:ind w:right="283"/>
        <w:jc w:val="both"/>
        <w:rPr>
          <w:rFonts w:ascii="Garamond" w:hAnsi="Garamond"/>
          <w:bCs/>
          <w:color w:val="auto"/>
        </w:rPr>
      </w:pPr>
      <w:r w:rsidRPr="004B268C">
        <w:rPr>
          <w:rFonts w:ascii="Garamond" w:hAnsi="Garamond"/>
          <w:bCs/>
          <w:color w:val="auto"/>
        </w:rPr>
        <w:t>SEBI passed an order, dated 07 February 2019, in the matter of Finalysis Credit and Guarantee Company Limited imposing a total penalty of Rs 1,00,000 (Rupees One Lakh Only) on Mohammad Rafi and Talat Wahadatali Mohamad for the violation of Regulations 29(1) read with Regulation 29(3) of SAST Regulations.</w:t>
      </w:r>
    </w:p>
    <w:p w:rsidR="00467311" w:rsidRPr="004B268C" w:rsidRDefault="00467311" w:rsidP="004B268C">
      <w:pPr>
        <w:pStyle w:val="Default"/>
        <w:numPr>
          <w:ilvl w:val="0"/>
          <w:numId w:val="7"/>
        </w:numPr>
        <w:spacing w:after="120"/>
        <w:ind w:right="283"/>
        <w:jc w:val="both"/>
        <w:rPr>
          <w:rFonts w:ascii="Garamond" w:hAnsi="Garamond"/>
          <w:bCs/>
          <w:color w:val="auto"/>
        </w:rPr>
      </w:pPr>
      <w:r w:rsidRPr="004B268C">
        <w:rPr>
          <w:rFonts w:ascii="Garamond" w:hAnsi="Garamond"/>
          <w:bCs/>
          <w:color w:val="auto"/>
        </w:rPr>
        <w:t>SEBI passed an order, dated 11 February 2019, in the matter of Finalysis Credit &amp; Guarantee Company Limited imposing a total penalty of Rs 3,00,000 (Rupees Three Lakh Only) on Sham S Gandhi for the violation of regulation 7(1) r/w regulation 7(2) of SAST Regulations 1997, regulation 29(2) r/w regulation 29(3) of SAST Regulations 2011 and regulation 13(1) of PIT Regulations.</w:t>
      </w:r>
    </w:p>
    <w:p w:rsidR="00467311" w:rsidRPr="004B268C" w:rsidRDefault="00467311" w:rsidP="004B268C">
      <w:pPr>
        <w:pStyle w:val="Default"/>
        <w:numPr>
          <w:ilvl w:val="0"/>
          <w:numId w:val="7"/>
        </w:numPr>
        <w:spacing w:after="120"/>
        <w:ind w:right="283"/>
        <w:jc w:val="both"/>
        <w:rPr>
          <w:rFonts w:ascii="Garamond" w:hAnsi="Garamond"/>
          <w:bCs/>
          <w:color w:val="auto"/>
        </w:rPr>
      </w:pPr>
      <w:r w:rsidRPr="004B268C">
        <w:rPr>
          <w:rFonts w:ascii="Garamond" w:hAnsi="Garamond"/>
          <w:bCs/>
          <w:color w:val="auto"/>
        </w:rPr>
        <w:t xml:space="preserve">SEBI passed an order, dated 15 February 2019, in the matter of Confidence Finance and Trading Private Ltd. imposing a total penalty of Rs 2,00,000 (Rupees Two Lakh Only) on Insight Multitrading Private Ltd. for the violation of </w:t>
      </w:r>
      <w:r w:rsidRPr="004B268C">
        <w:rPr>
          <w:rFonts w:ascii="Garamond" w:hAnsi="Garamond"/>
        </w:rPr>
        <w:t>Regulations 13 (1) and 13 (3)</w:t>
      </w:r>
      <w:r w:rsidRPr="004B268C">
        <w:rPr>
          <w:rFonts w:ascii="Garamond" w:hAnsi="Garamond"/>
          <w:bCs/>
          <w:color w:val="auto"/>
        </w:rPr>
        <w:t xml:space="preserve"> of PIT Regulations.</w:t>
      </w:r>
    </w:p>
    <w:p w:rsidR="00467311" w:rsidRPr="004B268C" w:rsidRDefault="00467311" w:rsidP="004B268C">
      <w:pPr>
        <w:pStyle w:val="Default"/>
        <w:numPr>
          <w:ilvl w:val="0"/>
          <w:numId w:val="7"/>
        </w:numPr>
        <w:spacing w:after="120"/>
        <w:ind w:right="283"/>
        <w:jc w:val="both"/>
        <w:rPr>
          <w:rFonts w:ascii="Garamond" w:hAnsi="Garamond"/>
          <w:bCs/>
          <w:color w:val="auto"/>
        </w:rPr>
      </w:pPr>
      <w:r w:rsidRPr="004B268C">
        <w:rPr>
          <w:rFonts w:ascii="Garamond" w:hAnsi="Garamond"/>
          <w:bCs/>
          <w:color w:val="auto"/>
        </w:rPr>
        <w:t xml:space="preserve">SEBI passed an order, dated 15 February 2019, in the matter of Illiquid Stock Options at BSE imposing a total penalty of Rs 10,00,000 (Rupees Ten Lakh Only) on Poonam Drums and Containers Private Ltd. for </w:t>
      </w:r>
      <w:r w:rsidRPr="004B268C">
        <w:rPr>
          <w:rFonts w:ascii="Garamond" w:hAnsi="Garamond"/>
        </w:rPr>
        <w:t>indulging in execution of reversal trades in Stock Options with same entities on the same day, thereby creating artificial volume, leading to false and misleading appearance of trading in the illiquid stock options at BSE</w:t>
      </w:r>
      <w:r w:rsidRPr="004B268C">
        <w:rPr>
          <w:rFonts w:ascii="Garamond" w:hAnsi="Garamond"/>
          <w:bCs/>
          <w:color w:val="auto"/>
        </w:rPr>
        <w:t>.</w:t>
      </w:r>
    </w:p>
    <w:p w:rsidR="00467311" w:rsidRPr="004B268C" w:rsidRDefault="00467311" w:rsidP="004B268C">
      <w:pPr>
        <w:pStyle w:val="Default"/>
        <w:numPr>
          <w:ilvl w:val="0"/>
          <w:numId w:val="7"/>
        </w:numPr>
        <w:spacing w:after="120"/>
        <w:ind w:right="283"/>
        <w:jc w:val="both"/>
        <w:rPr>
          <w:rFonts w:ascii="Garamond" w:hAnsi="Garamond"/>
          <w:bCs/>
          <w:color w:val="auto"/>
        </w:rPr>
      </w:pPr>
      <w:r w:rsidRPr="004B268C">
        <w:rPr>
          <w:rFonts w:ascii="Garamond" w:hAnsi="Garamond"/>
          <w:bCs/>
          <w:color w:val="auto"/>
        </w:rPr>
        <w:t>SEBI passed an order, dated 20 February 2019, in the matter of dealings in illiquid stocks options at BSE imposing a total penalty of Rs 5,00,000 (Rupees Five Lakh Only) on Teji Mandi Securities Private Limited for the violation of regulations 3(a), (b), (c) and (d), 4(1), 4(2)(a) of PFUTP Regulations.</w:t>
      </w:r>
    </w:p>
    <w:p w:rsidR="00467311" w:rsidRPr="004B268C" w:rsidRDefault="00467311" w:rsidP="004B268C">
      <w:pPr>
        <w:pStyle w:val="Default"/>
        <w:numPr>
          <w:ilvl w:val="0"/>
          <w:numId w:val="7"/>
        </w:numPr>
        <w:spacing w:after="120"/>
        <w:ind w:right="283"/>
        <w:jc w:val="both"/>
        <w:rPr>
          <w:rFonts w:ascii="Garamond" w:hAnsi="Garamond"/>
          <w:bCs/>
          <w:color w:val="auto"/>
        </w:rPr>
      </w:pPr>
      <w:r w:rsidRPr="004B268C">
        <w:rPr>
          <w:rFonts w:ascii="Garamond" w:hAnsi="Garamond"/>
          <w:bCs/>
          <w:color w:val="auto"/>
        </w:rPr>
        <w:t>SEBI passed an order, dated 20 February 2019, in the matter of dealings in illiquid stocks options at BSE imposing a total penalty of Rs 5,00,000 (Rupees Five Lakh Only) on Vikrant International Pvt. Ltd. for the violation of regulations 3(a), (b), (c) and (d), 4(1), 4(2)(a) of PFUTP Regulations.</w:t>
      </w:r>
    </w:p>
    <w:p w:rsidR="00467311" w:rsidRPr="004B268C" w:rsidRDefault="00467311" w:rsidP="004B268C">
      <w:pPr>
        <w:pStyle w:val="Default"/>
        <w:numPr>
          <w:ilvl w:val="0"/>
          <w:numId w:val="7"/>
        </w:numPr>
        <w:spacing w:after="120"/>
        <w:ind w:right="283"/>
        <w:jc w:val="both"/>
        <w:rPr>
          <w:rFonts w:ascii="Garamond" w:hAnsi="Garamond"/>
          <w:bCs/>
          <w:color w:val="auto"/>
        </w:rPr>
      </w:pPr>
      <w:r w:rsidRPr="004B268C">
        <w:rPr>
          <w:rFonts w:ascii="Garamond" w:hAnsi="Garamond"/>
          <w:bCs/>
          <w:color w:val="auto"/>
        </w:rPr>
        <w:t>SEBI passed an order, dated 20 February 2019, in the matter of M/s Investor Gala Research Laboratories Proprietor: Ms. Prachi Gupta imposing a total penalty of Rs 5,00,000 (Rupees Five Lakh Only) on Prachi Gupta , Proprietor of M/s Investor Gala Research Laboratories for the violation of section 12(1) of the SEBI Act.</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20 February 2019, in the matter of Citizen Yarns Limited imposing a total penalty of Rs 5,00,000 (Rupees Five Lakh Only) on Sai Mangesh Consultancy for the violation of regulation 29(1) read with regulation 29(3) of the SAST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 xml:space="preserve">SEBI passed an order, dated 21 February 2019, in the matter of Taneja Aerospace and Aviation Limited imposing following penalties, for the violation of Clause 36 of the Listing Agreement; Section 21 of the SCRA; Section 12A(a), (b) and (c) of the SEBI Act, </w:t>
      </w:r>
      <w:r w:rsidRPr="004B268C">
        <w:rPr>
          <w:rFonts w:ascii="Garamond" w:hAnsi="Garamond"/>
        </w:rPr>
        <w:lastRenderedPageBreak/>
        <w:t>Regulations 2(1)(c), 3 and 4(2)(e) of PFUTP Regulations and Section 11C(2) and (3) of the SEBI Act:</w:t>
      </w:r>
    </w:p>
    <w:tbl>
      <w:tblPr>
        <w:tblW w:w="8243" w:type="dxa"/>
        <w:tblInd w:w="619" w:type="dxa"/>
        <w:tblCellMar>
          <w:top w:w="169" w:type="dxa"/>
          <w:left w:w="106" w:type="dxa"/>
          <w:right w:w="63" w:type="dxa"/>
        </w:tblCellMar>
        <w:tblLook w:val="04A0" w:firstRow="1" w:lastRow="0" w:firstColumn="1" w:lastColumn="0" w:noHBand="0" w:noVBand="1"/>
      </w:tblPr>
      <w:tblGrid>
        <w:gridCol w:w="4085"/>
        <w:gridCol w:w="4158"/>
      </w:tblGrid>
      <w:tr w:rsidR="00467311" w:rsidRPr="004B268C" w:rsidTr="00BD62BA">
        <w:trPr>
          <w:trHeight w:val="196"/>
        </w:trPr>
        <w:tc>
          <w:tcPr>
            <w:tcW w:w="4085" w:type="dxa"/>
            <w:tcBorders>
              <w:top w:val="single" w:sz="4" w:space="0" w:color="000000"/>
              <w:left w:val="single" w:sz="4" w:space="0" w:color="000000"/>
              <w:bottom w:val="single" w:sz="4" w:space="0" w:color="000000"/>
              <w:right w:val="single" w:sz="4" w:space="0" w:color="000000"/>
            </w:tcBorders>
            <w:vAlign w:val="center"/>
          </w:tcPr>
          <w:p w:rsidR="00467311" w:rsidRPr="004B268C" w:rsidRDefault="00467311" w:rsidP="004B268C">
            <w:pPr>
              <w:spacing w:after="120"/>
              <w:rPr>
                <w:rFonts w:ascii="Garamond" w:hAnsi="Garamond"/>
              </w:rPr>
            </w:pPr>
            <w:r w:rsidRPr="004B268C">
              <w:rPr>
                <w:rFonts w:ascii="Garamond" w:eastAsia="Arial" w:hAnsi="Garamond" w:cs="Arial"/>
              </w:rPr>
              <w:t xml:space="preserve">Name of the Entity </w:t>
            </w:r>
          </w:p>
        </w:tc>
        <w:tc>
          <w:tcPr>
            <w:tcW w:w="4158" w:type="dxa"/>
            <w:tcBorders>
              <w:top w:val="single" w:sz="4" w:space="0" w:color="000000"/>
              <w:left w:val="single" w:sz="4" w:space="0" w:color="000000"/>
              <w:bottom w:val="single" w:sz="4" w:space="0" w:color="000000"/>
              <w:right w:val="single" w:sz="4" w:space="0" w:color="000000"/>
            </w:tcBorders>
            <w:vAlign w:val="center"/>
          </w:tcPr>
          <w:p w:rsidR="00467311" w:rsidRPr="004B268C" w:rsidRDefault="00467311" w:rsidP="004B268C">
            <w:pPr>
              <w:spacing w:after="120"/>
              <w:ind w:left="2"/>
              <w:rPr>
                <w:rFonts w:ascii="Garamond" w:hAnsi="Garamond"/>
              </w:rPr>
            </w:pPr>
            <w:r w:rsidRPr="004B268C">
              <w:rPr>
                <w:rFonts w:ascii="Garamond" w:eastAsia="Arial" w:hAnsi="Garamond" w:cs="Arial"/>
              </w:rPr>
              <w:t xml:space="preserve">Penalty Amount </w:t>
            </w:r>
          </w:p>
        </w:tc>
      </w:tr>
      <w:tr w:rsidR="00467311" w:rsidRPr="004B268C" w:rsidTr="00BD62BA">
        <w:trPr>
          <w:trHeight w:val="330"/>
        </w:trPr>
        <w:tc>
          <w:tcPr>
            <w:tcW w:w="4085" w:type="dxa"/>
            <w:tcBorders>
              <w:top w:val="single" w:sz="4" w:space="0" w:color="000000"/>
              <w:left w:val="single" w:sz="4" w:space="0" w:color="000000"/>
              <w:bottom w:val="single" w:sz="4" w:space="0" w:color="000000"/>
              <w:right w:val="single" w:sz="4" w:space="0" w:color="000000"/>
            </w:tcBorders>
            <w:vAlign w:val="center"/>
          </w:tcPr>
          <w:p w:rsidR="00467311" w:rsidRPr="004B268C" w:rsidRDefault="00467311" w:rsidP="004B268C">
            <w:pPr>
              <w:spacing w:after="120"/>
              <w:rPr>
                <w:rFonts w:ascii="Garamond" w:hAnsi="Garamond"/>
              </w:rPr>
            </w:pPr>
            <w:r w:rsidRPr="004B268C">
              <w:rPr>
                <w:rFonts w:ascii="Garamond" w:eastAsia="Arial" w:hAnsi="Garamond" w:cs="Arial"/>
              </w:rPr>
              <w:t xml:space="preserve">Taneja Aerospace and </w:t>
            </w:r>
          </w:p>
          <w:p w:rsidR="00467311" w:rsidRPr="004B268C" w:rsidRDefault="00467311" w:rsidP="004B268C">
            <w:pPr>
              <w:spacing w:after="120"/>
              <w:rPr>
                <w:rFonts w:ascii="Garamond" w:hAnsi="Garamond"/>
              </w:rPr>
            </w:pPr>
            <w:r w:rsidRPr="004B268C">
              <w:rPr>
                <w:rFonts w:ascii="Garamond" w:eastAsia="Arial" w:hAnsi="Garamond" w:cs="Arial"/>
              </w:rPr>
              <w:t xml:space="preserve">Aviation Ltd. </w:t>
            </w:r>
          </w:p>
        </w:tc>
        <w:tc>
          <w:tcPr>
            <w:tcW w:w="4158" w:type="dxa"/>
            <w:tcBorders>
              <w:top w:val="single" w:sz="4" w:space="0" w:color="000000"/>
              <w:left w:val="single" w:sz="4" w:space="0" w:color="000000"/>
              <w:bottom w:val="single" w:sz="4" w:space="0" w:color="000000"/>
              <w:right w:val="single" w:sz="4" w:space="0" w:color="000000"/>
            </w:tcBorders>
            <w:vAlign w:val="center"/>
          </w:tcPr>
          <w:p w:rsidR="00467311" w:rsidRPr="004B268C" w:rsidRDefault="00467311" w:rsidP="004B268C">
            <w:pPr>
              <w:spacing w:after="120"/>
              <w:ind w:left="2"/>
              <w:rPr>
                <w:rFonts w:ascii="Garamond" w:hAnsi="Garamond"/>
              </w:rPr>
            </w:pPr>
            <w:r w:rsidRPr="004B268C">
              <w:rPr>
                <w:rFonts w:ascii="Garamond" w:eastAsia="Arial" w:hAnsi="Garamond" w:cs="Arial"/>
              </w:rPr>
              <w:t xml:space="preserve">Rs. 5,00,000 (Rupees </w:t>
            </w:r>
          </w:p>
          <w:p w:rsidR="00467311" w:rsidRPr="004B268C" w:rsidRDefault="00467311" w:rsidP="004B268C">
            <w:pPr>
              <w:spacing w:after="120"/>
              <w:ind w:left="2"/>
              <w:rPr>
                <w:rFonts w:ascii="Garamond" w:hAnsi="Garamond"/>
              </w:rPr>
            </w:pPr>
            <w:r w:rsidRPr="004B268C">
              <w:rPr>
                <w:rFonts w:ascii="Garamond" w:eastAsia="Arial" w:hAnsi="Garamond" w:cs="Arial"/>
              </w:rPr>
              <w:t xml:space="preserve">Five Lakh only) </w:t>
            </w:r>
          </w:p>
        </w:tc>
      </w:tr>
      <w:tr w:rsidR="00467311" w:rsidRPr="004B268C" w:rsidTr="00BD62BA">
        <w:trPr>
          <w:trHeight w:val="649"/>
        </w:trPr>
        <w:tc>
          <w:tcPr>
            <w:tcW w:w="4085"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rPr>
                <w:rFonts w:ascii="Garamond" w:hAnsi="Garamond"/>
              </w:rPr>
            </w:pPr>
            <w:r w:rsidRPr="004B268C">
              <w:rPr>
                <w:rFonts w:ascii="Garamond" w:eastAsia="Arial" w:hAnsi="Garamond" w:cs="Arial"/>
              </w:rPr>
              <w:t xml:space="preserve">Shri Salil Taneja  </w:t>
            </w:r>
          </w:p>
          <w:p w:rsidR="00467311" w:rsidRPr="004B268C" w:rsidRDefault="00467311" w:rsidP="004B268C">
            <w:pPr>
              <w:spacing w:after="120"/>
              <w:rPr>
                <w:rFonts w:ascii="Garamond" w:hAnsi="Garamond"/>
              </w:rPr>
            </w:pPr>
            <w:r w:rsidRPr="004B268C">
              <w:rPr>
                <w:rFonts w:ascii="Garamond" w:eastAsia="Arial" w:hAnsi="Garamond" w:cs="Arial"/>
              </w:rPr>
              <w:t xml:space="preserve">Shri B R Taneja  </w:t>
            </w:r>
          </w:p>
        </w:tc>
        <w:tc>
          <w:tcPr>
            <w:tcW w:w="4158" w:type="dxa"/>
            <w:tcBorders>
              <w:top w:val="single" w:sz="4" w:space="0" w:color="000000"/>
              <w:left w:val="single" w:sz="4" w:space="0" w:color="000000"/>
              <w:bottom w:val="single" w:sz="4" w:space="0" w:color="000000"/>
              <w:right w:val="single" w:sz="4" w:space="0" w:color="000000"/>
            </w:tcBorders>
            <w:vAlign w:val="center"/>
          </w:tcPr>
          <w:p w:rsidR="00467311" w:rsidRPr="004B268C" w:rsidRDefault="00467311" w:rsidP="004B268C">
            <w:pPr>
              <w:spacing w:after="120"/>
              <w:ind w:left="2"/>
              <w:rPr>
                <w:rFonts w:ascii="Garamond" w:hAnsi="Garamond"/>
              </w:rPr>
            </w:pPr>
            <w:r w:rsidRPr="004B268C">
              <w:rPr>
                <w:rFonts w:ascii="Garamond" w:eastAsia="Arial" w:hAnsi="Garamond" w:cs="Arial"/>
              </w:rPr>
              <w:t xml:space="preserve">Rs. 1,00,000 (Rupees One Lakh only) </w:t>
            </w:r>
          </w:p>
          <w:p w:rsidR="00467311" w:rsidRPr="004B268C" w:rsidRDefault="00467311" w:rsidP="004B268C">
            <w:pPr>
              <w:spacing w:after="120"/>
              <w:ind w:left="2"/>
              <w:rPr>
                <w:rFonts w:ascii="Garamond" w:hAnsi="Garamond"/>
              </w:rPr>
            </w:pPr>
            <w:r w:rsidRPr="004B268C">
              <w:rPr>
                <w:rFonts w:ascii="Garamond" w:hAnsi="Garamond"/>
              </w:rPr>
              <w:t xml:space="preserve">Payable </w:t>
            </w:r>
            <w:r w:rsidRPr="004B268C">
              <w:rPr>
                <w:rFonts w:ascii="Garamond" w:hAnsi="Garamond"/>
              </w:rPr>
              <w:tab/>
              <w:t xml:space="preserve">jointly </w:t>
            </w:r>
            <w:r w:rsidRPr="004B268C">
              <w:rPr>
                <w:rFonts w:ascii="Garamond" w:hAnsi="Garamond"/>
              </w:rPr>
              <w:tab/>
              <w:t xml:space="preserve">and </w:t>
            </w:r>
          </w:p>
          <w:p w:rsidR="00467311" w:rsidRPr="004B268C" w:rsidRDefault="00467311" w:rsidP="004B268C">
            <w:pPr>
              <w:spacing w:after="120"/>
              <w:ind w:left="2"/>
              <w:rPr>
                <w:rFonts w:ascii="Garamond" w:hAnsi="Garamond"/>
              </w:rPr>
            </w:pPr>
            <w:r w:rsidRPr="004B268C">
              <w:rPr>
                <w:rFonts w:ascii="Garamond" w:hAnsi="Garamond"/>
              </w:rPr>
              <w:t xml:space="preserve">severally </w:t>
            </w:r>
          </w:p>
        </w:tc>
      </w:tr>
    </w:tbl>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bCs/>
          <w:color w:val="auto"/>
        </w:rPr>
        <w:t>SEBI passed an order, dated 21 February 2019, in the matter of dealing in illiquid Stock Options at BSE imposing a total penalty of Rs 8,00,000 (Rupees Eight Lakh Only) on Blue Bird Mercantiles Pvt Ltd. for the violation of regulations 3(a), (b), (c) and (d), 4(1), 4(2)(a) of PFUTP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bCs/>
          <w:color w:val="auto"/>
        </w:rPr>
        <w:t xml:space="preserve">SEBI passed an order, dated </w:t>
      </w:r>
      <w:r w:rsidRPr="004B268C">
        <w:rPr>
          <w:rFonts w:ascii="Garamond" w:hAnsi="Garamond"/>
        </w:rPr>
        <w:t>21</w:t>
      </w:r>
      <w:r w:rsidRPr="004B268C">
        <w:rPr>
          <w:rFonts w:ascii="Garamond" w:hAnsi="Garamond"/>
          <w:bCs/>
          <w:color w:val="auto"/>
        </w:rPr>
        <w:t xml:space="preserve"> February 2019, in the matter of dealing in illiquid Stock Options at BSE imposing a total penalty of Rs 5,00,000 (Rupees Five Lakh Only) on Bhiragacha Finance Company Private Limited for the violation of regulations 3(a), (b), (c) and (d), 4(1), 4(2)(a) of PFUTP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22 February 2019, in respect of Linkhouse Industries Ltd. imposing a total penalty of Rs 10,00,000 (Rupees Ten Lakh Only) on Linkhouse Industries Ltd. for the violation of certain provisions of Section 11C (2) and 11C (3) of SEBI Act.</w:t>
      </w:r>
    </w:p>
    <w:p w:rsidR="00467311" w:rsidRPr="004B268C" w:rsidRDefault="00467311" w:rsidP="004B268C">
      <w:pPr>
        <w:pStyle w:val="Default"/>
        <w:numPr>
          <w:ilvl w:val="0"/>
          <w:numId w:val="7"/>
        </w:numPr>
        <w:spacing w:after="120"/>
        <w:ind w:right="283"/>
        <w:jc w:val="both"/>
        <w:rPr>
          <w:rFonts w:ascii="Garamond" w:hAnsi="Garamond"/>
          <w:bCs/>
          <w:color w:val="auto"/>
        </w:rPr>
      </w:pPr>
      <w:r w:rsidRPr="004B268C">
        <w:rPr>
          <w:rFonts w:ascii="Garamond" w:hAnsi="Garamond"/>
          <w:bCs/>
          <w:color w:val="auto"/>
        </w:rPr>
        <w:t>SEBI passed an order, dated 25 February 2019, in the matter of dealings in illiquid stocks options at BSE imposing a total penalty of Rs 5,00,000 (Rupees Five Lakh Only) on Vijeta Broking India Private Limited for the violation of regulations 3(a), (b), (c) and (d), 4(1), 4(2)(a) of PFUTP Regulations.</w:t>
      </w:r>
    </w:p>
    <w:p w:rsidR="00467311" w:rsidRPr="004B268C" w:rsidRDefault="00467311" w:rsidP="004B268C">
      <w:pPr>
        <w:pStyle w:val="Default"/>
        <w:numPr>
          <w:ilvl w:val="0"/>
          <w:numId w:val="7"/>
        </w:numPr>
        <w:spacing w:after="120"/>
        <w:ind w:right="283"/>
        <w:jc w:val="both"/>
        <w:rPr>
          <w:rFonts w:ascii="Garamond" w:hAnsi="Garamond"/>
          <w:bCs/>
          <w:color w:val="auto"/>
        </w:rPr>
      </w:pPr>
      <w:r w:rsidRPr="004B268C">
        <w:rPr>
          <w:rFonts w:ascii="Garamond" w:hAnsi="Garamond"/>
          <w:bCs/>
          <w:color w:val="auto"/>
        </w:rPr>
        <w:t>SEBI passed an order, dated 25 February 2019, in the matter of dealings in illiquid stocks options at BSE imposing a total penalty of Rs 7,20,000 (Rupees Seven Lakh Twenty Thousand Only) on Wonderland Paper Suppliers Private Limited for the violation of regulations 3(a), (b), (c) and (d), 4(1), 4(2)(a) of PFUTP Regulations.</w:t>
      </w:r>
    </w:p>
    <w:p w:rsidR="00467311" w:rsidRPr="004B268C" w:rsidRDefault="00467311" w:rsidP="004B268C">
      <w:pPr>
        <w:pStyle w:val="Default"/>
        <w:numPr>
          <w:ilvl w:val="0"/>
          <w:numId w:val="7"/>
        </w:numPr>
        <w:spacing w:after="120"/>
        <w:ind w:right="283"/>
        <w:jc w:val="both"/>
        <w:rPr>
          <w:rFonts w:ascii="Garamond" w:hAnsi="Garamond"/>
          <w:bCs/>
          <w:color w:val="auto"/>
        </w:rPr>
      </w:pPr>
      <w:r w:rsidRPr="004B268C">
        <w:rPr>
          <w:rFonts w:ascii="Garamond" w:hAnsi="Garamond"/>
          <w:bCs/>
          <w:color w:val="auto"/>
        </w:rPr>
        <w:t>SEBI passed an order, dated 25 February 2019, in the matter of dealings in illiquid stocks options at BSE imposing a total penalty of Rs 5,00,000 (Rupees Five Lakh Only) on Rajesh Rao for indulging in execution of reversal trades in Stock Options with same entities on the same day, thereby creating artificial volume, leading to false and misleading appearance of trading in the illiquid stock options at BSE.</w:t>
      </w:r>
    </w:p>
    <w:p w:rsidR="00467311" w:rsidRPr="004B268C" w:rsidRDefault="00467311" w:rsidP="004B268C">
      <w:pPr>
        <w:pStyle w:val="Default"/>
        <w:numPr>
          <w:ilvl w:val="0"/>
          <w:numId w:val="7"/>
        </w:numPr>
        <w:spacing w:after="120"/>
        <w:ind w:right="283"/>
        <w:jc w:val="both"/>
        <w:rPr>
          <w:rFonts w:ascii="Garamond" w:hAnsi="Garamond"/>
          <w:bCs/>
          <w:color w:val="auto"/>
        </w:rPr>
      </w:pPr>
      <w:r w:rsidRPr="004B268C">
        <w:rPr>
          <w:rFonts w:ascii="Garamond" w:hAnsi="Garamond"/>
          <w:bCs/>
          <w:color w:val="auto"/>
        </w:rPr>
        <w:t>SEBI passed an order, dated 25 February 2019, in the matter of Illiquid Stock Options at BSE imposing a total penalty of Rs 5,00,000 (Rupees Five Lakh Only) on Rajlaxmi Plaza Pvt Ltd for indulging in execution of reversal trades in Stock Options with same entities on the same day, thereby creating artificial volume, leading to false and misleading appearance of trading in the illiquid stock options at BSE.</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25 February 2019, in the matter of dealings in illiquid stocks options at BSE imposing a total penalty of Rs 5,00,000 (Rupees Five Lakh Only) on Julie Agrawal for the violation of regulations 3(a), 4(1), 4(2)(a) of the PFUTP Regulations, 2003.</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 xml:space="preserve">SEBI passed an order, dated 25 February 2019, in the matter of dealings in illiquid stocks options at BSE imposing a total penalty of Rs 5,00,000 (Rupees Five Lakh Only) on IM+ </w:t>
      </w:r>
      <w:r w:rsidRPr="004B268C">
        <w:rPr>
          <w:rFonts w:ascii="Garamond" w:hAnsi="Garamond"/>
        </w:rPr>
        <w:lastRenderedPageBreak/>
        <w:t>Investments &amp; Capital Private Limited for the violation of regulations 3(a), 4(1), 4(2)(a) of the PFUTP Regulations, 2003.</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25 February 2019, in the matter of Sure Analysis Gain Services imposing a total penalty of Rs 5,00,000 (Rupees Five Lakh Only) on Prachi Gupta and Nalin Gupta for non-compliance with the provisions of Section 12 (1) of the SEBI Act read with Regulation 3 (1) of the IA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25 February 2019, in the matter of dealings in illiquid stocks options at BSE imposing a total penalty of Rs 8,00,000 (Rupees Eight Lakh Only) on Admire Vinimay Pvt Ltd. for the violation of  Regulations 3(a), 4(1) and 4(2) (a) of the PFUTP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25 February 2019, in the matter of dealings in illiquid stocks options at BSE imposing a total penalty of Rs 8,00,000 (Rupees Eight Lakh Only) on Altiria Tradelinks for the violation of  Regulations 3(a), 4(1) and 4(2) (a) of the PFUTP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26 February 2019, n the matter of Radford Global Limited imposing a total penalty of Rs 30,00,000 (Rupees Thirty Lakh Only) on Radford Global Limited for the violation of Sections 11(2)(i) and 11C(3) of the SEBI Act, and Section 21 of the SCRA read with Clause 43 of the Listing Agreement.</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26 February 2019, in the matter of Moschip Semiconductors Ltd. imposing a total penalty of Rs 2,00,000 (Rupees Two Lakh Only) on Vijay Growth Financial Services Ltd. for violation of the provision of regulation 4(e) of PFUTP Regulations and clause A of the code of conduct for stock brokers specified in Schedule II of Stock Brokers and Sub-brokers Regulations, 1992 r/w regulation 7 of Stock Brokers and Sub-brokers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26 February 2019, in the matter of Finalysis Credit and Guarantee Company Limited imposing a total penalty of Rs 2,00,000 (Rupees Two Lakh Only) on Abdul Zameer Hakim Khan and others for the violation of regulations 29(1) and 29(2) read with (r/w) 29(3) of SAST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26 February 2019, in the matter of Dealing in Illiquid options on the BSE imposing a total penalty of Rs 5,00,000 (Rupees Five Lakh Only) on K B Sponge Iron Limited for the violation of regulations 3(a), 4(1), 4(2)(a) of the PFUTP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26 February 2019, in the matter of Dealing in Illiquid options on the BSE imposing a total penalty of Rs 8,00,000 (Rupees Eight Lakh Only) on Annex Tradelinks Private Ltd for the violation of regulations 3(a), 4(1), 4(2)(a) of the PFUTP Regulations.</w:t>
      </w:r>
    </w:p>
    <w:p w:rsidR="006D7221"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27 February 2019, in the matter of Mindvision Capital Limited imposing following penalties, for the violation of Regulation 7(1A) r/w Regulation 7(2) of SAST Regulations:</w:t>
      </w:r>
    </w:p>
    <w:p w:rsidR="006D7221" w:rsidRDefault="006D7221">
      <w:pPr>
        <w:rPr>
          <w:rFonts w:ascii="Garamond" w:eastAsia="Calibri" w:hAnsi="Garamond" w:cs="Arial"/>
          <w:color w:val="000000"/>
          <w:lang w:val="en-US"/>
        </w:rPr>
      </w:pPr>
      <w:r>
        <w:rPr>
          <w:rFonts w:ascii="Garamond" w:hAnsi="Garamond"/>
        </w:rPr>
        <w:br w:type="page"/>
      </w:r>
    </w:p>
    <w:p w:rsidR="00467311" w:rsidRPr="004B268C" w:rsidRDefault="00467311" w:rsidP="006D7221">
      <w:pPr>
        <w:pStyle w:val="Default"/>
        <w:spacing w:after="120"/>
        <w:ind w:left="720" w:right="283"/>
        <w:jc w:val="both"/>
        <w:rPr>
          <w:rFonts w:ascii="Garamond" w:hAnsi="Garamond"/>
        </w:rPr>
      </w:pPr>
    </w:p>
    <w:tbl>
      <w:tblPr>
        <w:tblW w:w="8935" w:type="dxa"/>
        <w:tblInd w:w="643" w:type="dxa"/>
        <w:tblCellMar>
          <w:left w:w="106" w:type="dxa"/>
          <w:right w:w="115" w:type="dxa"/>
        </w:tblCellMar>
        <w:tblLook w:val="04A0" w:firstRow="1" w:lastRow="0" w:firstColumn="1" w:lastColumn="0" w:noHBand="0" w:noVBand="1"/>
      </w:tblPr>
      <w:tblGrid>
        <w:gridCol w:w="852"/>
        <w:gridCol w:w="5815"/>
        <w:gridCol w:w="2268"/>
      </w:tblGrid>
      <w:tr w:rsidR="00467311" w:rsidRPr="004B268C" w:rsidTr="00BD62BA">
        <w:trPr>
          <w:trHeight w:val="252"/>
        </w:trPr>
        <w:tc>
          <w:tcPr>
            <w:tcW w:w="852"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22"/>
              <w:rPr>
                <w:rFonts w:ascii="Garamond" w:hAnsi="Garamond"/>
              </w:rPr>
            </w:pPr>
            <w:r w:rsidRPr="004B268C">
              <w:rPr>
                <w:rFonts w:ascii="Garamond" w:eastAsia="Garamond" w:hAnsi="Garamond" w:cs="Garamond"/>
                <w:b/>
              </w:rPr>
              <w:t xml:space="preserve">Sr. No. </w:t>
            </w:r>
          </w:p>
        </w:tc>
        <w:tc>
          <w:tcPr>
            <w:tcW w:w="5815"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jc w:val="center"/>
              <w:rPr>
                <w:rFonts w:ascii="Garamond" w:hAnsi="Garamond"/>
              </w:rPr>
            </w:pPr>
            <w:r w:rsidRPr="004B268C">
              <w:rPr>
                <w:rFonts w:ascii="Garamond" w:eastAsia="Garamond" w:hAnsi="Garamond" w:cs="Garamond"/>
                <w:b/>
              </w:rPr>
              <w:t xml:space="preserve">Name of Entity </w:t>
            </w:r>
          </w:p>
        </w:tc>
        <w:tc>
          <w:tcPr>
            <w:tcW w:w="2268"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jc w:val="center"/>
              <w:rPr>
                <w:rFonts w:ascii="Garamond" w:hAnsi="Garamond"/>
              </w:rPr>
            </w:pPr>
            <w:r w:rsidRPr="004B268C">
              <w:rPr>
                <w:rFonts w:ascii="Garamond" w:eastAsia="Garamond" w:hAnsi="Garamond" w:cs="Garamond"/>
                <w:b/>
              </w:rPr>
              <w:t>Amount of Penalty (</w:t>
            </w:r>
            <w:r w:rsidRPr="004B268C">
              <w:rPr>
                <w:rFonts w:ascii="Garamond" w:eastAsia="Calibri" w:hAnsi="Garamond" w:cs="Calibri"/>
                <w:noProof/>
                <w:position w:val="-1"/>
                <w:lang w:val="en-IN" w:eastAsia="en-IN"/>
              </w:rPr>
              <w:drawing>
                <wp:inline distT="0" distB="0" distL="0" distR="0" wp14:anchorId="637E823D" wp14:editId="07574D95">
                  <wp:extent cx="63500" cy="95250"/>
                  <wp:effectExtent l="0" t="0" r="0" b="0"/>
                  <wp:docPr id="132548" name="Picture 132548"/>
                  <wp:cNvGraphicFramePr/>
                  <a:graphic xmlns:a="http://schemas.openxmlformats.org/drawingml/2006/main">
                    <a:graphicData uri="http://schemas.openxmlformats.org/drawingml/2006/picture">
                      <pic:pic xmlns:pic="http://schemas.openxmlformats.org/drawingml/2006/picture">
                        <pic:nvPicPr>
                          <pic:cNvPr id="132548" name="Picture 132548"/>
                          <pic:cNvPicPr/>
                        </pic:nvPicPr>
                        <pic:blipFill>
                          <a:blip r:embed="rId46"/>
                          <a:stretch>
                            <a:fillRect/>
                          </a:stretch>
                        </pic:blipFill>
                        <pic:spPr>
                          <a:xfrm>
                            <a:off x="0" y="0"/>
                            <a:ext cx="63500" cy="95250"/>
                          </a:xfrm>
                          <a:prstGeom prst="rect">
                            <a:avLst/>
                          </a:prstGeom>
                        </pic:spPr>
                      </pic:pic>
                    </a:graphicData>
                  </a:graphic>
                </wp:inline>
              </w:drawing>
            </w:r>
            <w:r w:rsidRPr="004B268C">
              <w:rPr>
                <w:rFonts w:ascii="Garamond" w:eastAsia="Garamond" w:hAnsi="Garamond" w:cs="Garamond"/>
                <w:b/>
              </w:rPr>
              <w:t xml:space="preserve">) </w:t>
            </w:r>
          </w:p>
        </w:tc>
      </w:tr>
      <w:tr w:rsidR="00467311" w:rsidRPr="004B268C" w:rsidTr="00BD62BA">
        <w:trPr>
          <w:trHeight w:val="348"/>
        </w:trPr>
        <w:tc>
          <w:tcPr>
            <w:tcW w:w="852"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478"/>
              <w:rPr>
                <w:rFonts w:ascii="Garamond" w:hAnsi="Garamond"/>
              </w:rPr>
            </w:pPr>
            <w:r w:rsidRPr="004B268C">
              <w:rPr>
                <w:rFonts w:ascii="Garamond" w:hAnsi="Garamond"/>
              </w:rPr>
              <w:t xml:space="preserve">1 </w:t>
            </w:r>
          </w:p>
        </w:tc>
        <w:tc>
          <w:tcPr>
            <w:tcW w:w="5815"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rPr>
                <w:rFonts w:ascii="Garamond" w:hAnsi="Garamond"/>
              </w:rPr>
            </w:pPr>
            <w:r w:rsidRPr="004B268C">
              <w:rPr>
                <w:rFonts w:ascii="Garamond" w:hAnsi="Garamond"/>
              </w:rPr>
              <w:t>Dash Pharmaceuticals Pvt Ltd.</w:t>
            </w:r>
          </w:p>
        </w:tc>
        <w:tc>
          <w:tcPr>
            <w:tcW w:w="2268"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1063"/>
              <w:rPr>
                <w:rFonts w:ascii="Garamond" w:hAnsi="Garamond"/>
              </w:rPr>
            </w:pPr>
            <w:r w:rsidRPr="004B268C">
              <w:rPr>
                <w:rFonts w:ascii="Garamond" w:hAnsi="Garamond"/>
              </w:rPr>
              <w:t xml:space="preserve">2,00,000/- </w:t>
            </w:r>
          </w:p>
        </w:tc>
      </w:tr>
      <w:tr w:rsidR="00467311" w:rsidRPr="004B268C" w:rsidTr="00BD62BA">
        <w:trPr>
          <w:trHeight w:val="348"/>
        </w:trPr>
        <w:tc>
          <w:tcPr>
            <w:tcW w:w="852"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478"/>
              <w:rPr>
                <w:rFonts w:ascii="Garamond" w:hAnsi="Garamond"/>
              </w:rPr>
            </w:pPr>
            <w:r w:rsidRPr="004B268C">
              <w:rPr>
                <w:rFonts w:ascii="Garamond" w:hAnsi="Garamond"/>
              </w:rPr>
              <w:t xml:space="preserve">2 </w:t>
            </w:r>
          </w:p>
        </w:tc>
        <w:tc>
          <w:tcPr>
            <w:tcW w:w="5815"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rPr>
                <w:rFonts w:ascii="Garamond" w:hAnsi="Garamond"/>
              </w:rPr>
            </w:pPr>
            <w:r w:rsidRPr="004B268C">
              <w:rPr>
                <w:rFonts w:ascii="Garamond" w:hAnsi="Garamond"/>
              </w:rPr>
              <w:t>Mandvi Dyes &amp; Chemicals Co. Pvt. Ltd.</w:t>
            </w:r>
          </w:p>
        </w:tc>
        <w:tc>
          <w:tcPr>
            <w:tcW w:w="2268"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1063"/>
              <w:rPr>
                <w:rFonts w:ascii="Garamond" w:hAnsi="Garamond"/>
              </w:rPr>
            </w:pPr>
            <w:r w:rsidRPr="004B268C">
              <w:rPr>
                <w:rFonts w:ascii="Garamond" w:hAnsi="Garamond"/>
              </w:rPr>
              <w:t xml:space="preserve">4,00,000/- </w:t>
            </w:r>
          </w:p>
        </w:tc>
      </w:tr>
      <w:tr w:rsidR="00467311" w:rsidRPr="004B268C" w:rsidTr="00BD62BA">
        <w:trPr>
          <w:trHeight w:val="348"/>
        </w:trPr>
        <w:tc>
          <w:tcPr>
            <w:tcW w:w="852"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478"/>
              <w:rPr>
                <w:rFonts w:ascii="Garamond" w:hAnsi="Garamond"/>
              </w:rPr>
            </w:pPr>
            <w:r w:rsidRPr="004B268C">
              <w:rPr>
                <w:rFonts w:ascii="Garamond" w:hAnsi="Garamond"/>
              </w:rPr>
              <w:t xml:space="preserve">3 </w:t>
            </w:r>
          </w:p>
        </w:tc>
        <w:tc>
          <w:tcPr>
            <w:tcW w:w="5815"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rPr>
                <w:rFonts w:ascii="Garamond" w:hAnsi="Garamond"/>
              </w:rPr>
            </w:pPr>
            <w:r w:rsidRPr="004B268C">
              <w:rPr>
                <w:rFonts w:ascii="Garamond" w:hAnsi="Garamond"/>
              </w:rPr>
              <w:t>Maxilla Financial Services Pvt. Ltd.</w:t>
            </w:r>
          </w:p>
        </w:tc>
        <w:tc>
          <w:tcPr>
            <w:tcW w:w="2268"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1063"/>
              <w:rPr>
                <w:rFonts w:ascii="Garamond" w:hAnsi="Garamond"/>
              </w:rPr>
            </w:pPr>
            <w:r w:rsidRPr="004B268C">
              <w:rPr>
                <w:rFonts w:ascii="Garamond" w:hAnsi="Garamond"/>
              </w:rPr>
              <w:t xml:space="preserve">5,00,000/- </w:t>
            </w:r>
          </w:p>
        </w:tc>
      </w:tr>
      <w:tr w:rsidR="00467311" w:rsidRPr="004B268C" w:rsidTr="00BD62BA">
        <w:trPr>
          <w:trHeight w:val="348"/>
        </w:trPr>
        <w:tc>
          <w:tcPr>
            <w:tcW w:w="852"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478"/>
              <w:rPr>
                <w:rFonts w:ascii="Garamond" w:hAnsi="Garamond"/>
              </w:rPr>
            </w:pPr>
            <w:r w:rsidRPr="004B268C">
              <w:rPr>
                <w:rFonts w:ascii="Garamond" w:hAnsi="Garamond"/>
              </w:rPr>
              <w:t xml:space="preserve">4 </w:t>
            </w:r>
          </w:p>
        </w:tc>
        <w:tc>
          <w:tcPr>
            <w:tcW w:w="5815"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rPr>
                <w:rFonts w:ascii="Garamond" w:hAnsi="Garamond"/>
              </w:rPr>
            </w:pPr>
            <w:r w:rsidRPr="004B268C">
              <w:rPr>
                <w:rFonts w:ascii="Garamond" w:hAnsi="Garamond"/>
              </w:rPr>
              <w:t>Parachit Sales &amp; Marketing (I) Pvt. Ltd.</w:t>
            </w:r>
          </w:p>
        </w:tc>
        <w:tc>
          <w:tcPr>
            <w:tcW w:w="2268"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1063"/>
              <w:rPr>
                <w:rFonts w:ascii="Garamond" w:hAnsi="Garamond"/>
              </w:rPr>
            </w:pPr>
            <w:r w:rsidRPr="004B268C">
              <w:rPr>
                <w:rFonts w:ascii="Garamond" w:hAnsi="Garamond"/>
              </w:rPr>
              <w:t xml:space="preserve">4,00,000/- </w:t>
            </w:r>
          </w:p>
        </w:tc>
      </w:tr>
      <w:tr w:rsidR="00467311" w:rsidRPr="004B268C" w:rsidTr="00BD62BA">
        <w:trPr>
          <w:trHeight w:val="346"/>
        </w:trPr>
        <w:tc>
          <w:tcPr>
            <w:tcW w:w="852"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478"/>
              <w:rPr>
                <w:rFonts w:ascii="Garamond" w:hAnsi="Garamond"/>
              </w:rPr>
            </w:pPr>
            <w:r w:rsidRPr="004B268C">
              <w:rPr>
                <w:rFonts w:ascii="Garamond" w:hAnsi="Garamond"/>
              </w:rPr>
              <w:t xml:space="preserve">5 </w:t>
            </w:r>
          </w:p>
        </w:tc>
        <w:tc>
          <w:tcPr>
            <w:tcW w:w="5815"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rPr>
                <w:rFonts w:ascii="Garamond" w:hAnsi="Garamond"/>
              </w:rPr>
            </w:pPr>
            <w:r w:rsidRPr="004B268C">
              <w:rPr>
                <w:rFonts w:ascii="Garamond" w:hAnsi="Garamond"/>
              </w:rPr>
              <w:t>Prime Dyes &amp; Chemicals Co. Pvt. Ltd</w:t>
            </w:r>
          </w:p>
        </w:tc>
        <w:tc>
          <w:tcPr>
            <w:tcW w:w="2268"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1063"/>
              <w:rPr>
                <w:rFonts w:ascii="Garamond" w:hAnsi="Garamond"/>
              </w:rPr>
            </w:pPr>
            <w:r w:rsidRPr="004B268C">
              <w:rPr>
                <w:rFonts w:ascii="Garamond" w:hAnsi="Garamond"/>
              </w:rPr>
              <w:t xml:space="preserve">5,00,000/- </w:t>
            </w:r>
          </w:p>
        </w:tc>
      </w:tr>
      <w:tr w:rsidR="00467311" w:rsidRPr="004B268C" w:rsidTr="00BD62BA">
        <w:trPr>
          <w:trHeight w:val="348"/>
        </w:trPr>
        <w:tc>
          <w:tcPr>
            <w:tcW w:w="852"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478"/>
              <w:rPr>
                <w:rFonts w:ascii="Garamond" w:hAnsi="Garamond"/>
              </w:rPr>
            </w:pPr>
            <w:r w:rsidRPr="004B268C">
              <w:rPr>
                <w:rFonts w:ascii="Garamond" w:hAnsi="Garamond"/>
              </w:rPr>
              <w:t xml:space="preserve">6 </w:t>
            </w:r>
          </w:p>
        </w:tc>
        <w:tc>
          <w:tcPr>
            <w:tcW w:w="5815"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rPr>
                <w:rFonts w:ascii="Garamond" w:hAnsi="Garamond"/>
              </w:rPr>
            </w:pPr>
            <w:r w:rsidRPr="004B268C">
              <w:rPr>
                <w:rFonts w:ascii="Garamond" w:hAnsi="Garamond"/>
              </w:rPr>
              <w:t>Rajratan Trading Pvt. Ltd</w:t>
            </w:r>
          </w:p>
        </w:tc>
        <w:tc>
          <w:tcPr>
            <w:tcW w:w="2268"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1063"/>
              <w:rPr>
                <w:rFonts w:ascii="Garamond" w:hAnsi="Garamond"/>
              </w:rPr>
            </w:pPr>
            <w:r w:rsidRPr="004B268C">
              <w:rPr>
                <w:rFonts w:ascii="Garamond" w:hAnsi="Garamond"/>
              </w:rPr>
              <w:t xml:space="preserve">4,00,000/- </w:t>
            </w:r>
          </w:p>
        </w:tc>
      </w:tr>
      <w:tr w:rsidR="00467311" w:rsidRPr="004B268C" w:rsidTr="00BD62BA">
        <w:trPr>
          <w:trHeight w:val="348"/>
        </w:trPr>
        <w:tc>
          <w:tcPr>
            <w:tcW w:w="852"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478"/>
              <w:rPr>
                <w:rFonts w:ascii="Garamond" w:hAnsi="Garamond"/>
              </w:rPr>
            </w:pPr>
            <w:r w:rsidRPr="004B268C">
              <w:rPr>
                <w:rFonts w:ascii="Garamond" w:hAnsi="Garamond"/>
              </w:rPr>
              <w:t xml:space="preserve">7 </w:t>
            </w:r>
          </w:p>
        </w:tc>
        <w:tc>
          <w:tcPr>
            <w:tcW w:w="5815"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rPr>
                <w:rFonts w:ascii="Garamond" w:hAnsi="Garamond"/>
              </w:rPr>
            </w:pPr>
            <w:r w:rsidRPr="004B268C">
              <w:rPr>
                <w:rFonts w:ascii="Garamond" w:hAnsi="Garamond"/>
              </w:rPr>
              <w:t>Sparkle Tooth Brush Mfg Co. Pvt. Ltd.</w:t>
            </w:r>
          </w:p>
        </w:tc>
        <w:tc>
          <w:tcPr>
            <w:tcW w:w="2268"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1063"/>
              <w:rPr>
                <w:rFonts w:ascii="Garamond" w:hAnsi="Garamond"/>
              </w:rPr>
            </w:pPr>
            <w:r w:rsidRPr="004B268C">
              <w:rPr>
                <w:rFonts w:ascii="Garamond" w:hAnsi="Garamond"/>
              </w:rPr>
              <w:t xml:space="preserve">2,00,000/- </w:t>
            </w:r>
          </w:p>
        </w:tc>
      </w:tr>
      <w:tr w:rsidR="00467311" w:rsidRPr="004B268C" w:rsidTr="00BD62BA">
        <w:trPr>
          <w:trHeight w:val="348"/>
        </w:trPr>
        <w:tc>
          <w:tcPr>
            <w:tcW w:w="852"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478"/>
              <w:rPr>
                <w:rFonts w:ascii="Garamond" w:hAnsi="Garamond"/>
              </w:rPr>
            </w:pPr>
            <w:r w:rsidRPr="004B268C">
              <w:rPr>
                <w:rFonts w:ascii="Garamond" w:hAnsi="Garamond"/>
              </w:rPr>
              <w:t xml:space="preserve">8 </w:t>
            </w:r>
          </w:p>
        </w:tc>
        <w:tc>
          <w:tcPr>
            <w:tcW w:w="5815"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rPr>
                <w:rFonts w:ascii="Garamond" w:hAnsi="Garamond"/>
              </w:rPr>
            </w:pPr>
            <w:r w:rsidRPr="004B268C">
              <w:rPr>
                <w:rFonts w:ascii="Garamond" w:hAnsi="Garamond"/>
              </w:rPr>
              <w:t>Tutis Technologies Ltd.</w:t>
            </w:r>
          </w:p>
        </w:tc>
        <w:tc>
          <w:tcPr>
            <w:tcW w:w="2268"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1063"/>
              <w:rPr>
                <w:rFonts w:ascii="Garamond" w:hAnsi="Garamond"/>
              </w:rPr>
            </w:pPr>
            <w:r w:rsidRPr="004B268C">
              <w:rPr>
                <w:rFonts w:ascii="Garamond" w:hAnsi="Garamond"/>
              </w:rPr>
              <w:t xml:space="preserve">2,00,000/- </w:t>
            </w:r>
          </w:p>
        </w:tc>
      </w:tr>
      <w:tr w:rsidR="00467311" w:rsidRPr="004B268C" w:rsidTr="00BD62BA">
        <w:trPr>
          <w:trHeight w:val="348"/>
        </w:trPr>
        <w:tc>
          <w:tcPr>
            <w:tcW w:w="852"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478"/>
              <w:rPr>
                <w:rFonts w:ascii="Garamond" w:hAnsi="Garamond"/>
              </w:rPr>
            </w:pPr>
            <w:r w:rsidRPr="004B268C">
              <w:rPr>
                <w:rFonts w:ascii="Garamond" w:hAnsi="Garamond"/>
              </w:rPr>
              <w:t xml:space="preserve">9 </w:t>
            </w:r>
          </w:p>
        </w:tc>
        <w:tc>
          <w:tcPr>
            <w:tcW w:w="5815"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rPr>
                <w:rFonts w:ascii="Garamond" w:hAnsi="Garamond"/>
              </w:rPr>
            </w:pPr>
            <w:r w:rsidRPr="004B268C">
              <w:rPr>
                <w:rFonts w:ascii="Garamond" w:hAnsi="Garamond"/>
              </w:rPr>
              <w:t>Vishal Information Technologies Ltd.</w:t>
            </w:r>
          </w:p>
        </w:tc>
        <w:tc>
          <w:tcPr>
            <w:tcW w:w="2268"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1063"/>
              <w:rPr>
                <w:rFonts w:ascii="Garamond" w:hAnsi="Garamond"/>
              </w:rPr>
            </w:pPr>
            <w:r w:rsidRPr="004B268C">
              <w:rPr>
                <w:rFonts w:ascii="Garamond" w:hAnsi="Garamond"/>
              </w:rPr>
              <w:t xml:space="preserve">3,00,000/- </w:t>
            </w:r>
          </w:p>
        </w:tc>
      </w:tr>
    </w:tbl>
    <w:p w:rsidR="00467311" w:rsidRPr="004B268C" w:rsidRDefault="00467311" w:rsidP="004B268C">
      <w:pPr>
        <w:pStyle w:val="Default"/>
        <w:numPr>
          <w:ilvl w:val="0"/>
          <w:numId w:val="7"/>
        </w:numPr>
        <w:spacing w:after="120"/>
        <w:ind w:right="284"/>
        <w:jc w:val="both"/>
        <w:rPr>
          <w:rFonts w:ascii="Garamond" w:hAnsi="Garamond"/>
        </w:rPr>
      </w:pPr>
      <w:r w:rsidRPr="004B268C">
        <w:rPr>
          <w:rFonts w:ascii="Garamond" w:hAnsi="Garamond"/>
          <w:bCs/>
          <w:color w:val="auto"/>
        </w:rPr>
        <w:t>SEBI passed an order, dated 27 February 2019, in the matter of dealings in illiquid stocks options at BSE imposing a total penalty of Rs 5,00,000 (Rupees Five Lakh Only) on Vora Financial Services Private Limited for the violation of  regulations 3(a), (b), (c) and (d), 4(1), 4(2)(a) of PFUTP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bCs/>
          <w:color w:val="auto"/>
        </w:rPr>
        <w:t>SEBI passed an order, dated 27 February 2019, in the matter of dealings in illiquid stocks options at BSE imposing a total penalty of Rs 5,00,000 (Rupees Five Lakh Only) on Ram Avtar Mahipal for the violation of  regulations 3(a), (b), (c) and (d), 4(1), 4(2)(a) of PFUTP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bCs/>
          <w:color w:val="auto"/>
        </w:rPr>
        <w:t>SEBI passed an order, dated 27 February 2019, in the matter of dealings in illiquid stocks options at BSE imposing a total penalty of Rs 5,00,000 (Rupees Five Lakh Only) on Sanjay Kumar Mahipal for the violation of  regulations 3(a), (b), (c) and (d), 4(1), 4(2)(a) of PFUTP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bCs/>
          <w:color w:val="auto"/>
        </w:rPr>
        <w:t>SEBI passed an order, dated 27 February 2019, in the matter of dealings in illiquid stocks options at BSE imposing a total penalty of Rs 5,00,000 (Rupees Five Lakh Only) on Kishan Gopal Mohta for the violation of  regulations 3(a), (b), (c) and (d), 4(1), 4(2)(a) of PFUTP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27 February 2019, in the matter of Manubhai Mangaldas Securities Pvt. Ltd. imposing a total penalty of Rs 2,00,000 (Rupees Two Lakh Only) on Manubhai Mangaldas Securities Pvt. Ltd. for its failure to comply with the provision specified under the Clause 12(e) of the Annexure to the Circular dated 03 December 2009.</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27 February 2019, in the matter of dealing in Illiquid Stock Options at the BSE imposing a total penalty of Rs 5,00,000 (Rupees Five Lakh Only) on Lend Lease Company India Ltd. for the violation of Regulation 3(a), 4(1) and 4(2)(a) of the PFUTP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28 February 2019, in the matter of Confidence Finance and Trading Ltd (CFTL) imposing a total penalty of Rs 5,00,000 (Rupees Five Lakh Only) each on Ghanshyam Kamlesh Kacchawa and Daulat Laxmilal Chandraliya for the violation of  contributing to price rise fraudulently, in the scrip of CFTL.</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 xml:space="preserve">SEBI passed an order, dated 28 February 2019, against Pushkar Commercial Limited imposing a total penalty of Rs 10,00,000 (Rupees Ten Lakh Only) on Pushkar Commercial Limited for indulging in execution of reversal trades in Stock Options with same entities </w:t>
      </w:r>
      <w:r w:rsidRPr="004B268C">
        <w:rPr>
          <w:rFonts w:ascii="Garamond" w:hAnsi="Garamond"/>
        </w:rPr>
        <w:lastRenderedPageBreak/>
        <w:t>on the same day, thereby creating artificial volume, leading to false and misleading appearance of trading in the illiquid stock options at BSE.</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28 February 2019, against Purba Agro Food Limited imposing a total penalty of Rs 5,00,000 (Rupees Five Lakh Only) on Purba Agro Food Limited for indulging in execution of reversal trades in Stock Options with same entities on the same day, thereby creating artificial volume, leading to false and misleading appearance of trading in the illiquid stock options at BSE.</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28 February 2019, in the matter of Dealing in Illiquid options on the BSE imposing a total penalty of Rs 5,00,000 (Rupees Five Lakh Only) on Kamlesh Betala Trading Pvt. Ltd. for the violation of regulations 3(a), 4(1) and 4(2)(a) of the PFUTP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28 February 2019, in the matter of Illiquid Stock Options at BSE imposing a total penalty of Rs 15,00,000 (Rupees Fifteen Lakh Only) on Overactive Merchants Private Limited for indulging in execution of reversal trades in Stock Options with same entities on the same day, thereby creating artificial volume, leading to false and misleading appearance of trading in the illiquid stock options at BSE.</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28 February 2019, in the matter of Its dealings in Illiquid Stock Options at BSE imposing a total penalty of Rs 25,00,000 (Rupees Twenty Five Lakh Only) on M/s. Gajanan Enterprises for the violation of Regulations 3 (a), (b), (c), (d) and 4 (1), 4 (2) (a) of PFUTP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28 February 2019, in the matter of Illiquid Stock Options at BSE imposing a total penalty of Rs 5,00,000 (Rupees Five Lakh Only) on R P Computer Forms Private Limited for indulging in execution of reversal trades in Stock Options with same entities on the same day, thereby creating artificial volume, leading to false and misleading appearance of trading in the illiquid stock options at BSE.</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28 February 2019, in the matter of Inditrade Capital Ltd imposing a total penalty of Rs 50,000 (Rupees Fifty Thousand Only) on Aravindan Unnithan for the violation of Clause D(c) (iv) of Consolidated NSE Circular 001/2013 dated 13 February 2013 and Clauses A(1) and D(1) of the Code of Conduct for sub-brokers as stipulated in Schedule II read with Regulation 15 of the Stock Broker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28 February 2019, in the matter of Inditrade Capital Ltd imposing a total penalty of Rs 50,000 (Rupees Fifty Thousand Only) on Madhu M R for the violation of Clause D(c) (iv) of Consolidated NSE Circular 001/2013 dated 13 February 2013 and Clauses A(1) and D(1) of the Code of Conduct for sub-brokers as stipulated in Schedule II read with Regulation 15 of the Stock Broker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28 February 2019, in the matter of Inditrade Capital Ltd imposing a total penalty of Rs 50,000 (Rupees Fifty Thousand Only) on Benoi C George for the violation of Clause D(c) (iv) of Consolidated NSE Circular 001/2013 dated 13 February 2013 and Clauses A(1) and D(1) of the Code of Conduct for sub-brokers as stipulated in Schedule II read with Regulation 15 of the Stock Broker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28 February 2019, in the matter of dealing in Illiquid Stocks Options at BSE imposing a total penalty of Rs 13,50,000 (Rupees Thirteen Lakh Fifty Thousand Only) on Vishal Ferro Alloys Private Ltd for the violation of regulations 3(a), (b), (c) and (d), 4(1), 4(2)(a) of PFUTP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 xml:space="preserve">SEBI passed an order, dated 28 February 2019, in the matter of Mindvision Capital Ltd. imposing a total penalty of Rs 5,00,000 (Rupees Five Lakh Only) on Ramchand Tahikandas </w:t>
      </w:r>
      <w:r w:rsidRPr="004B268C">
        <w:rPr>
          <w:rFonts w:ascii="Garamond" w:hAnsi="Garamond"/>
        </w:rPr>
        <w:lastRenderedPageBreak/>
        <w:t>Chhetija HUF for the violation of Regulation 3 (a), (b), (c), (d), 4 (1), 4 (2) (a) and (g) of PFUTP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28 February 2019, in the matter of dealing in illiquid Stock Options at BSE imposing a total penalty of Rs 6,50,000 (Rupees Six Lakh Fifty Thousand Only) on Cellour Commercial Private Limited for the violation of Regulations 3(a), 4(1) and 4(2)(a) of PFUTP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28 February 2019, in the matter of dealing in illiquid Stock Options at BSE imposing a total penalty of Rs 5,50,000 (Rupees Five Lakh Fifty Thousand Only) on Basic Clothing Private Limited for the violation of Regulations 3(a), 4(1) and 4(2)(a) of PFUTP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28 February 2019, in the matter of dealing in illiquid Stock Options at BSE imposing a total penalty of Rs 5,00,000 (Rupees Five Lakh Only) on Chitragupta Sales &amp; Services Private Limited for the violation of Regulations 3(a), 4(1) and 4(2)(a) of PFUTP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28 February 2019, in the matter of dealing in illiquid Stock Options at BSE imposing a total penalty of Rs 5,50,000 (Rupees Five Lakh Fifty Thousand Only) on Satyam Castings Private Limited for the violation of Regulations 3(a), (b), (c), (d), 4(1) and 4(2)(a)  of PFUTP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28 February 2019, in the matter of dealing in illiquid Stock Options at BSE imposing a total penalty of Rs 5,00,000 (Rupees Five Lakh Only) on M J Shares &amp; Securities Pvt. Ltd. for the violation of Regulation 3(a), 4(1) and 4(2)(a) of the PFUTP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28 February 2019, in the matter of dealing in illiquid Stock Options at BSE imposing a total penalty of Rs 5,00,000 (Rupees Five Lakh Only) on M M Commodities for the violation of Regulation 3(a), 4(1) and 4(2)(a) of the PFUTP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28 February 2019, in the matter of dealing in illiquid Stock Options at BSE imposing a total penalty of Rs 5,00,000 (Rupees Five Lakh Only) on Mav Steels Pvt. Ltd. for the violation of Regulation 3(a), 4(1) and 4(2)(a) of the PFUTP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28 February 2019, in the matter of Polo Hotels Ltd. imposing a total penalty of Rs 8,00,000 (Rupees Eight Lakh Only) on Abhey Ram Dahiya for the violation of regulations 13(4), 13(4A) read with 13(5) of the PIT Regulations and regulations 29(2) read with 29(3) of the SAST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28 February 2019, in the matter of Polo Hotels Ltd. imposing a total penalty of Rs 2,00,000 (Rupees Two Lakh Only) on Amardeep Singh Dahiya for the violation of regulations 13(4), 13(4A) read with 13(5) of the PIT Regulations and regulations 29(2) read with 29(3) of the SAST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28 February 2019, in the matter of Trading in the F &amp; O segment at NSE imposing a total penalty of Rs 20,00,000 (Rupees Twenty Lakh Only) on Shilpa Stock Brokers Pvt Ltd for the violation of Regulations 4(1) and 4(2)(a) of PFUTP Regulations and Clauses A(1), A(2), A(3), A(4) and A(5) of the Code of Conduct prescribed for Stock Brokers contained in Schedule II to Regulation 7 of the Stock Broker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lastRenderedPageBreak/>
        <w:t>SEBI passed an order, dated 28 February 2019, in the matter of Mefcom Agro Industries Limited imposing a total penalty of Rs 15,00,000 (Rupees Fifteen Lakh Only) on Vishvas Securities Ltd for the violation of  Section 11C (2) read with Section 11C (3) of SEBI Act.</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28 February 2019, in the matter of Dealing in Illiquid Stock Options at the BSE imposing a total penalty of Rs 10,00,000 (Rupees Ten Lakh Only) on MB Investments for the violation of Regulation 3(a), 4(1) and 4(2)(a) of the PFUTP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28 February 2019, in the matter of Dealing in Illiquid Stock Options at the BSE imposing a total penalty of Rs 13,00,000 (Rupees Thirteen Lakh Only) on Megha Associate Private for the violation of Regulation 3(a), 4(1) and 4(2)(a) of the PFUTP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28 February 2019, in the matter of Dealing in Illiquid Stock Options at the BSE imposing a total penalty of Rs 1,15,00,000 (Rupees One Crore Fifteen Lakh Only) on N M Impex Pvt. Ltd. for the violation of  Regulation 3(a), (b), (c), (d) and Regulation 4(1), 4(2) (a) of  PFUTP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28 February 2019, in the matter of Dealing in Illiquid Stock Options at the BSE imposing a total penalty of Rs 7,00,000 (Rupees Seven Lakh Only) on Narayan Kumar Goyal HUF for the violation of Regulation 3(a), 4(1) and 4(2)(a) of the PFUTP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28 February 2019, in the matter of Dealing in Illiquid Stock Options at the BSE imposing a total penalty of Rs 25,00,000 (Rupees Twenty Five Lakh Only) on Nextel Vinimay Pvt. Ltd. for the violation of Regulation 3(a), 4(1) and 4(2)(a) of the PFUTP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28 February 2019, in the matter of Mindvision Capital Limited imposing a total penalty of Rs 3,00,000 (Rupees Three Lakh Only) on Dash Pharmaceuticals Pvt Ltd for the violation of Regulation 7(1) read with Regulation 7(2) of the SAST Regulation.</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28 February 2019, in the matter of Mindvision Capital Limited imposing following penalties, for the violation of Regulation 13(1) read with 13(5) of PIT Regulations:</w:t>
      </w:r>
    </w:p>
    <w:tbl>
      <w:tblPr>
        <w:tblW w:w="8935" w:type="dxa"/>
        <w:tblInd w:w="643" w:type="dxa"/>
        <w:tblCellMar>
          <w:left w:w="106" w:type="dxa"/>
          <w:right w:w="115" w:type="dxa"/>
        </w:tblCellMar>
        <w:tblLook w:val="04A0" w:firstRow="1" w:lastRow="0" w:firstColumn="1" w:lastColumn="0" w:noHBand="0" w:noVBand="1"/>
      </w:tblPr>
      <w:tblGrid>
        <w:gridCol w:w="852"/>
        <w:gridCol w:w="5815"/>
        <w:gridCol w:w="2268"/>
      </w:tblGrid>
      <w:tr w:rsidR="00467311" w:rsidRPr="004B268C" w:rsidTr="00BD62BA">
        <w:trPr>
          <w:trHeight w:val="252"/>
        </w:trPr>
        <w:tc>
          <w:tcPr>
            <w:tcW w:w="852"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22"/>
              <w:rPr>
                <w:rFonts w:ascii="Garamond" w:hAnsi="Garamond"/>
              </w:rPr>
            </w:pPr>
            <w:r w:rsidRPr="004B268C">
              <w:rPr>
                <w:rFonts w:ascii="Garamond" w:eastAsia="Garamond" w:hAnsi="Garamond" w:cs="Garamond"/>
                <w:b/>
              </w:rPr>
              <w:t xml:space="preserve">Sr. No. </w:t>
            </w:r>
          </w:p>
        </w:tc>
        <w:tc>
          <w:tcPr>
            <w:tcW w:w="5815"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jc w:val="center"/>
              <w:rPr>
                <w:rFonts w:ascii="Garamond" w:hAnsi="Garamond"/>
              </w:rPr>
            </w:pPr>
            <w:r w:rsidRPr="004B268C">
              <w:rPr>
                <w:rFonts w:ascii="Garamond" w:eastAsia="Garamond" w:hAnsi="Garamond" w:cs="Garamond"/>
                <w:b/>
              </w:rPr>
              <w:t xml:space="preserve">Name of Entity </w:t>
            </w:r>
          </w:p>
        </w:tc>
        <w:tc>
          <w:tcPr>
            <w:tcW w:w="2268"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jc w:val="center"/>
              <w:rPr>
                <w:rFonts w:ascii="Garamond" w:hAnsi="Garamond"/>
              </w:rPr>
            </w:pPr>
            <w:r w:rsidRPr="004B268C">
              <w:rPr>
                <w:rFonts w:ascii="Garamond" w:eastAsia="Garamond" w:hAnsi="Garamond" w:cs="Garamond"/>
                <w:b/>
              </w:rPr>
              <w:t>Amount of Penalty (</w:t>
            </w:r>
            <w:r w:rsidRPr="004B268C">
              <w:rPr>
                <w:rFonts w:ascii="Garamond" w:eastAsia="Calibri" w:hAnsi="Garamond" w:cs="Calibri"/>
                <w:noProof/>
                <w:position w:val="-1"/>
                <w:lang w:val="en-IN" w:eastAsia="en-IN"/>
              </w:rPr>
              <w:drawing>
                <wp:inline distT="0" distB="0" distL="0" distR="0" wp14:anchorId="3B48046D" wp14:editId="54DEA562">
                  <wp:extent cx="63500" cy="95250"/>
                  <wp:effectExtent l="0" t="0" r="0" b="0"/>
                  <wp:docPr id="32" name="Picture 32"/>
                  <wp:cNvGraphicFramePr/>
                  <a:graphic xmlns:a="http://schemas.openxmlformats.org/drawingml/2006/main">
                    <a:graphicData uri="http://schemas.openxmlformats.org/drawingml/2006/picture">
                      <pic:pic xmlns:pic="http://schemas.openxmlformats.org/drawingml/2006/picture">
                        <pic:nvPicPr>
                          <pic:cNvPr id="132548" name="Picture 132548"/>
                          <pic:cNvPicPr/>
                        </pic:nvPicPr>
                        <pic:blipFill>
                          <a:blip r:embed="rId46"/>
                          <a:stretch>
                            <a:fillRect/>
                          </a:stretch>
                        </pic:blipFill>
                        <pic:spPr>
                          <a:xfrm>
                            <a:off x="0" y="0"/>
                            <a:ext cx="63500" cy="95250"/>
                          </a:xfrm>
                          <a:prstGeom prst="rect">
                            <a:avLst/>
                          </a:prstGeom>
                        </pic:spPr>
                      </pic:pic>
                    </a:graphicData>
                  </a:graphic>
                </wp:inline>
              </w:drawing>
            </w:r>
            <w:r w:rsidRPr="004B268C">
              <w:rPr>
                <w:rFonts w:ascii="Garamond" w:eastAsia="Garamond" w:hAnsi="Garamond" w:cs="Garamond"/>
                <w:b/>
              </w:rPr>
              <w:t xml:space="preserve">) </w:t>
            </w:r>
          </w:p>
        </w:tc>
      </w:tr>
      <w:tr w:rsidR="00467311" w:rsidRPr="004B268C" w:rsidTr="00BD62BA">
        <w:trPr>
          <w:trHeight w:val="348"/>
        </w:trPr>
        <w:tc>
          <w:tcPr>
            <w:tcW w:w="852"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478"/>
              <w:rPr>
                <w:rFonts w:ascii="Garamond" w:hAnsi="Garamond"/>
              </w:rPr>
            </w:pPr>
            <w:r w:rsidRPr="004B268C">
              <w:rPr>
                <w:rFonts w:ascii="Garamond" w:hAnsi="Garamond"/>
              </w:rPr>
              <w:t xml:space="preserve">1 </w:t>
            </w:r>
          </w:p>
        </w:tc>
        <w:tc>
          <w:tcPr>
            <w:tcW w:w="5815"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rPr>
                <w:rFonts w:ascii="Garamond" w:hAnsi="Garamond"/>
              </w:rPr>
            </w:pPr>
            <w:r w:rsidRPr="004B268C">
              <w:rPr>
                <w:rFonts w:ascii="Garamond" w:hAnsi="Garamond"/>
              </w:rPr>
              <w:t xml:space="preserve">Dash Pharmaceuticals Pvt Ltd. </w:t>
            </w:r>
          </w:p>
        </w:tc>
        <w:tc>
          <w:tcPr>
            <w:tcW w:w="2268"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1063"/>
              <w:rPr>
                <w:rFonts w:ascii="Garamond" w:hAnsi="Garamond"/>
              </w:rPr>
            </w:pPr>
            <w:r w:rsidRPr="004B268C">
              <w:rPr>
                <w:rFonts w:ascii="Garamond" w:hAnsi="Garamond"/>
              </w:rPr>
              <w:t xml:space="preserve">4,00,000/- </w:t>
            </w:r>
          </w:p>
        </w:tc>
      </w:tr>
      <w:tr w:rsidR="00467311" w:rsidRPr="004B268C" w:rsidTr="00BD62BA">
        <w:trPr>
          <w:trHeight w:val="348"/>
        </w:trPr>
        <w:tc>
          <w:tcPr>
            <w:tcW w:w="852"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478"/>
              <w:rPr>
                <w:rFonts w:ascii="Garamond" w:hAnsi="Garamond"/>
              </w:rPr>
            </w:pPr>
            <w:r w:rsidRPr="004B268C">
              <w:rPr>
                <w:rFonts w:ascii="Garamond" w:hAnsi="Garamond"/>
              </w:rPr>
              <w:t xml:space="preserve">2 </w:t>
            </w:r>
          </w:p>
        </w:tc>
        <w:tc>
          <w:tcPr>
            <w:tcW w:w="5815"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rPr>
                <w:rFonts w:ascii="Garamond" w:hAnsi="Garamond"/>
              </w:rPr>
            </w:pPr>
            <w:r w:rsidRPr="004B268C">
              <w:rPr>
                <w:rFonts w:ascii="Garamond" w:hAnsi="Garamond"/>
              </w:rPr>
              <w:t xml:space="preserve">Mandvi Dyes &amp; Chemicals Co. Pvt. Ltd. </w:t>
            </w:r>
          </w:p>
        </w:tc>
        <w:tc>
          <w:tcPr>
            <w:tcW w:w="2268"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right="60"/>
              <w:jc w:val="right"/>
              <w:rPr>
                <w:rFonts w:ascii="Garamond" w:hAnsi="Garamond"/>
              </w:rPr>
            </w:pPr>
            <w:r w:rsidRPr="004B268C">
              <w:rPr>
                <w:rFonts w:ascii="Garamond" w:hAnsi="Garamond"/>
              </w:rPr>
              <w:t xml:space="preserve">6,00,000/-  </w:t>
            </w:r>
          </w:p>
        </w:tc>
      </w:tr>
      <w:tr w:rsidR="00467311" w:rsidRPr="004B268C" w:rsidTr="00BD62BA">
        <w:trPr>
          <w:trHeight w:val="348"/>
        </w:trPr>
        <w:tc>
          <w:tcPr>
            <w:tcW w:w="852"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478"/>
              <w:rPr>
                <w:rFonts w:ascii="Garamond" w:hAnsi="Garamond"/>
              </w:rPr>
            </w:pPr>
            <w:r w:rsidRPr="004B268C">
              <w:rPr>
                <w:rFonts w:ascii="Garamond" w:hAnsi="Garamond"/>
              </w:rPr>
              <w:t xml:space="preserve">3 </w:t>
            </w:r>
          </w:p>
        </w:tc>
        <w:tc>
          <w:tcPr>
            <w:tcW w:w="5815"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rPr>
                <w:rFonts w:ascii="Garamond" w:hAnsi="Garamond"/>
              </w:rPr>
            </w:pPr>
            <w:r w:rsidRPr="004B268C">
              <w:rPr>
                <w:rFonts w:ascii="Garamond" w:hAnsi="Garamond"/>
              </w:rPr>
              <w:t xml:space="preserve">Maxilla Financial Services Pvt. Ltd. </w:t>
            </w:r>
          </w:p>
        </w:tc>
        <w:tc>
          <w:tcPr>
            <w:tcW w:w="2268"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1063"/>
              <w:rPr>
                <w:rFonts w:ascii="Garamond" w:hAnsi="Garamond"/>
              </w:rPr>
            </w:pPr>
            <w:r w:rsidRPr="004B268C">
              <w:rPr>
                <w:rFonts w:ascii="Garamond" w:hAnsi="Garamond"/>
              </w:rPr>
              <w:t xml:space="preserve">3,00,000/- </w:t>
            </w:r>
          </w:p>
        </w:tc>
      </w:tr>
      <w:tr w:rsidR="00467311" w:rsidRPr="004B268C" w:rsidTr="00BD62BA">
        <w:trPr>
          <w:trHeight w:val="348"/>
        </w:trPr>
        <w:tc>
          <w:tcPr>
            <w:tcW w:w="852"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478"/>
              <w:rPr>
                <w:rFonts w:ascii="Garamond" w:hAnsi="Garamond"/>
              </w:rPr>
            </w:pPr>
            <w:r w:rsidRPr="004B268C">
              <w:rPr>
                <w:rFonts w:ascii="Garamond" w:hAnsi="Garamond"/>
              </w:rPr>
              <w:t xml:space="preserve">4 </w:t>
            </w:r>
          </w:p>
        </w:tc>
        <w:tc>
          <w:tcPr>
            <w:tcW w:w="5815"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rPr>
                <w:rFonts w:ascii="Garamond" w:hAnsi="Garamond"/>
              </w:rPr>
            </w:pPr>
            <w:r w:rsidRPr="004B268C">
              <w:rPr>
                <w:rFonts w:ascii="Garamond" w:hAnsi="Garamond"/>
              </w:rPr>
              <w:t xml:space="preserve">Parachit Sales &amp; Marketing (I) Pvt. Ltd. </w:t>
            </w:r>
          </w:p>
        </w:tc>
        <w:tc>
          <w:tcPr>
            <w:tcW w:w="2268"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1063"/>
              <w:rPr>
                <w:rFonts w:ascii="Garamond" w:hAnsi="Garamond"/>
              </w:rPr>
            </w:pPr>
            <w:r w:rsidRPr="004B268C">
              <w:rPr>
                <w:rFonts w:ascii="Garamond" w:hAnsi="Garamond"/>
              </w:rPr>
              <w:t xml:space="preserve">4,00,000/- </w:t>
            </w:r>
          </w:p>
        </w:tc>
      </w:tr>
      <w:tr w:rsidR="00467311" w:rsidRPr="004B268C" w:rsidTr="00BD62BA">
        <w:trPr>
          <w:trHeight w:val="346"/>
        </w:trPr>
        <w:tc>
          <w:tcPr>
            <w:tcW w:w="852"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478"/>
              <w:rPr>
                <w:rFonts w:ascii="Garamond" w:hAnsi="Garamond"/>
              </w:rPr>
            </w:pPr>
            <w:r w:rsidRPr="004B268C">
              <w:rPr>
                <w:rFonts w:ascii="Garamond" w:hAnsi="Garamond"/>
              </w:rPr>
              <w:t xml:space="preserve">5 </w:t>
            </w:r>
          </w:p>
        </w:tc>
        <w:tc>
          <w:tcPr>
            <w:tcW w:w="5815"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rPr>
                <w:rFonts w:ascii="Garamond" w:hAnsi="Garamond"/>
              </w:rPr>
            </w:pPr>
            <w:r w:rsidRPr="004B268C">
              <w:rPr>
                <w:rFonts w:ascii="Garamond" w:hAnsi="Garamond"/>
              </w:rPr>
              <w:t xml:space="preserve">Prime Dyes &amp; Chemicals Co. Pvt. Ltd. </w:t>
            </w:r>
          </w:p>
        </w:tc>
        <w:tc>
          <w:tcPr>
            <w:tcW w:w="2268"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1063"/>
              <w:rPr>
                <w:rFonts w:ascii="Garamond" w:hAnsi="Garamond"/>
              </w:rPr>
            </w:pPr>
            <w:r w:rsidRPr="004B268C">
              <w:rPr>
                <w:rFonts w:ascii="Garamond" w:hAnsi="Garamond"/>
              </w:rPr>
              <w:t xml:space="preserve">3,00,000/- </w:t>
            </w:r>
          </w:p>
        </w:tc>
      </w:tr>
      <w:tr w:rsidR="00467311" w:rsidRPr="004B268C" w:rsidTr="00BD62BA">
        <w:trPr>
          <w:trHeight w:val="348"/>
        </w:trPr>
        <w:tc>
          <w:tcPr>
            <w:tcW w:w="852"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478"/>
              <w:rPr>
                <w:rFonts w:ascii="Garamond" w:hAnsi="Garamond"/>
              </w:rPr>
            </w:pPr>
            <w:r w:rsidRPr="004B268C">
              <w:rPr>
                <w:rFonts w:ascii="Garamond" w:hAnsi="Garamond"/>
              </w:rPr>
              <w:t xml:space="preserve">6 </w:t>
            </w:r>
          </w:p>
        </w:tc>
        <w:tc>
          <w:tcPr>
            <w:tcW w:w="5815"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rPr>
                <w:rFonts w:ascii="Garamond" w:hAnsi="Garamond"/>
              </w:rPr>
            </w:pPr>
            <w:r w:rsidRPr="004B268C">
              <w:rPr>
                <w:rFonts w:ascii="Garamond" w:hAnsi="Garamond"/>
              </w:rPr>
              <w:t xml:space="preserve">Rajratan Trading Pvt. Ltd. </w:t>
            </w:r>
          </w:p>
        </w:tc>
        <w:tc>
          <w:tcPr>
            <w:tcW w:w="2268"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1063"/>
              <w:rPr>
                <w:rFonts w:ascii="Garamond" w:hAnsi="Garamond"/>
              </w:rPr>
            </w:pPr>
            <w:r w:rsidRPr="004B268C">
              <w:rPr>
                <w:rFonts w:ascii="Garamond" w:hAnsi="Garamond"/>
              </w:rPr>
              <w:t xml:space="preserve">3,00,000/- </w:t>
            </w:r>
          </w:p>
        </w:tc>
      </w:tr>
      <w:tr w:rsidR="00467311" w:rsidRPr="004B268C" w:rsidTr="00BD62BA">
        <w:trPr>
          <w:trHeight w:val="348"/>
        </w:trPr>
        <w:tc>
          <w:tcPr>
            <w:tcW w:w="852"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478"/>
              <w:rPr>
                <w:rFonts w:ascii="Garamond" w:hAnsi="Garamond"/>
              </w:rPr>
            </w:pPr>
            <w:r w:rsidRPr="004B268C">
              <w:rPr>
                <w:rFonts w:ascii="Garamond" w:hAnsi="Garamond"/>
              </w:rPr>
              <w:t xml:space="preserve">7 </w:t>
            </w:r>
          </w:p>
        </w:tc>
        <w:tc>
          <w:tcPr>
            <w:tcW w:w="5815"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rPr>
                <w:rFonts w:ascii="Garamond" w:hAnsi="Garamond"/>
              </w:rPr>
            </w:pPr>
            <w:r w:rsidRPr="004B268C">
              <w:rPr>
                <w:rFonts w:ascii="Garamond" w:hAnsi="Garamond"/>
              </w:rPr>
              <w:t xml:space="preserve">Shingar Dyes &amp; Chemicals Pvt. Ltd. </w:t>
            </w:r>
          </w:p>
        </w:tc>
        <w:tc>
          <w:tcPr>
            <w:tcW w:w="2268"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1063"/>
              <w:rPr>
                <w:rFonts w:ascii="Garamond" w:hAnsi="Garamond"/>
              </w:rPr>
            </w:pPr>
            <w:r w:rsidRPr="004B268C">
              <w:rPr>
                <w:rFonts w:ascii="Garamond" w:hAnsi="Garamond"/>
              </w:rPr>
              <w:t xml:space="preserve">2,00,000/- </w:t>
            </w:r>
          </w:p>
        </w:tc>
      </w:tr>
      <w:tr w:rsidR="00467311" w:rsidRPr="004B268C" w:rsidTr="00BD62BA">
        <w:trPr>
          <w:trHeight w:val="348"/>
        </w:trPr>
        <w:tc>
          <w:tcPr>
            <w:tcW w:w="852"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478"/>
              <w:rPr>
                <w:rFonts w:ascii="Garamond" w:hAnsi="Garamond"/>
              </w:rPr>
            </w:pPr>
            <w:r w:rsidRPr="004B268C">
              <w:rPr>
                <w:rFonts w:ascii="Garamond" w:hAnsi="Garamond"/>
              </w:rPr>
              <w:t xml:space="preserve">8 </w:t>
            </w:r>
          </w:p>
        </w:tc>
        <w:tc>
          <w:tcPr>
            <w:tcW w:w="5815"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rPr>
                <w:rFonts w:ascii="Garamond" w:hAnsi="Garamond"/>
              </w:rPr>
            </w:pPr>
            <w:r w:rsidRPr="004B268C">
              <w:rPr>
                <w:rFonts w:ascii="Garamond" w:hAnsi="Garamond"/>
              </w:rPr>
              <w:t xml:space="preserve">Sparkle Tooth Brush Mfg Co. Pvt. Ltd. </w:t>
            </w:r>
          </w:p>
        </w:tc>
        <w:tc>
          <w:tcPr>
            <w:tcW w:w="2268"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right="60"/>
              <w:jc w:val="right"/>
              <w:rPr>
                <w:rFonts w:ascii="Garamond" w:hAnsi="Garamond"/>
              </w:rPr>
            </w:pPr>
            <w:r w:rsidRPr="004B268C">
              <w:rPr>
                <w:rFonts w:ascii="Garamond" w:hAnsi="Garamond"/>
              </w:rPr>
              <w:t xml:space="preserve">3,00,000/-  </w:t>
            </w:r>
          </w:p>
        </w:tc>
      </w:tr>
      <w:tr w:rsidR="00467311" w:rsidRPr="004B268C" w:rsidTr="00BD62BA">
        <w:trPr>
          <w:trHeight w:val="348"/>
        </w:trPr>
        <w:tc>
          <w:tcPr>
            <w:tcW w:w="852"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478"/>
              <w:rPr>
                <w:rFonts w:ascii="Garamond" w:hAnsi="Garamond"/>
              </w:rPr>
            </w:pPr>
            <w:r w:rsidRPr="004B268C">
              <w:rPr>
                <w:rFonts w:ascii="Garamond" w:hAnsi="Garamond"/>
              </w:rPr>
              <w:t xml:space="preserve">9 </w:t>
            </w:r>
          </w:p>
        </w:tc>
        <w:tc>
          <w:tcPr>
            <w:tcW w:w="5815"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rPr>
                <w:rFonts w:ascii="Garamond" w:hAnsi="Garamond"/>
              </w:rPr>
            </w:pPr>
            <w:r w:rsidRPr="004B268C">
              <w:rPr>
                <w:rFonts w:ascii="Garamond" w:hAnsi="Garamond"/>
              </w:rPr>
              <w:t xml:space="preserve">Tutis Technologies Ltd. </w:t>
            </w:r>
          </w:p>
        </w:tc>
        <w:tc>
          <w:tcPr>
            <w:tcW w:w="2268"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right="60"/>
              <w:jc w:val="right"/>
              <w:rPr>
                <w:rFonts w:ascii="Garamond" w:hAnsi="Garamond"/>
              </w:rPr>
            </w:pPr>
            <w:r w:rsidRPr="004B268C">
              <w:rPr>
                <w:rFonts w:ascii="Garamond" w:hAnsi="Garamond"/>
              </w:rPr>
              <w:t xml:space="preserve">4,00,000/-  </w:t>
            </w:r>
          </w:p>
        </w:tc>
      </w:tr>
      <w:tr w:rsidR="00467311" w:rsidRPr="004B268C" w:rsidTr="00BD62BA">
        <w:trPr>
          <w:trHeight w:val="348"/>
        </w:trPr>
        <w:tc>
          <w:tcPr>
            <w:tcW w:w="852"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left="384"/>
              <w:rPr>
                <w:rFonts w:ascii="Garamond" w:hAnsi="Garamond"/>
              </w:rPr>
            </w:pPr>
            <w:r w:rsidRPr="004B268C">
              <w:rPr>
                <w:rFonts w:ascii="Garamond" w:hAnsi="Garamond"/>
              </w:rPr>
              <w:t xml:space="preserve">10 </w:t>
            </w:r>
          </w:p>
        </w:tc>
        <w:tc>
          <w:tcPr>
            <w:tcW w:w="5815"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rPr>
                <w:rFonts w:ascii="Garamond" w:hAnsi="Garamond"/>
              </w:rPr>
            </w:pPr>
            <w:r w:rsidRPr="004B268C">
              <w:rPr>
                <w:rFonts w:ascii="Garamond" w:hAnsi="Garamond"/>
              </w:rPr>
              <w:t xml:space="preserve">Vishal Information Technologies Ltd. </w:t>
            </w:r>
          </w:p>
        </w:tc>
        <w:tc>
          <w:tcPr>
            <w:tcW w:w="2268" w:type="dxa"/>
            <w:tcBorders>
              <w:top w:val="single" w:sz="4" w:space="0" w:color="000000"/>
              <w:left w:val="single" w:sz="4" w:space="0" w:color="000000"/>
              <w:bottom w:val="single" w:sz="4" w:space="0" w:color="000000"/>
              <w:right w:val="single" w:sz="4" w:space="0" w:color="000000"/>
            </w:tcBorders>
          </w:tcPr>
          <w:p w:rsidR="00467311" w:rsidRPr="004B268C" w:rsidRDefault="00467311" w:rsidP="004B268C">
            <w:pPr>
              <w:spacing w:after="120"/>
              <w:ind w:right="60"/>
              <w:jc w:val="right"/>
              <w:rPr>
                <w:rFonts w:ascii="Garamond" w:hAnsi="Garamond"/>
              </w:rPr>
            </w:pPr>
            <w:r w:rsidRPr="004B268C">
              <w:rPr>
                <w:rFonts w:ascii="Garamond" w:hAnsi="Garamond"/>
              </w:rPr>
              <w:t xml:space="preserve">3,00,000/-  </w:t>
            </w:r>
          </w:p>
        </w:tc>
      </w:tr>
    </w:tbl>
    <w:p w:rsidR="00467311" w:rsidRPr="004B268C" w:rsidRDefault="00467311" w:rsidP="004B268C">
      <w:pPr>
        <w:spacing w:after="120"/>
        <w:rPr>
          <w:rFonts w:ascii="Garamond" w:hAnsi="Garamond"/>
        </w:rPr>
      </w:pP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color w:val="auto"/>
        </w:rPr>
        <w:t xml:space="preserve">SEBI passed an order, dated 01 February 2019, in the matter of Rajlaxmi Industries Ltd restraining Rashmi Kothari </w:t>
      </w:r>
      <w:r w:rsidRPr="004B268C">
        <w:rPr>
          <w:rFonts w:ascii="Garamond" w:hAnsi="Garamond"/>
        </w:rPr>
        <w:t>from accessing the securities market and further prohibit the Noticee from buying, selling or otherwise dealing in the securities market, directly or indirectly, for a period of two years</w:t>
      </w:r>
      <w:r w:rsidRPr="004B268C">
        <w:rPr>
          <w:rFonts w:ascii="Garamond" w:hAnsi="Garamond"/>
          <w:color w:val="auto"/>
        </w:rPr>
        <w:t>.</w:t>
      </w:r>
    </w:p>
    <w:p w:rsidR="00467311" w:rsidRPr="004B268C" w:rsidRDefault="00467311" w:rsidP="004B268C">
      <w:pPr>
        <w:spacing w:after="120"/>
        <w:rPr>
          <w:rFonts w:ascii="Garamond" w:hAnsi="Garamond"/>
        </w:rPr>
      </w:pP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color w:val="auto"/>
        </w:rPr>
        <w:t xml:space="preserve">SEBI passed an order, dated 04 February 2019, in the matter of Delisting of Equity Shares of REIL Electricals India Ltd granting relaxation to REIL Electricals India Limited from </w:t>
      </w:r>
      <w:r w:rsidRPr="004B268C">
        <w:rPr>
          <w:rFonts w:ascii="Garamond" w:hAnsi="Garamond"/>
        </w:rPr>
        <w:t>the applicability of regulation 8(1B)(i) (limited to the extent of compliance with minimum public shareholding norms) and Regulation 27(3) (d) of the SEBI(Delisting of Equity Shares) Regulations, 2009.</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color w:val="auto"/>
        </w:rPr>
        <w:t xml:space="preserve">SEBI passed an order, dated 06 February 2019, in the matter of Gremach Infrastructure Equipments and Projects Limited directing Unnao Trading Private Ltd. and others to make a public announcement to acquire shares of </w:t>
      </w:r>
      <w:r w:rsidRPr="004B268C">
        <w:rPr>
          <w:rFonts w:ascii="Garamond" w:hAnsi="Garamond"/>
        </w:rPr>
        <w:t xml:space="preserve">Sancia Global Infraprojects Ltd. in accordance with the provisions of the Takeover Regulations. They were further directed to pay the consideration amount along with the interest at the rate of 10% per annum from 22 June, 2009 till the date of payment of consideration. </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color w:val="auto"/>
        </w:rPr>
        <w:t xml:space="preserve">SEBI passed an order, dated 08 February 2019, in the matter of Nissan Copper Ltd restraining Nissan Copper Ltd. and others </w:t>
      </w:r>
      <w:r w:rsidRPr="004B268C">
        <w:rPr>
          <w:rFonts w:ascii="Garamond" w:hAnsi="Garamond"/>
        </w:rPr>
        <w:t>from accessing the securities market and further prohibiting them from buying, selling or otherwise dealing in securities, directly or indirectly, or being associated with the securities market in any manner, either directly or indirectly, for a period of five years.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color w:val="auto"/>
        </w:rPr>
        <w:t xml:space="preserve">SEBI passed an order, dated 08 February 2019, in the matter of Jolly Plastic Industries Ltd. restraining Dhiren Agrawal </w:t>
      </w:r>
      <w:r w:rsidRPr="004B268C">
        <w:rPr>
          <w:rFonts w:ascii="Garamond" w:hAnsi="Garamond"/>
        </w:rPr>
        <w:t>from accessing the securities market and further prohibiting them from buying, selling or otherwise dealing in securities, directly or indirectly, or being associated with the securities market in any manner, either directly or indirectly, for a period of four years.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color w:val="auto"/>
        </w:rPr>
        <w:t>SEBI passed an order, dated 08 February 2019, in the matter of Zoid Research ( Proprietor Mr. Tabrez Khan) restraining Zoid Research/ Tabrez Khan</w:t>
      </w:r>
      <w:r w:rsidRPr="004B268C">
        <w:rPr>
          <w:rFonts w:ascii="Garamond" w:hAnsi="Garamond"/>
        </w:rPr>
        <w:t xml:space="preserve">  from buying, selling or dealing in the securities market or associating himself/itself with securities market, either directly or indirectly, in any manner whatsoever, till further directions. </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color w:val="auto"/>
        </w:rPr>
        <w:t xml:space="preserve">SEBI passed an order, dated 08 February 2019, in the matter of Moongipa Investments Ltd. restraining Moongipa Investments Limited and others </w:t>
      </w:r>
      <w:r w:rsidRPr="004B268C">
        <w:rPr>
          <w:rFonts w:ascii="Garamond" w:hAnsi="Garamond"/>
        </w:rPr>
        <w:t xml:space="preserve">from accessing the securities market and further prohibiting them from buying, selling or otherwise dealing in securities (including units of mutual funds), directly or indirectly, or being associated with the securities market in any manner, whatsoever, for a period of five years. </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color w:val="auto"/>
        </w:rPr>
        <w:t>SEBI passed an order, dated 12 February 2019, in the matter of Ganga Sagar Foods &amp; Beverages India Limited (</w:t>
      </w:r>
      <w:r w:rsidRPr="004B268C">
        <w:rPr>
          <w:rFonts w:ascii="Garamond" w:hAnsi="Garamond"/>
        </w:rPr>
        <w:t>GSFBIL)</w:t>
      </w:r>
      <w:r w:rsidRPr="004B268C">
        <w:rPr>
          <w:rFonts w:ascii="Garamond" w:hAnsi="Garamond"/>
          <w:color w:val="auto"/>
        </w:rPr>
        <w:t>, directing GSFBIL and its directors to refund the money collected with an interest of 15 per cent per annum being calculated from the date when the repayment became due.</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color w:val="auto"/>
        </w:rPr>
        <w:t xml:space="preserve">SEBI passed an order, dated 12 February 2019, in the matter of Jolly Plastic Industries Ltd. restraining Sapna Dilip Bombaywala </w:t>
      </w:r>
      <w:r w:rsidRPr="004B268C">
        <w:rPr>
          <w:rFonts w:ascii="Garamond" w:hAnsi="Garamond"/>
        </w:rPr>
        <w:t xml:space="preserve">from accessing the securities market and further prohibiting her from buying, selling or otherwise dealing in securities, directly or indirectly, or being associated with the securities market in any manner, whatsoever, for a period of six years. </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color w:val="auto"/>
        </w:rPr>
        <w:t xml:space="preserve">SEBI passed an order, dated 15 February 2019, in the matter of Wipro Limited granting </w:t>
      </w:r>
      <w:r w:rsidRPr="004B268C">
        <w:rPr>
          <w:rFonts w:ascii="Garamond" w:hAnsi="Garamond"/>
        </w:rPr>
        <w:t>exemption/relaxation to Wipro from ensuring strict compliance with the requirement of Regulation 24(ii) of the Buy–back Regulations.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20 February 2019, in the matter of Navkar Corporation Ltd. granting exemption to the proposed Acquirers Nemichand Mehta Family Trust and Shailaja Mehta Family Trust, from complying with the requirements of Regulations 3 and 4 read with Regulation 5 of the Takeover Regulations with respect to the proposed acquisition/exercise of voting rights in respect of Navkar Corporation Limited.</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20 February 2019, in the matter of buy back of securities in Coal India Limited granting exemption to Coal India from ensuring strict compliance with the requirement of Regulation 24(i)(e) of the Buy–back Regulations 2018 in relation to the proposed buy–back of 4,46,80,850 equity shares of the Company.</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22 February 2019, in the matter of ADF Foods Limited impounding the alleged unlawful gains of a sum of ₹1,02,63,169.81 (alleged gains of ₹77,23,637.73 + interest of ₹25,39,532.08 (from 21 May 2016 to 15 February 2019)), jointly and severally from Pallavi Navinchandra Mehta and 5 others.</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22 February 2019, in respect of India Infoline Commodities Limited (IICL) declaring IICL not a fit and proper person to hold, directly or indirectly, the certificate of registration as commodity derivatives broker, and rejecting the application dated 23 December 2015 filed by IICL for registration as commodity derivatives broker.</w:t>
      </w:r>
    </w:p>
    <w:p w:rsidR="00467311" w:rsidRPr="004B268C" w:rsidRDefault="00467311" w:rsidP="004B268C">
      <w:pPr>
        <w:pStyle w:val="Default"/>
        <w:numPr>
          <w:ilvl w:val="0"/>
          <w:numId w:val="7"/>
        </w:numPr>
        <w:spacing w:after="120"/>
        <w:ind w:right="283"/>
        <w:jc w:val="both"/>
        <w:rPr>
          <w:rFonts w:ascii="Garamond" w:hAnsi="Garamond"/>
        </w:rPr>
      </w:pPr>
      <w:r w:rsidRPr="004B268C">
        <w:rPr>
          <w:rFonts w:ascii="Garamond" w:hAnsi="Garamond"/>
        </w:rPr>
        <w:t>SEBI passed an order, dated 22 February 2019, in respect of Motilal Oswal Commodities Broker Private Limited declaring Motilal Oswal Commodities Broker Private Limited not a fit and proper person to hold, directly or indirectly, the certificate of registration as commodity derivatives broker, and rejecting the applications dated 11 December 2015 and 16 December 2015 filed by Motilal Oswal Commodities Broker Private Limited for registration as commodity derivatives broker.</w:t>
      </w:r>
    </w:p>
    <w:p w:rsidR="00467311" w:rsidRPr="004B268C" w:rsidRDefault="00467311" w:rsidP="004B268C">
      <w:pPr>
        <w:pStyle w:val="Default"/>
        <w:numPr>
          <w:ilvl w:val="0"/>
          <w:numId w:val="7"/>
        </w:numPr>
        <w:spacing w:after="120"/>
        <w:ind w:right="284"/>
        <w:jc w:val="both"/>
        <w:rPr>
          <w:rFonts w:ascii="Garamond" w:hAnsi="Garamond"/>
        </w:rPr>
      </w:pPr>
      <w:r w:rsidRPr="004B268C">
        <w:rPr>
          <w:rFonts w:ascii="Garamond" w:hAnsi="Garamond"/>
          <w:bCs/>
          <w:color w:val="auto"/>
        </w:rPr>
        <w:t xml:space="preserve">SEBI passed an order, dated 25 February 2019, in respect of Anand Rathi Commodities Limited </w:t>
      </w:r>
      <w:r w:rsidRPr="004B268C">
        <w:rPr>
          <w:rFonts w:ascii="Garamond" w:hAnsi="Garamond"/>
        </w:rPr>
        <w:t>rejecting the application received on 16 December 2015, filed by Anand Rathi Commodities Limited for registration as commodity derivatives broker.</w:t>
      </w:r>
    </w:p>
    <w:p w:rsidR="00467311" w:rsidRPr="004B268C" w:rsidRDefault="00467311" w:rsidP="004B268C">
      <w:pPr>
        <w:pStyle w:val="Default"/>
        <w:numPr>
          <w:ilvl w:val="0"/>
          <w:numId w:val="7"/>
        </w:numPr>
        <w:spacing w:after="120"/>
        <w:ind w:right="284"/>
        <w:jc w:val="both"/>
        <w:rPr>
          <w:rFonts w:ascii="Garamond" w:hAnsi="Garamond"/>
        </w:rPr>
      </w:pPr>
      <w:r w:rsidRPr="004B268C">
        <w:rPr>
          <w:rFonts w:ascii="Garamond" w:hAnsi="Garamond"/>
          <w:bCs/>
          <w:color w:val="auto"/>
        </w:rPr>
        <w:t xml:space="preserve">SEBI passed an order, dated 25 February 2019, in respect of Geofin Comtrade Limited </w:t>
      </w:r>
      <w:r w:rsidRPr="004B268C">
        <w:rPr>
          <w:rFonts w:ascii="Garamond" w:hAnsi="Garamond"/>
        </w:rPr>
        <w:t>rejecting the application received on 16 December 2015, filed by Geofin Comtrade Limited for registration as commodity derivatives broker.</w:t>
      </w:r>
    </w:p>
    <w:p w:rsidR="00467311" w:rsidRPr="004B268C" w:rsidRDefault="00467311" w:rsidP="004B268C">
      <w:pPr>
        <w:pStyle w:val="Default"/>
        <w:numPr>
          <w:ilvl w:val="0"/>
          <w:numId w:val="7"/>
        </w:numPr>
        <w:spacing w:after="120"/>
        <w:ind w:right="284"/>
        <w:jc w:val="both"/>
        <w:rPr>
          <w:rFonts w:ascii="Garamond" w:hAnsi="Garamond"/>
        </w:rPr>
      </w:pPr>
      <w:r w:rsidRPr="004B268C">
        <w:rPr>
          <w:rFonts w:ascii="Garamond" w:hAnsi="Garamond"/>
          <w:bCs/>
          <w:color w:val="auto"/>
        </w:rPr>
        <w:t xml:space="preserve">SEBI passed an order, dated 26 February 2019, in the matter of J K S Projects Limited (JKSPL) directing JKSPL and its directors/promoters, </w:t>
      </w:r>
      <w:r w:rsidRPr="004B268C">
        <w:rPr>
          <w:rFonts w:ascii="Garamond" w:hAnsi="Garamond"/>
        </w:rPr>
        <w:t>not to access the securities market or buy, sell or otherwise deal in the securities market, either directly or indirectly, or associate themselves with any listed company or company intending to raise money from the public. They were further directed to refund the money collected through the offer and allotment of Redeemable Preference Shares to the extent liable, with an interest of 15% per annum (the interest being calculated from the date when the repayments became due in terms of Section 73(2) of the Companies Act).</w:t>
      </w:r>
    </w:p>
    <w:p w:rsidR="00467311" w:rsidRPr="004B268C" w:rsidRDefault="00467311" w:rsidP="004B268C">
      <w:pPr>
        <w:pStyle w:val="Default"/>
        <w:numPr>
          <w:ilvl w:val="0"/>
          <w:numId w:val="7"/>
        </w:numPr>
        <w:spacing w:after="120"/>
        <w:ind w:right="284"/>
        <w:jc w:val="both"/>
        <w:rPr>
          <w:rFonts w:ascii="Garamond" w:hAnsi="Garamond"/>
        </w:rPr>
      </w:pPr>
      <w:r w:rsidRPr="004B268C">
        <w:rPr>
          <w:rFonts w:ascii="Garamond" w:hAnsi="Garamond"/>
          <w:bCs/>
          <w:color w:val="auto"/>
        </w:rPr>
        <w:t xml:space="preserve">SEBI passed an order, dated 27 February 2019, in the matter of Polytex India Ltd restraining Polytex India Ltd </w:t>
      </w:r>
      <w:r w:rsidRPr="004B268C">
        <w:rPr>
          <w:rFonts w:ascii="Garamond" w:hAnsi="Garamond"/>
        </w:rPr>
        <w:t>from accessing the securities market and further prohibit them from buying, selling or otherwise dealing in securities, directly or indirectly, or being associated with the securities market in any manner, whatsoever, for a period of seven years.</w:t>
      </w:r>
    </w:p>
    <w:p w:rsidR="00467311" w:rsidRPr="004B268C" w:rsidRDefault="00467311" w:rsidP="004B268C">
      <w:pPr>
        <w:pStyle w:val="Default"/>
        <w:numPr>
          <w:ilvl w:val="0"/>
          <w:numId w:val="7"/>
        </w:numPr>
        <w:spacing w:after="120"/>
        <w:ind w:right="284"/>
        <w:jc w:val="both"/>
        <w:rPr>
          <w:rFonts w:ascii="Garamond" w:hAnsi="Garamond"/>
        </w:rPr>
      </w:pPr>
      <w:r w:rsidRPr="004B268C">
        <w:rPr>
          <w:rFonts w:ascii="Garamond" w:hAnsi="Garamond"/>
          <w:bCs/>
          <w:color w:val="auto"/>
        </w:rPr>
        <w:t xml:space="preserve">SEBI passed an order, dated 27 February 2019, in the matter of Allied Financial Services Pvt. Ltd. restraining Allied Financial Services Private Limited and others from accessing the securities market </w:t>
      </w:r>
      <w:r w:rsidRPr="004B268C">
        <w:rPr>
          <w:rFonts w:ascii="Garamond" w:hAnsi="Garamond"/>
        </w:rPr>
        <w:t>and further prohibiting them from buying, selling or otherwise dealing in securities, either directly or indirectly, or being associated with the securities market in any manner whatsoever, till further directions</w:t>
      </w:r>
      <w:r w:rsidRPr="004B268C">
        <w:rPr>
          <w:rFonts w:ascii="Garamond" w:hAnsi="Garamond"/>
          <w:bCs/>
          <w:color w:val="auto"/>
        </w:rPr>
        <w:t>.</w:t>
      </w:r>
    </w:p>
    <w:p w:rsidR="00467311" w:rsidRPr="004B268C" w:rsidRDefault="00467311" w:rsidP="004B268C">
      <w:pPr>
        <w:pStyle w:val="Default"/>
        <w:numPr>
          <w:ilvl w:val="0"/>
          <w:numId w:val="7"/>
        </w:numPr>
        <w:spacing w:after="120"/>
        <w:ind w:right="284"/>
        <w:jc w:val="both"/>
        <w:rPr>
          <w:rFonts w:ascii="Garamond" w:hAnsi="Garamond"/>
        </w:rPr>
      </w:pPr>
      <w:r w:rsidRPr="004B268C">
        <w:rPr>
          <w:rFonts w:ascii="Garamond" w:hAnsi="Garamond"/>
          <w:bCs/>
          <w:color w:val="auto"/>
        </w:rPr>
        <w:t>SEBI passed an order, dated 27 February 2019, in respect of Phillip Commodities India Pvt. Ltd. (</w:t>
      </w:r>
      <w:r w:rsidRPr="004B268C">
        <w:rPr>
          <w:rFonts w:ascii="Garamond" w:hAnsi="Garamond"/>
        </w:rPr>
        <w:t xml:space="preserve">“PCIPL”) </w:t>
      </w:r>
      <w:r w:rsidRPr="004B268C">
        <w:rPr>
          <w:rFonts w:ascii="Garamond" w:hAnsi="Garamond"/>
          <w:bCs/>
          <w:color w:val="auto"/>
        </w:rPr>
        <w:t xml:space="preserve">declaring PCIPL </w:t>
      </w:r>
      <w:r w:rsidRPr="004B268C">
        <w:rPr>
          <w:rFonts w:ascii="Garamond" w:hAnsi="Garamond"/>
        </w:rPr>
        <w:t>is not a fit and proper person to hold, directly or indirectly, the certificate of registration as commodity derivatives broker, and rejecting the application filed by Phillip Commodities India Pvt. Ltd. and received by SEBI on 16 December 2015, for registration as commodity derivatives broker.</w:t>
      </w:r>
    </w:p>
    <w:p w:rsidR="00467311" w:rsidRPr="004B268C" w:rsidRDefault="00467311" w:rsidP="004B268C">
      <w:pPr>
        <w:pStyle w:val="Default"/>
        <w:numPr>
          <w:ilvl w:val="0"/>
          <w:numId w:val="7"/>
        </w:numPr>
        <w:spacing w:after="120"/>
        <w:ind w:right="284"/>
        <w:jc w:val="both"/>
        <w:rPr>
          <w:rFonts w:ascii="Garamond" w:hAnsi="Garamond"/>
        </w:rPr>
      </w:pPr>
      <w:r w:rsidRPr="004B268C">
        <w:rPr>
          <w:rFonts w:ascii="Garamond" w:hAnsi="Garamond"/>
          <w:bCs/>
          <w:color w:val="auto"/>
        </w:rPr>
        <w:t xml:space="preserve">SEBI passed an order, dated 27 February 2019, in the matter of Sunshine Global Agro Limited directing Yogesh Narayan Chand to </w:t>
      </w:r>
      <w:r w:rsidRPr="004B268C">
        <w:rPr>
          <w:rFonts w:ascii="Garamond" w:hAnsi="Garamond"/>
        </w:rPr>
        <w:t xml:space="preserve">abstain from collecting any money from the investors or launch or carry out any Collective Investment Schemes including the scheme which have been identified as a Collective Investment Scheme in the order. </w:t>
      </w:r>
      <w:r w:rsidRPr="004B268C">
        <w:rPr>
          <w:rFonts w:ascii="Garamond" w:hAnsi="Garamond"/>
          <w:bCs/>
          <w:color w:val="auto"/>
        </w:rPr>
        <w:t xml:space="preserve">Yogesh Narayan Chand and others were further directed to </w:t>
      </w:r>
      <w:r w:rsidRPr="004B268C">
        <w:rPr>
          <w:rFonts w:ascii="Garamond" w:hAnsi="Garamond"/>
        </w:rPr>
        <w:t>not to, directly or indirectly, access the securities market, and were further restrained and prohibited from buying, selling or otherwise dealing in the securities market, directly or indirectly in whatsoever manner, for a period of four years.</w:t>
      </w:r>
      <w:r w:rsidRPr="004B268C">
        <w:rPr>
          <w:rFonts w:ascii="Garamond" w:hAnsi="Garamond"/>
          <w:bCs/>
          <w:color w:val="auto"/>
        </w:rPr>
        <w:t xml:space="preserve"> </w:t>
      </w:r>
    </w:p>
    <w:p w:rsidR="00467311" w:rsidRPr="004B268C" w:rsidRDefault="00467311" w:rsidP="004B268C">
      <w:pPr>
        <w:pStyle w:val="Default"/>
        <w:numPr>
          <w:ilvl w:val="0"/>
          <w:numId w:val="7"/>
        </w:numPr>
        <w:spacing w:after="120"/>
        <w:ind w:right="284"/>
        <w:jc w:val="both"/>
        <w:rPr>
          <w:rFonts w:ascii="Garamond" w:hAnsi="Garamond"/>
        </w:rPr>
      </w:pPr>
      <w:r w:rsidRPr="004B268C">
        <w:rPr>
          <w:rFonts w:ascii="Garamond" w:hAnsi="Garamond"/>
          <w:bCs/>
          <w:color w:val="auto"/>
        </w:rPr>
        <w:t xml:space="preserve">SEBI passed an order, dated 28 February 2019, in the matter of trading in Mentha Oil contracts at Multi Commodity Exchange of India restraining North End Foods Marketing Pvt. Ltd and others </w:t>
      </w:r>
      <w:r w:rsidRPr="004B268C">
        <w:rPr>
          <w:rFonts w:ascii="Garamond" w:hAnsi="Garamond"/>
        </w:rPr>
        <w:t>from buying, selling or dealing in the securities market, either directly or indirectly, or being associated with securities market, in any manner whatsoever, till further directions.</w:t>
      </w:r>
    </w:p>
    <w:p w:rsidR="00467311" w:rsidRPr="004B268C" w:rsidRDefault="00467311" w:rsidP="004B268C">
      <w:pPr>
        <w:pStyle w:val="Default"/>
        <w:numPr>
          <w:ilvl w:val="0"/>
          <w:numId w:val="7"/>
        </w:numPr>
        <w:spacing w:after="120"/>
        <w:ind w:right="284"/>
        <w:jc w:val="both"/>
        <w:rPr>
          <w:rFonts w:ascii="Garamond" w:hAnsi="Garamond"/>
        </w:rPr>
      </w:pPr>
      <w:r w:rsidRPr="004B268C">
        <w:rPr>
          <w:rFonts w:ascii="Garamond" w:hAnsi="Garamond"/>
          <w:bCs/>
          <w:color w:val="auto"/>
        </w:rPr>
        <w:t xml:space="preserve">SEBI passed an order, dated 28 February 2019, in the matter of Dredging Corporation of India Limited granting </w:t>
      </w:r>
      <w:r w:rsidRPr="004B268C">
        <w:rPr>
          <w:rFonts w:ascii="Garamond" w:hAnsi="Garamond"/>
        </w:rPr>
        <w:t>exemption to the Acquirers Visakhapatnam Port Trust, Paradip Port Trust, Jawaharlal Nehru Port Trust and Deendayal Port Trust, from complying with the requirements of Regulations 3 and 4 of the Takeover Regulations with respect to the proposed acquisition/exercise of voting rights in respect of Dredging Corporation of India Limited.</w:t>
      </w:r>
    </w:p>
    <w:p w:rsidR="00EE30F3" w:rsidRPr="004B268C" w:rsidRDefault="00467311" w:rsidP="004B268C">
      <w:pPr>
        <w:pStyle w:val="Default"/>
        <w:numPr>
          <w:ilvl w:val="0"/>
          <w:numId w:val="7"/>
        </w:numPr>
        <w:spacing w:after="120"/>
        <w:ind w:right="284"/>
        <w:jc w:val="both"/>
        <w:rPr>
          <w:rFonts w:ascii="Garamond" w:hAnsi="Garamond"/>
        </w:rPr>
      </w:pPr>
      <w:r w:rsidRPr="004B268C">
        <w:rPr>
          <w:rFonts w:ascii="Garamond" w:hAnsi="Garamond"/>
          <w:bCs/>
          <w:color w:val="auto"/>
        </w:rPr>
        <w:t xml:space="preserve">SEBI passed an order, dated 28 February 2019, in the matter of Commex Technology Ltd. </w:t>
      </w:r>
      <w:r w:rsidRPr="004B268C">
        <w:rPr>
          <w:rFonts w:ascii="Garamond" w:hAnsi="Garamond"/>
        </w:rPr>
        <w:t>restraining Commex Technology Ltd. for Five Years; and Adi Cooper and Kishore Hegde for Two years from accessing the securities market and further prohibiting them from buying, selling or otherwise dealing in securities, directly or indirectly.</w:t>
      </w:r>
    </w:p>
    <w:p w:rsidR="00EE30F3" w:rsidRPr="004B268C" w:rsidRDefault="00EE30F3" w:rsidP="004B268C">
      <w:pPr>
        <w:pStyle w:val="Default"/>
        <w:spacing w:after="120"/>
        <w:jc w:val="both"/>
        <w:rPr>
          <w:rFonts w:ascii="Garamond" w:hAnsi="Garamond"/>
        </w:rPr>
      </w:pPr>
    </w:p>
    <w:p w:rsidR="00F4142D" w:rsidRPr="004B268C" w:rsidRDefault="00F4142D" w:rsidP="004B268C">
      <w:pPr>
        <w:spacing w:after="120"/>
        <w:rPr>
          <w:rFonts w:ascii="Garamond" w:hAnsi="Garamond"/>
        </w:rPr>
      </w:pPr>
      <w:r w:rsidRPr="004B268C">
        <w:rPr>
          <w:rFonts w:ascii="Garamond" w:hAnsi="Garamond" w:cs="Arial"/>
          <w:i/>
          <w:szCs w:val="32"/>
        </w:rPr>
        <w:t>Disclaimer: The summary has been prepared for the convenience of readers. In case of any ambiguity</w:t>
      </w:r>
      <w:r w:rsidR="009028E0" w:rsidRPr="004B268C">
        <w:rPr>
          <w:rFonts w:ascii="Garamond" w:hAnsi="Garamond" w:cs="Arial"/>
          <w:i/>
          <w:szCs w:val="32"/>
        </w:rPr>
        <w:t>,</w:t>
      </w:r>
      <w:r w:rsidRPr="004B268C">
        <w:rPr>
          <w:rFonts w:ascii="Garamond" w:hAnsi="Garamond" w:cs="Arial"/>
          <w:i/>
          <w:szCs w:val="32"/>
        </w:rPr>
        <w:t xml:space="preserve"> please refer to the original order.</w:t>
      </w:r>
    </w:p>
    <w:p w:rsidR="00F4142D" w:rsidRPr="004B268C" w:rsidRDefault="00F4142D" w:rsidP="004B268C">
      <w:pPr>
        <w:spacing w:after="120"/>
        <w:jc w:val="both"/>
        <w:outlineLvl w:val="0"/>
        <w:rPr>
          <w:rFonts w:ascii="Garamond" w:hAnsi="Garamond"/>
          <w:b/>
        </w:rPr>
      </w:pPr>
    </w:p>
    <w:sectPr w:rsidR="00F4142D" w:rsidRPr="004B268C" w:rsidSect="00AA4832">
      <w:footerReference w:type="default" r:id="rId47"/>
      <w:pgSz w:w="11906" w:h="16838"/>
      <w:pgMar w:top="1152" w:right="1138"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0B12" w:rsidRDefault="005B0B12" w:rsidP="00E07645">
      <w:r>
        <w:separator/>
      </w:r>
    </w:p>
  </w:endnote>
  <w:endnote w:type="continuationSeparator" w:id="0">
    <w:p w:rsidR="005B0B12" w:rsidRDefault="005B0B12"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Vrinda">
    <w:panose1 w:val="01010600010101010101"/>
    <w:charset w:val="00"/>
    <w:family w:val="auto"/>
    <w:pitch w:val="variable"/>
    <w:sig w:usb0="00010003" w:usb1="00000000" w:usb2="00000000" w:usb3="00000000" w:csb0="00000001" w:csb1="00000000"/>
  </w:font>
  <w:font w:name="Palatino Linotype">
    <w:panose1 w:val="02040502050505030304"/>
    <w:charset w:val="00"/>
    <w:family w:val="roman"/>
    <w:pitch w:val="variable"/>
    <w:sig w:usb0="E0000387" w:usb1="40000013" w:usb2="00000000" w:usb3="00000000" w:csb0="0000019F" w:csb1="00000000"/>
  </w:font>
  <w:font w:name="Helvetica">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0"/>
    <w:family w:val="auto"/>
    <w:pitch w:val="variable"/>
    <w:sig w:usb0="00008003" w:usb1="00000000" w:usb2="00000000" w:usb3="00000000" w:csb0="00000001" w:csb1="00000000"/>
  </w:font>
  <w:font w:name="Rupee Foradian">
    <w:panose1 w:val="020B0603030804020204"/>
    <w:charset w:val="00"/>
    <w:family w:val="swiss"/>
    <w:pitch w:val="variable"/>
    <w:sig w:usb0="800000AF" w:usb1="1000204A" w:usb2="00000000" w:usb3="00000000" w:csb0="00000001" w:csb1="00000000"/>
  </w:font>
  <w:font w:name="Raavi">
    <w:panose1 w:val="020B0802040204020203"/>
    <w:charset w:val="00"/>
    <w:family w:val="auto"/>
    <w:pitch w:val="variable"/>
    <w:sig w:usb0="00020003" w:usb1="00000000" w:usb2="00000000" w:usb3="00000000" w:csb0="00000001" w:csb1="00000000"/>
  </w:font>
  <w:font w:name="Rupee">
    <w:altName w:val="Times New Roman"/>
    <w:panose1 w:val="00000000000000000000"/>
    <w:charset w:val="00"/>
    <w:family w:val="roman"/>
    <w:notTrueType/>
    <w:pitch w:val="default"/>
  </w:font>
  <w:font w:name="NotoSans-Regular">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0590410"/>
      <w:docPartObj>
        <w:docPartGallery w:val="Page Numbers (Bottom of Page)"/>
        <w:docPartUnique/>
      </w:docPartObj>
    </w:sdtPr>
    <w:sdtEndPr>
      <w:rPr>
        <w:color w:val="7F7F7F" w:themeColor="background1" w:themeShade="7F"/>
        <w:spacing w:val="60"/>
      </w:rPr>
    </w:sdtEndPr>
    <w:sdtContent>
      <w:p w:rsidR="002B2DA3" w:rsidRDefault="002B2DA3">
        <w:pPr>
          <w:pStyle w:val="Footer"/>
          <w:pBdr>
            <w:top w:val="single" w:sz="4" w:space="1" w:color="D9D9D9" w:themeColor="background1" w:themeShade="D9"/>
          </w:pBdr>
          <w:jc w:val="right"/>
        </w:pPr>
        <w:r>
          <w:fldChar w:fldCharType="begin"/>
        </w:r>
        <w:r>
          <w:instrText xml:space="preserve"> PAGE   \* MERGEFORMAT </w:instrText>
        </w:r>
        <w:r>
          <w:fldChar w:fldCharType="separate"/>
        </w:r>
        <w:r w:rsidR="00AF4D6F">
          <w:rPr>
            <w:noProof/>
          </w:rPr>
          <w:t>1</w:t>
        </w:r>
        <w:r>
          <w:rPr>
            <w:noProof/>
          </w:rPr>
          <w:fldChar w:fldCharType="end"/>
        </w:r>
        <w:r>
          <w:t xml:space="preserve"> | </w:t>
        </w:r>
        <w:r>
          <w:rPr>
            <w:color w:val="7F7F7F" w:themeColor="background1" w:themeShade="7F"/>
            <w:spacing w:val="60"/>
          </w:rPr>
          <w:t>Page</w:t>
        </w:r>
      </w:p>
    </w:sdtContent>
  </w:sdt>
  <w:p w:rsidR="002B2DA3" w:rsidRDefault="002B2DA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0B12" w:rsidRDefault="005B0B12" w:rsidP="00E07645">
      <w:r>
        <w:separator/>
      </w:r>
    </w:p>
  </w:footnote>
  <w:footnote w:type="continuationSeparator" w:id="0">
    <w:p w:rsidR="005B0B12" w:rsidRDefault="005B0B12" w:rsidP="00E0764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F776E"/>
    <w:multiLevelType w:val="hybridMultilevel"/>
    <w:tmpl w:val="31945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8043595"/>
    <w:multiLevelType w:val="hybridMultilevel"/>
    <w:tmpl w:val="A5C4F5C0"/>
    <w:lvl w:ilvl="0" w:tplc="0409000F">
      <w:start w:val="1"/>
      <w:numFmt w:val="decimal"/>
      <w:lvlText w:val="%1."/>
      <w:lvlJc w:val="left"/>
      <w:pPr>
        <w:ind w:left="1440" w:hanging="360"/>
      </w:pPr>
    </w:lvl>
    <w:lvl w:ilvl="1" w:tplc="04090003">
      <w:numFmt w:val="bullet"/>
      <w:lvlText w:val="•"/>
      <w:lvlJc w:val="left"/>
      <w:pPr>
        <w:ind w:left="2550" w:hanging="750"/>
      </w:pPr>
      <w:rPr>
        <w:rFonts w:ascii="Garamond" w:eastAsiaTheme="minorHAnsi" w:hAnsi="Garamond" w:cstheme="minorBidi" w:hint="default"/>
      </w:rPr>
    </w:lvl>
    <w:lvl w:ilvl="2" w:tplc="01CADA06">
      <w:numFmt w:val="bullet"/>
      <w:lvlText w:val="−"/>
      <w:lvlJc w:val="left"/>
      <w:pPr>
        <w:ind w:left="3060" w:hanging="360"/>
      </w:pPr>
      <w:rPr>
        <w:rFonts w:ascii="Palatino Linotype" w:eastAsiaTheme="minorHAnsi" w:hAnsi="Palatino Linotype" w:cstheme="minorBidi" w:hint="default"/>
      </w:r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2">
    <w:nsid w:val="0F2C3C2A"/>
    <w:multiLevelType w:val="hybridMultilevel"/>
    <w:tmpl w:val="C40A6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C6126A"/>
    <w:multiLevelType w:val="hybridMultilevel"/>
    <w:tmpl w:val="03E6123E"/>
    <w:lvl w:ilvl="0" w:tplc="16A0667C">
      <w:start w:val="1"/>
      <w:numFmt w:val="bullet"/>
      <w:lvlText w:val=""/>
      <w:lvlJc w:val="left"/>
      <w:pPr>
        <w:ind w:left="720" w:hanging="360"/>
      </w:pPr>
      <w:rPr>
        <w:rFonts w:ascii="Symbol" w:hAnsi="Symbol" w:hint="default"/>
        <w:strike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72A7557"/>
    <w:multiLevelType w:val="hybridMultilevel"/>
    <w:tmpl w:val="D2CA5030"/>
    <w:lvl w:ilvl="0" w:tplc="0409000F">
      <w:start w:val="1"/>
      <w:numFmt w:val="decimal"/>
      <w:lvlText w:val="%1."/>
      <w:lvlJc w:val="left"/>
      <w:pPr>
        <w:ind w:left="1440" w:hanging="360"/>
      </w:pPr>
    </w:lvl>
    <w:lvl w:ilvl="1" w:tplc="04090003">
      <w:numFmt w:val="bullet"/>
      <w:lvlText w:val="•"/>
      <w:lvlJc w:val="left"/>
      <w:pPr>
        <w:ind w:left="2550" w:hanging="750"/>
      </w:pPr>
      <w:rPr>
        <w:rFonts w:ascii="Garamond" w:eastAsiaTheme="minorHAnsi" w:hAnsi="Garamond" w:cstheme="minorBidi" w:hint="default"/>
      </w:rPr>
    </w:lvl>
    <w:lvl w:ilvl="2" w:tplc="01CADA06">
      <w:numFmt w:val="bullet"/>
      <w:lvlText w:val="−"/>
      <w:lvlJc w:val="left"/>
      <w:pPr>
        <w:ind w:left="3060" w:hanging="360"/>
      </w:pPr>
      <w:rPr>
        <w:rFonts w:ascii="Palatino Linotype" w:eastAsiaTheme="minorHAnsi" w:hAnsi="Palatino Linotype" w:cstheme="minorBidi" w:hint="default"/>
      </w:r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5">
    <w:nsid w:val="37E0570C"/>
    <w:multiLevelType w:val="hybridMultilevel"/>
    <w:tmpl w:val="271A94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96D5320"/>
    <w:multiLevelType w:val="hybridMultilevel"/>
    <w:tmpl w:val="61209F0E"/>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43641E26"/>
    <w:multiLevelType w:val="hybridMultilevel"/>
    <w:tmpl w:val="3DFA31E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4FE373B3"/>
    <w:multiLevelType w:val="hybridMultilevel"/>
    <w:tmpl w:val="52F874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50477FA3"/>
    <w:multiLevelType w:val="hybridMultilevel"/>
    <w:tmpl w:val="8CA28E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5319394B"/>
    <w:multiLevelType w:val="hybridMultilevel"/>
    <w:tmpl w:val="77DEDB28"/>
    <w:lvl w:ilvl="0" w:tplc="3498F4F6">
      <w:start w:val="1"/>
      <w:numFmt w:val="upperRoman"/>
      <w:lvlText w:val="%1."/>
      <w:lvlJc w:val="righ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B7D105C"/>
    <w:multiLevelType w:val="hybridMultilevel"/>
    <w:tmpl w:val="BC2C9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78E726F"/>
    <w:multiLevelType w:val="hybridMultilevel"/>
    <w:tmpl w:val="46FA6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CF4261C"/>
    <w:multiLevelType w:val="hybridMultilevel"/>
    <w:tmpl w:val="CDCEE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1EC4468"/>
    <w:multiLevelType w:val="hybridMultilevel"/>
    <w:tmpl w:val="429A8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3D46ADF"/>
    <w:multiLevelType w:val="hybridMultilevel"/>
    <w:tmpl w:val="E6A4BE5E"/>
    <w:lvl w:ilvl="0" w:tplc="9808F264">
      <w:start w:val="1"/>
      <w:numFmt w:val="upperLetter"/>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5"/>
  </w:num>
  <w:num w:numId="2">
    <w:abstractNumId w:val="10"/>
  </w:num>
  <w:num w:numId="3">
    <w:abstractNumId w:val="7"/>
  </w:num>
  <w:num w:numId="4">
    <w:abstractNumId w:val="0"/>
  </w:num>
  <w:num w:numId="5">
    <w:abstractNumId w:val="9"/>
  </w:num>
  <w:num w:numId="6">
    <w:abstractNumId w:val="8"/>
  </w:num>
  <w:num w:numId="7">
    <w:abstractNumId w:val="3"/>
  </w:num>
  <w:num w:numId="8">
    <w:abstractNumId w:val="6"/>
  </w:num>
  <w:num w:numId="9">
    <w:abstractNumId w:val="4"/>
  </w:num>
  <w:num w:numId="10">
    <w:abstractNumId w:val="1"/>
  </w:num>
  <w:num w:numId="11">
    <w:abstractNumId w:val="13"/>
  </w:num>
  <w:num w:numId="12">
    <w:abstractNumId w:val="11"/>
  </w:num>
  <w:num w:numId="13">
    <w:abstractNumId w:val="5"/>
  </w:num>
  <w:num w:numId="14">
    <w:abstractNumId w:val="14"/>
  </w:num>
  <w:num w:numId="15">
    <w:abstractNumId w:val="2"/>
  </w:num>
  <w:num w:numId="16">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1102"/>
    <w:rsid w:val="0000238B"/>
    <w:rsid w:val="0000779E"/>
    <w:rsid w:val="00007C89"/>
    <w:rsid w:val="000100A3"/>
    <w:rsid w:val="00013A01"/>
    <w:rsid w:val="00015EB0"/>
    <w:rsid w:val="00023E03"/>
    <w:rsid w:val="00025D84"/>
    <w:rsid w:val="00025F5A"/>
    <w:rsid w:val="000345C2"/>
    <w:rsid w:val="00035307"/>
    <w:rsid w:val="0003625D"/>
    <w:rsid w:val="00044819"/>
    <w:rsid w:val="00047D68"/>
    <w:rsid w:val="00050035"/>
    <w:rsid w:val="00050B9F"/>
    <w:rsid w:val="00050DB7"/>
    <w:rsid w:val="00052147"/>
    <w:rsid w:val="00052A9C"/>
    <w:rsid w:val="00063FF5"/>
    <w:rsid w:val="00065553"/>
    <w:rsid w:val="00071CB1"/>
    <w:rsid w:val="000756AD"/>
    <w:rsid w:val="0007759D"/>
    <w:rsid w:val="00087B33"/>
    <w:rsid w:val="00090DEF"/>
    <w:rsid w:val="00091593"/>
    <w:rsid w:val="000940CA"/>
    <w:rsid w:val="000A3429"/>
    <w:rsid w:val="000A60AC"/>
    <w:rsid w:val="000A7F95"/>
    <w:rsid w:val="000B0DD6"/>
    <w:rsid w:val="000B5449"/>
    <w:rsid w:val="000C02A3"/>
    <w:rsid w:val="000C0C5B"/>
    <w:rsid w:val="000C1CD7"/>
    <w:rsid w:val="000C69C1"/>
    <w:rsid w:val="000D0B32"/>
    <w:rsid w:val="000D4867"/>
    <w:rsid w:val="000E1E3A"/>
    <w:rsid w:val="000E2A24"/>
    <w:rsid w:val="000E3746"/>
    <w:rsid w:val="000E46BB"/>
    <w:rsid w:val="000F0752"/>
    <w:rsid w:val="000F1858"/>
    <w:rsid w:val="000F7F35"/>
    <w:rsid w:val="00100211"/>
    <w:rsid w:val="00100F24"/>
    <w:rsid w:val="0010406A"/>
    <w:rsid w:val="001041E6"/>
    <w:rsid w:val="001045BE"/>
    <w:rsid w:val="001048AC"/>
    <w:rsid w:val="0011033C"/>
    <w:rsid w:val="00110766"/>
    <w:rsid w:val="00112036"/>
    <w:rsid w:val="00112407"/>
    <w:rsid w:val="00114AC5"/>
    <w:rsid w:val="001164CA"/>
    <w:rsid w:val="00123B02"/>
    <w:rsid w:val="00125AF5"/>
    <w:rsid w:val="0012648B"/>
    <w:rsid w:val="00130306"/>
    <w:rsid w:val="00135277"/>
    <w:rsid w:val="00141041"/>
    <w:rsid w:val="00143013"/>
    <w:rsid w:val="00150006"/>
    <w:rsid w:val="00151C67"/>
    <w:rsid w:val="001523E1"/>
    <w:rsid w:val="0015597F"/>
    <w:rsid w:val="00160183"/>
    <w:rsid w:val="00160C39"/>
    <w:rsid w:val="00160DEC"/>
    <w:rsid w:val="00166D74"/>
    <w:rsid w:val="00172010"/>
    <w:rsid w:val="001720CD"/>
    <w:rsid w:val="00175977"/>
    <w:rsid w:val="00177824"/>
    <w:rsid w:val="00181CF5"/>
    <w:rsid w:val="001852D7"/>
    <w:rsid w:val="001912C3"/>
    <w:rsid w:val="001961E8"/>
    <w:rsid w:val="001A2361"/>
    <w:rsid w:val="001A32D0"/>
    <w:rsid w:val="001A718E"/>
    <w:rsid w:val="001A7DC2"/>
    <w:rsid w:val="001B1D3E"/>
    <w:rsid w:val="001B4C10"/>
    <w:rsid w:val="001B7870"/>
    <w:rsid w:val="001C0BB1"/>
    <w:rsid w:val="001C4A6D"/>
    <w:rsid w:val="001D1729"/>
    <w:rsid w:val="001D52A6"/>
    <w:rsid w:val="001D56CB"/>
    <w:rsid w:val="001D65D3"/>
    <w:rsid w:val="001D6911"/>
    <w:rsid w:val="001E2A24"/>
    <w:rsid w:val="001E4F7E"/>
    <w:rsid w:val="001E4FFA"/>
    <w:rsid w:val="001F19F8"/>
    <w:rsid w:val="001F74AB"/>
    <w:rsid w:val="002005C8"/>
    <w:rsid w:val="00200742"/>
    <w:rsid w:val="00200C72"/>
    <w:rsid w:val="00201776"/>
    <w:rsid w:val="00201C91"/>
    <w:rsid w:val="002028AC"/>
    <w:rsid w:val="002135D8"/>
    <w:rsid w:val="00217822"/>
    <w:rsid w:val="002230FC"/>
    <w:rsid w:val="00223671"/>
    <w:rsid w:val="00226A46"/>
    <w:rsid w:val="002322F9"/>
    <w:rsid w:val="002413B5"/>
    <w:rsid w:val="00242DB6"/>
    <w:rsid w:val="002450DA"/>
    <w:rsid w:val="00245553"/>
    <w:rsid w:val="00250D94"/>
    <w:rsid w:val="00250FFA"/>
    <w:rsid w:val="002523ED"/>
    <w:rsid w:val="00252B54"/>
    <w:rsid w:val="0025439E"/>
    <w:rsid w:val="00255283"/>
    <w:rsid w:val="002613A3"/>
    <w:rsid w:val="00261425"/>
    <w:rsid w:val="00267A7C"/>
    <w:rsid w:val="0027231F"/>
    <w:rsid w:val="002726A8"/>
    <w:rsid w:val="00272F12"/>
    <w:rsid w:val="00273AAE"/>
    <w:rsid w:val="002776BE"/>
    <w:rsid w:val="00280740"/>
    <w:rsid w:val="00280CFD"/>
    <w:rsid w:val="00283974"/>
    <w:rsid w:val="00284BC2"/>
    <w:rsid w:val="002852AB"/>
    <w:rsid w:val="00286614"/>
    <w:rsid w:val="00287570"/>
    <w:rsid w:val="002924F3"/>
    <w:rsid w:val="002A0BBE"/>
    <w:rsid w:val="002A51F7"/>
    <w:rsid w:val="002A54FF"/>
    <w:rsid w:val="002B14AC"/>
    <w:rsid w:val="002B2DA3"/>
    <w:rsid w:val="002B6225"/>
    <w:rsid w:val="002B666F"/>
    <w:rsid w:val="002C4D20"/>
    <w:rsid w:val="002C5F1B"/>
    <w:rsid w:val="002C66D0"/>
    <w:rsid w:val="002D3E7C"/>
    <w:rsid w:val="002D456A"/>
    <w:rsid w:val="002D46D6"/>
    <w:rsid w:val="002D6708"/>
    <w:rsid w:val="002E006D"/>
    <w:rsid w:val="002E11AF"/>
    <w:rsid w:val="002E154E"/>
    <w:rsid w:val="002E2589"/>
    <w:rsid w:val="002E2C31"/>
    <w:rsid w:val="002E320D"/>
    <w:rsid w:val="002F41CD"/>
    <w:rsid w:val="002F70EB"/>
    <w:rsid w:val="00300262"/>
    <w:rsid w:val="00301C6A"/>
    <w:rsid w:val="00302A9D"/>
    <w:rsid w:val="00305716"/>
    <w:rsid w:val="00305806"/>
    <w:rsid w:val="00312FCE"/>
    <w:rsid w:val="00314ED5"/>
    <w:rsid w:val="00320186"/>
    <w:rsid w:val="003213E1"/>
    <w:rsid w:val="00322C6F"/>
    <w:rsid w:val="0032394B"/>
    <w:rsid w:val="003245DD"/>
    <w:rsid w:val="003327D8"/>
    <w:rsid w:val="00334516"/>
    <w:rsid w:val="00336FC3"/>
    <w:rsid w:val="00344ED1"/>
    <w:rsid w:val="00345367"/>
    <w:rsid w:val="00352307"/>
    <w:rsid w:val="0035797F"/>
    <w:rsid w:val="0036493B"/>
    <w:rsid w:val="00365153"/>
    <w:rsid w:val="00365B58"/>
    <w:rsid w:val="003671F5"/>
    <w:rsid w:val="0037133A"/>
    <w:rsid w:val="0037442E"/>
    <w:rsid w:val="00374E1A"/>
    <w:rsid w:val="00376A7D"/>
    <w:rsid w:val="0038403A"/>
    <w:rsid w:val="00384E16"/>
    <w:rsid w:val="00387126"/>
    <w:rsid w:val="0039654D"/>
    <w:rsid w:val="00396887"/>
    <w:rsid w:val="00397E98"/>
    <w:rsid w:val="003A21E5"/>
    <w:rsid w:val="003B2AA2"/>
    <w:rsid w:val="003B2FD2"/>
    <w:rsid w:val="003B32EB"/>
    <w:rsid w:val="003B6169"/>
    <w:rsid w:val="003C221C"/>
    <w:rsid w:val="003C58E7"/>
    <w:rsid w:val="003C6A4A"/>
    <w:rsid w:val="003D15FC"/>
    <w:rsid w:val="003D2B66"/>
    <w:rsid w:val="003D6074"/>
    <w:rsid w:val="003E14ED"/>
    <w:rsid w:val="003E2C03"/>
    <w:rsid w:val="003E70CB"/>
    <w:rsid w:val="003F07E9"/>
    <w:rsid w:val="003F537A"/>
    <w:rsid w:val="003F5FDC"/>
    <w:rsid w:val="00400E77"/>
    <w:rsid w:val="00401520"/>
    <w:rsid w:val="004018C7"/>
    <w:rsid w:val="004062CF"/>
    <w:rsid w:val="00406C29"/>
    <w:rsid w:val="00407A8F"/>
    <w:rsid w:val="00407F12"/>
    <w:rsid w:val="00410017"/>
    <w:rsid w:val="00411E78"/>
    <w:rsid w:val="004139A3"/>
    <w:rsid w:val="004205AB"/>
    <w:rsid w:val="00421135"/>
    <w:rsid w:val="00424C9E"/>
    <w:rsid w:val="00432A89"/>
    <w:rsid w:val="00432CD0"/>
    <w:rsid w:val="004333ED"/>
    <w:rsid w:val="00443F04"/>
    <w:rsid w:val="00444568"/>
    <w:rsid w:val="00445C99"/>
    <w:rsid w:val="00446ADD"/>
    <w:rsid w:val="004509F8"/>
    <w:rsid w:val="00451CE6"/>
    <w:rsid w:val="0045332B"/>
    <w:rsid w:val="004539CC"/>
    <w:rsid w:val="00454926"/>
    <w:rsid w:val="00454BBE"/>
    <w:rsid w:val="00467311"/>
    <w:rsid w:val="0046745E"/>
    <w:rsid w:val="00475EA5"/>
    <w:rsid w:val="00476DC3"/>
    <w:rsid w:val="00477023"/>
    <w:rsid w:val="00486020"/>
    <w:rsid w:val="004877E5"/>
    <w:rsid w:val="00487E40"/>
    <w:rsid w:val="004917F4"/>
    <w:rsid w:val="0049180F"/>
    <w:rsid w:val="004918D4"/>
    <w:rsid w:val="004925AA"/>
    <w:rsid w:val="00492688"/>
    <w:rsid w:val="00493829"/>
    <w:rsid w:val="00493C95"/>
    <w:rsid w:val="00494C6A"/>
    <w:rsid w:val="00497D04"/>
    <w:rsid w:val="004A07E7"/>
    <w:rsid w:val="004A0A89"/>
    <w:rsid w:val="004A27E6"/>
    <w:rsid w:val="004B0848"/>
    <w:rsid w:val="004B124F"/>
    <w:rsid w:val="004B2189"/>
    <w:rsid w:val="004B268C"/>
    <w:rsid w:val="004B3487"/>
    <w:rsid w:val="004B50FF"/>
    <w:rsid w:val="004B58D5"/>
    <w:rsid w:val="004B5C1C"/>
    <w:rsid w:val="004B7E75"/>
    <w:rsid w:val="004C06B8"/>
    <w:rsid w:val="004C5B13"/>
    <w:rsid w:val="004C6C55"/>
    <w:rsid w:val="004C755E"/>
    <w:rsid w:val="004D20E5"/>
    <w:rsid w:val="004D4725"/>
    <w:rsid w:val="004E1212"/>
    <w:rsid w:val="004E1A56"/>
    <w:rsid w:val="004E22DF"/>
    <w:rsid w:val="004E2725"/>
    <w:rsid w:val="004E6A68"/>
    <w:rsid w:val="004E7938"/>
    <w:rsid w:val="004F324A"/>
    <w:rsid w:val="004F3FF0"/>
    <w:rsid w:val="004F560A"/>
    <w:rsid w:val="005009D2"/>
    <w:rsid w:val="00501CB2"/>
    <w:rsid w:val="005021A7"/>
    <w:rsid w:val="005029BF"/>
    <w:rsid w:val="00502A7D"/>
    <w:rsid w:val="00512441"/>
    <w:rsid w:val="00513E19"/>
    <w:rsid w:val="00515F72"/>
    <w:rsid w:val="00520349"/>
    <w:rsid w:val="0052378B"/>
    <w:rsid w:val="005260F0"/>
    <w:rsid w:val="00530099"/>
    <w:rsid w:val="005364CA"/>
    <w:rsid w:val="0053744E"/>
    <w:rsid w:val="00542B8F"/>
    <w:rsid w:val="00546F34"/>
    <w:rsid w:val="005473DC"/>
    <w:rsid w:val="00550718"/>
    <w:rsid w:val="00550730"/>
    <w:rsid w:val="0055100E"/>
    <w:rsid w:val="00551F25"/>
    <w:rsid w:val="005522D0"/>
    <w:rsid w:val="00554852"/>
    <w:rsid w:val="0055674D"/>
    <w:rsid w:val="005609FB"/>
    <w:rsid w:val="00560A50"/>
    <w:rsid w:val="00564EEF"/>
    <w:rsid w:val="0056709D"/>
    <w:rsid w:val="00571F43"/>
    <w:rsid w:val="00576EC5"/>
    <w:rsid w:val="00582803"/>
    <w:rsid w:val="00586AF5"/>
    <w:rsid w:val="00586E40"/>
    <w:rsid w:val="00586E62"/>
    <w:rsid w:val="0058711A"/>
    <w:rsid w:val="005875A8"/>
    <w:rsid w:val="0059339E"/>
    <w:rsid w:val="00593652"/>
    <w:rsid w:val="00594DA2"/>
    <w:rsid w:val="00595B51"/>
    <w:rsid w:val="005A0A20"/>
    <w:rsid w:val="005A337E"/>
    <w:rsid w:val="005A7521"/>
    <w:rsid w:val="005B0B12"/>
    <w:rsid w:val="005B3173"/>
    <w:rsid w:val="005B3403"/>
    <w:rsid w:val="005B5428"/>
    <w:rsid w:val="005C71B0"/>
    <w:rsid w:val="005D00F1"/>
    <w:rsid w:val="005D07CE"/>
    <w:rsid w:val="005D2B03"/>
    <w:rsid w:val="005D6AAD"/>
    <w:rsid w:val="005E2A41"/>
    <w:rsid w:val="005E4FE5"/>
    <w:rsid w:val="005F0356"/>
    <w:rsid w:val="005F31CB"/>
    <w:rsid w:val="005F3D2C"/>
    <w:rsid w:val="005F5DCF"/>
    <w:rsid w:val="005F5E77"/>
    <w:rsid w:val="006014E5"/>
    <w:rsid w:val="006027CD"/>
    <w:rsid w:val="00605DA3"/>
    <w:rsid w:val="006100A1"/>
    <w:rsid w:val="006116C3"/>
    <w:rsid w:val="006124BB"/>
    <w:rsid w:val="00614200"/>
    <w:rsid w:val="00615396"/>
    <w:rsid w:val="00615DB4"/>
    <w:rsid w:val="00616922"/>
    <w:rsid w:val="00617923"/>
    <w:rsid w:val="00617B35"/>
    <w:rsid w:val="0062348C"/>
    <w:rsid w:val="00634228"/>
    <w:rsid w:val="006363AE"/>
    <w:rsid w:val="006372C3"/>
    <w:rsid w:val="0064028C"/>
    <w:rsid w:val="00642251"/>
    <w:rsid w:val="00642FAF"/>
    <w:rsid w:val="00643350"/>
    <w:rsid w:val="00645D01"/>
    <w:rsid w:val="00645EC8"/>
    <w:rsid w:val="0064762E"/>
    <w:rsid w:val="006479A5"/>
    <w:rsid w:val="006514AD"/>
    <w:rsid w:val="006538B5"/>
    <w:rsid w:val="00653B6D"/>
    <w:rsid w:val="00654C57"/>
    <w:rsid w:val="0065637B"/>
    <w:rsid w:val="00657483"/>
    <w:rsid w:val="006626C6"/>
    <w:rsid w:val="006639C3"/>
    <w:rsid w:val="00665D17"/>
    <w:rsid w:val="00671022"/>
    <w:rsid w:val="00671E15"/>
    <w:rsid w:val="00673377"/>
    <w:rsid w:val="006746EC"/>
    <w:rsid w:val="00677E70"/>
    <w:rsid w:val="00682024"/>
    <w:rsid w:val="006826F4"/>
    <w:rsid w:val="0068361F"/>
    <w:rsid w:val="0068366D"/>
    <w:rsid w:val="006849C4"/>
    <w:rsid w:val="00684ED5"/>
    <w:rsid w:val="006859F1"/>
    <w:rsid w:val="00690A86"/>
    <w:rsid w:val="00690E9B"/>
    <w:rsid w:val="00691339"/>
    <w:rsid w:val="00695284"/>
    <w:rsid w:val="00695903"/>
    <w:rsid w:val="00695C3D"/>
    <w:rsid w:val="006969B4"/>
    <w:rsid w:val="00697927"/>
    <w:rsid w:val="006A250E"/>
    <w:rsid w:val="006A2996"/>
    <w:rsid w:val="006A4BB9"/>
    <w:rsid w:val="006B43CF"/>
    <w:rsid w:val="006B5B65"/>
    <w:rsid w:val="006B7508"/>
    <w:rsid w:val="006B7539"/>
    <w:rsid w:val="006C2176"/>
    <w:rsid w:val="006C2C41"/>
    <w:rsid w:val="006C59F0"/>
    <w:rsid w:val="006C682D"/>
    <w:rsid w:val="006D3C59"/>
    <w:rsid w:val="006D3C88"/>
    <w:rsid w:val="006D681F"/>
    <w:rsid w:val="006D6C4F"/>
    <w:rsid w:val="006D6D8A"/>
    <w:rsid w:val="006D7221"/>
    <w:rsid w:val="006D7BD6"/>
    <w:rsid w:val="006E0F44"/>
    <w:rsid w:val="006E2811"/>
    <w:rsid w:val="006E55B1"/>
    <w:rsid w:val="006E6E74"/>
    <w:rsid w:val="006E776E"/>
    <w:rsid w:val="006F01A5"/>
    <w:rsid w:val="006F06C7"/>
    <w:rsid w:val="006F44AE"/>
    <w:rsid w:val="00700AEB"/>
    <w:rsid w:val="00710440"/>
    <w:rsid w:val="007114D3"/>
    <w:rsid w:val="00711718"/>
    <w:rsid w:val="007132FE"/>
    <w:rsid w:val="007147ED"/>
    <w:rsid w:val="0071730D"/>
    <w:rsid w:val="00717DC5"/>
    <w:rsid w:val="00720132"/>
    <w:rsid w:val="00720C83"/>
    <w:rsid w:val="00720DF8"/>
    <w:rsid w:val="00726C7B"/>
    <w:rsid w:val="00731C6E"/>
    <w:rsid w:val="00732E77"/>
    <w:rsid w:val="0073327C"/>
    <w:rsid w:val="00734548"/>
    <w:rsid w:val="00735976"/>
    <w:rsid w:val="007402CA"/>
    <w:rsid w:val="007435FE"/>
    <w:rsid w:val="007440F1"/>
    <w:rsid w:val="00747D9D"/>
    <w:rsid w:val="007509C8"/>
    <w:rsid w:val="007518D6"/>
    <w:rsid w:val="007522E5"/>
    <w:rsid w:val="0075347C"/>
    <w:rsid w:val="00753513"/>
    <w:rsid w:val="007550EC"/>
    <w:rsid w:val="007577D0"/>
    <w:rsid w:val="007617CE"/>
    <w:rsid w:val="00762299"/>
    <w:rsid w:val="00765EB9"/>
    <w:rsid w:val="00766DB9"/>
    <w:rsid w:val="00771E4F"/>
    <w:rsid w:val="00776955"/>
    <w:rsid w:val="00780EC3"/>
    <w:rsid w:val="00781B94"/>
    <w:rsid w:val="00787D73"/>
    <w:rsid w:val="007928D1"/>
    <w:rsid w:val="00795793"/>
    <w:rsid w:val="007A291E"/>
    <w:rsid w:val="007A5E90"/>
    <w:rsid w:val="007A6867"/>
    <w:rsid w:val="007A7B9F"/>
    <w:rsid w:val="007B0EEB"/>
    <w:rsid w:val="007B4C1C"/>
    <w:rsid w:val="007B6607"/>
    <w:rsid w:val="007C0487"/>
    <w:rsid w:val="007C18BF"/>
    <w:rsid w:val="007C221C"/>
    <w:rsid w:val="007C5387"/>
    <w:rsid w:val="007C7A52"/>
    <w:rsid w:val="007D7DA7"/>
    <w:rsid w:val="007E05EA"/>
    <w:rsid w:val="007E577F"/>
    <w:rsid w:val="007E596B"/>
    <w:rsid w:val="007E5DD0"/>
    <w:rsid w:val="007E60FA"/>
    <w:rsid w:val="007F0208"/>
    <w:rsid w:val="007F09C0"/>
    <w:rsid w:val="008017AA"/>
    <w:rsid w:val="00801BE9"/>
    <w:rsid w:val="00806B1F"/>
    <w:rsid w:val="00812A19"/>
    <w:rsid w:val="008169AF"/>
    <w:rsid w:val="00817F15"/>
    <w:rsid w:val="00821A1D"/>
    <w:rsid w:val="00823298"/>
    <w:rsid w:val="00824949"/>
    <w:rsid w:val="00830A1B"/>
    <w:rsid w:val="00831200"/>
    <w:rsid w:val="008316D5"/>
    <w:rsid w:val="00833A5C"/>
    <w:rsid w:val="00835294"/>
    <w:rsid w:val="008352A8"/>
    <w:rsid w:val="00836FAC"/>
    <w:rsid w:val="0083773A"/>
    <w:rsid w:val="00837D47"/>
    <w:rsid w:val="00837E30"/>
    <w:rsid w:val="00840E67"/>
    <w:rsid w:val="008434E0"/>
    <w:rsid w:val="00847245"/>
    <w:rsid w:val="00854774"/>
    <w:rsid w:val="00854782"/>
    <w:rsid w:val="00856241"/>
    <w:rsid w:val="00864747"/>
    <w:rsid w:val="00865AF9"/>
    <w:rsid w:val="00867B1A"/>
    <w:rsid w:val="00870826"/>
    <w:rsid w:val="0087315B"/>
    <w:rsid w:val="00876AA6"/>
    <w:rsid w:val="008846F1"/>
    <w:rsid w:val="00885921"/>
    <w:rsid w:val="00885FEE"/>
    <w:rsid w:val="00897679"/>
    <w:rsid w:val="008A0A4E"/>
    <w:rsid w:val="008A3113"/>
    <w:rsid w:val="008A7F54"/>
    <w:rsid w:val="008B2874"/>
    <w:rsid w:val="008B361B"/>
    <w:rsid w:val="008B586C"/>
    <w:rsid w:val="008B60BD"/>
    <w:rsid w:val="008B6B2A"/>
    <w:rsid w:val="008C4815"/>
    <w:rsid w:val="008C5EBB"/>
    <w:rsid w:val="008D1040"/>
    <w:rsid w:val="008D6416"/>
    <w:rsid w:val="008D6ED3"/>
    <w:rsid w:val="008E0D37"/>
    <w:rsid w:val="008E4CD7"/>
    <w:rsid w:val="008E5FAA"/>
    <w:rsid w:val="008E641D"/>
    <w:rsid w:val="008E68CC"/>
    <w:rsid w:val="008F0ED7"/>
    <w:rsid w:val="008F3465"/>
    <w:rsid w:val="008F720E"/>
    <w:rsid w:val="009024A5"/>
    <w:rsid w:val="009028E0"/>
    <w:rsid w:val="00902F72"/>
    <w:rsid w:val="0090344A"/>
    <w:rsid w:val="0090754B"/>
    <w:rsid w:val="009158AA"/>
    <w:rsid w:val="00917022"/>
    <w:rsid w:val="0092057C"/>
    <w:rsid w:val="0092061B"/>
    <w:rsid w:val="00920C84"/>
    <w:rsid w:val="00920F02"/>
    <w:rsid w:val="009217B7"/>
    <w:rsid w:val="00924455"/>
    <w:rsid w:val="00926673"/>
    <w:rsid w:val="00927485"/>
    <w:rsid w:val="00927D43"/>
    <w:rsid w:val="009330DA"/>
    <w:rsid w:val="009357E5"/>
    <w:rsid w:val="009373C9"/>
    <w:rsid w:val="009402E0"/>
    <w:rsid w:val="0094265B"/>
    <w:rsid w:val="0094581E"/>
    <w:rsid w:val="0094583D"/>
    <w:rsid w:val="009557F5"/>
    <w:rsid w:val="00956696"/>
    <w:rsid w:val="009568CA"/>
    <w:rsid w:val="00970201"/>
    <w:rsid w:val="00971402"/>
    <w:rsid w:val="00980A15"/>
    <w:rsid w:val="0098602A"/>
    <w:rsid w:val="00986146"/>
    <w:rsid w:val="00986199"/>
    <w:rsid w:val="00986BF2"/>
    <w:rsid w:val="00986F56"/>
    <w:rsid w:val="009872FF"/>
    <w:rsid w:val="00992888"/>
    <w:rsid w:val="009947F1"/>
    <w:rsid w:val="00994860"/>
    <w:rsid w:val="00994F03"/>
    <w:rsid w:val="009A01F1"/>
    <w:rsid w:val="009A1D3C"/>
    <w:rsid w:val="009A5C7C"/>
    <w:rsid w:val="009A690B"/>
    <w:rsid w:val="009A6A9E"/>
    <w:rsid w:val="009A7C41"/>
    <w:rsid w:val="009A7F44"/>
    <w:rsid w:val="009B0BA2"/>
    <w:rsid w:val="009B1322"/>
    <w:rsid w:val="009B1CBC"/>
    <w:rsid w:val="009B2029"/>
    <w:rsid w:val="009B2ABB"/>
    <w:rsid w:val="009B57E3"/>
    <w:rsid w:val="009B6859"/>
    <w:rsid w:val="009C2D4D"/>
    <w:rsid w:val="009C313D"/>
    <w:rsid w:val="009C60FB"/>
    <w:rsid w:val="009D3922"/>
    <w:rsid w:val="009D771F"/>
    <w:rsid w:val="009E258D"/>
    <w:rsid w:val="009E3AD0"/>
    <w:rsid w:val="009E4DF6"/>
    <w:rsid w:val="009F13C5"/>
    <w:rsid w:val="009F1734"/>
    <w:rsid w:val="009F3B03"/>
    <w:rsid w:val="009F3E40"/>
    <w:rsid w:val="009F669E"/>
    <w:rsid w:val="009F6D53"/>
    <w:rsid w:val="009F6F66"/>
    <w:rsid w:val="00A0126B"/>
    <w:rsid w:val="00A01720"/>
    <w:rsid w:val="00A02454"/>
    <w:rsid w:val="00A072C1"/>
    <w:rsid w:val="00A134B2"/>
    <w:rsid w:val="00A139E6"/>
    <w:rsid w:val="00A14968"/>
    <w:rsid w:val="00A17085"/>
    <w:rsid w:val="00A21509"/>
    <w:rsid w:val="00A250DA"/>
    <w:rsid w:val="00A26E55"/>
    <w:rsid w:val="00A27D3E"/>
    <w:rsid w:val="00A30618"/>
    <w:rsid w:val="00A31EA1"/>
    <w:rsid w:val="00A32146"/>
    <w:rsid w:val="00A33C7F"/>
    <w:rsid w:val="00A35768"/>
    <w:rsid w:val="00A446B7"/>
    <w:rsid w:val="00A45698"/>
    <w:rsid w:val="00A47ED7"/>
    <w:rsid w:val="00A541BE"/>
    <w:rsid w:val="00A55C89"/>
    <w:rsid w:val="00A56023"/>
    <w:rsid w:val="00A64F56"/>
    <w:rsid w:val="00A65A24"/>
    <w:rsid w:val="00A70308"/>
    <w:rsid w:val="00A7097C"/>
    <w:rsid w:val="00A712FA"/>
    <w:rsid w:val="00A754AA"/>
    <w:rsid w:val="00A77112"/>
    <w:rsid w:val="00A77A56"/>
    <w:rsid w:val="00A80438"/>
    <w:rsid w:val="00A81FCE"/>
    <w:rsid w:val="00A839BC"/>
    <w:rsid w:val="00A97396"/>
    <w:rsid w:val="00AA4832"/>
    <w:rsid w:val="00AA788E"/>
    <w:rsid w:val="00AB1FF4"/>
    <w:rsid w:val="00AB38CA"/>
    <w:rsid w:val="00AB511C"/>
    <w:rsid w:val="00AB6456"/>
    <w:rsid w:val="00AC0F50"/>
    <w:rsid w:val="00AC19B8"/>
    <w:rsid w:val="00AC4CEB"/>
    <w:rsid w:val="00AD5A34"/>
    <w:rsid w:val="00AD7686"/>
    <w:rsid w:val="00AE162B"/>
    <w:rsid w:val="00AE2057"/>
    <w:rsid w:val="00AE5BDE"/>
    <w:rsid w:val="00AF1491"/>
    <w:rsid w:val="00AF2836"/>
    <w:rsid w:val="00AF3DB0"/>
    <w:rsid w:val="00AF4D6F"/>
    <w:rsid w:val="00AF59E7"/>
    <w:rsid w:val="00AF74AA"/>
    <w:rsid w:val="00B0603F"/>
    <w:rsid w:val="00B07E11"/>
    <w:rsid w:val="00B10FB3"/>
    <w:rsid w:val="00B13314"/>
    <w:rsid w:val="00B15323"/>
    <w:rsid w:val="00B21A9F"/>
    <w:rsid w:val="00B23269"/>
    <w:rsid w:val="00B25DA6"/>
    <w:rsid w:val="00B27023"/>
    <w:rsid w:val="00B31B5A"/>
    <w:rsid w:val="00B324E6"/>
    <w:rsid w:val="00B372D9"/>
    <w:rsid w:val="00B37ABA"/>
    <w:rsid w:val="00B37E5E"/>
    <w:rsid w:val="00B40AE4"/>
    <w:rsid w:val="00B40CCB"/>
    <w:rsid w:val="00B42B1C"/>
    <w:rsid w:val="00B519C5"/>
    <w:rsid w:val="00B551E1"/>
    <w:rsid w:val="00B5660F"/>
    <w:rsid w:val="00B600D9"/>
    <w:rsid w:val="00B64466"/>
    <w:rsid w:val="00B66852"/>
    <w:rsid w:val="00B7072F"/>
    <w:rsid w:val="00B805E4"/>
    <w:rsid w:val="00B80DAE"/>
    <w:rsid w:val="00B8325C"/>
    <w:rsid w:val="00B833BF"/>
    <w:rsid w:val="00B87DCC"/>
    <w:rsid w:val="00B91017"/>
    <w:rsid w:val="00B92845"/>
    <w:rsid w:val="00B9607F"/>
    <w:rsid w:val="00B9731F"/>
    <w:rsid w:val="00BA0423"/>
    <w:rsid w:val="00BA7D55"/>
    <w:rsid w:val="00BC079B"/>
    <w:rsid w:val="00BC4B77"/>
    <w:rsid w:val="00BC50AF"/>
    <w:rsid w:val="00BD17AA"/>
    <w:rsid w:val="00BD2401"/>
    <w:rsid w:val="00BD2932"/>
    <w:rsid w:val="00BD5205"/>
    <w:rsid w:val="00BD7552"/>
    <w:rsid w:val="00BD7D76"/>
    <w:rsid w:val="00BE0246"/>
    <w:rsid w:val="00BE423B"/>
    <w:rsid w:val="00BE7030"/>
    <w:rsid w:val="00BE779E"/>
    <w:rsid w:val="00BF007D"/>
    <w:rsid w:val="00BF447E"/>
    <w:rsid w:val="00BF567D"/>
    <w:rsid w:val="00C0009A"/>
    <w:rsid w:val="00C133E4"/>
    <w:rsid w:val="00C15A80"/>
    <w:rsid w:val="00C16464"/>
    <w:rsid w:val="00C17881"/>
    <w:rsid w:val="00C27038"/>
    <w:rsid w:val="00C35459"/>
    <w:rsid w:val="00C3589A"/>
    <w:rsid w:val="00C40C24"/>
    <w:rsid w:val="00C44AF9"/>
    <w:rsid w:val="00C46B1C"/>
    <w:rsid w:val="00C51B98"/>
    <w:rsid w:val="00C53BC6"/>
    <w:rsid w:val="00C54416"/>
    <w:rsid w:val="00C54DA6"/>
    <w:rsid w:val="00C5624F"/>
    <w:rsid w:val="00C57059"/>
    <w:rsid w:val="00C64FC7"/>
    <w:rsid w:val="00C654B8"/>
    <w:rsid w:val="00C6763D"/>
    <w:rsid w:val="00C67FBD"/>
    <w:rsid w:val="00C70BDA"/>
    <w:rsid w:val="00C723F9"/>
    <w:rsid w:val="00C72BCD"/>
    <w:rsid w:val="00C73A0A"/>
    <w:rsid w:val="00C763D3"/>
    <w:rsid w:val="00C76896"/>
    <w:rsid w:val="00C76904"/>
    <w:rsid w:val="00C83516"/>
    <w:rsid w:val="00C87C7C"/>
    <w:rsid w:val="00C908AE"/>
    <w:rsid w:val="00C90DAF"/>
    <w:rsid w:val="00C916B4"/>
    <w:rsid w:val="00C91BD8"/>
    <w:rsid w:val="00C9597C"/>
    <w:rsid w:val="00C962F1"/>
    <w:rsid w:val="00C9692E"/>
    <w:rsid w:val="00C9773F"/>
    <w:rsid w:val="00CA13DB"/>
    <w:rsid w:val="00CA7E0E"/>
    <w:rsid w:val="00CB06B7"/>
    <w:rsid w:val="00CB1737"/>
    <w:rsid w:val="00CB5DF4"/>
    <w:rsid w:val="00CB6320"/>
    <w:rsid w:val="00CC08F1"/>
    <w:rsid w:val="00CC1B54"/>
    <w:rsid w:val="00CC56F4"/>
    <w:rsid w:val="00CC5B2C"/>
    <w:rsid w:val="00CC662B"/>
    <w:rsid w:val="00CD0317"/>
    <w:rsid w:val="00CD0A5D"/>
    <w:rsid w:val="00CD1682"/>
    <w:rsid w:val="00CD2680"/>
    <w:rsid w:val="00CE02B0"/>
    <w:rsid w:val="00CE0764"/>
    <w:rsid w:val="00CE5886"/>
    <w:rsid w:val="00CE701B"/>
    <w:rsid w:val="00CE7331"/>
    <w:rsid w:val="00CE7473"/>
    <w:rsid w:val="00CE7C4D"/>
    <w:rsid w:val="00CF084E"/>
    <w:rsid w:val="00CF1126"/>
    <w:rsid w:val="00CF30AD"/>
    <w:rsid w:val="00CF5D0A"/>
    <w:rsid w:val="00D031CD"/>
    <w:rsid w:val="00D03781"/>
    <w:rsid w:val="00D10A04"/>
    <w:rsid w:val="00D128D7"/>
    <w:rsid w:val="00D157F1"/>
    <w:rsid w:val="00D27BC8"/>
    <w:rsid w:val="00D36D16"/>
    <w:rsid w:val="00D440E0"/>
    <w:rsid w:val="00D53DAE"/>
    <w:rsid w:val="00D54498"/>
    <w:rsid w:val="00D54667"/>
    <w:rsid w:val="00D5516F"/>
    <w:rsid w:val="00D566D4"/>
    <w:rsid w:val="00D60448"/>
    <w:rsid w:val="00D60949"/>
    <w:rsid w:val="00D63306"/>
    <w:rsid w:val="00D64AD2"/>
    <w:rsid w:val="00D72D6A"/>
    <w:rsid w:val="00D74300"/>
    <w:rsid w:val="00D765F0"/>
    <w:rsid w:val="00D80581"/>
    <w:rsid w:val="00D8082E"/>
    <w:rsid w:val="00D836B2"/>
    <w:rsid w:val="00D84DBD"/>
    <w:rsid w:val="00D8518B"/>
    <w:rsid w:val="00D85E18"/>
    <w:rsid w:val="00D8703B"/>
    <w:rsid w:val="00D87764"/>
    <w:rsid w:val="00D91589"/>
    <w:rsid w:val="00D91B74"/>
    <w:rsid w:val="00D92B64"/>
    <w:rsid w:val="00D93E39"/>
    <w:rsid w:val="00D9480E"/>
    <w:rsid w:val="00D94F46"/>
    <w:rsid w:val="00D96803"/>
    <w:rsid w:val="00D96B14"/>
    <w:rsid w:val="00D96F38"/>
    <w:rsid w:val="00D97978"/>
    <w:rsid w:val="00DB073F"/>
    <w:rsid w:val="00DB0890"/>
    <w:rsid w:val="00DB348A"/>
    <w:rsid w:val="00DB548B"/>
    <w:rsid w:val="00DB59BA"/>
    <w:rsid w:val="00DB689E"/>
    <w:rsid w:val="00DB6ADC"/>
    <w:rsid w:val="00DC09E0"/>
    <w:rsid w:val="00DC5893"/>
    <w:rsid w:val="00DC5DFC"/>
    <w:rsid w:val="00DC5EAF"/>
    <w:rsid w:val="00DD203D"/>
    <w:rsid w:val="00DD5E88"/>
    <w:rsid w:val="00DD61AC"/>
    <w:rsid w:val="00DE1865"/>
    <w:rsid w:val="00DE1F79"/>
    <w:rsid w:val="00DE5C6A"/>
    <w:rsid w:val="00DE7580"/>
    <w:rsid w:val="00DF3FCA"/>
    <w:rsid w:val="00E00787"/>
    <w:rsid w:val="00E02743"/>
    <w:rsid w:val="00E03B3D"/>
    <w:rsid w:val="00E058A7"/>
    <w:rsid w:val="00E07645"/>
    <w:rsid w:val="00E10C48"/>
    <w:rsid w:val="00E12966"/>
    <w:rsid w:val="00E15721"/>
    <w:rsid w:val="00E1633B"/>
    <w:rsid w:val="00E16B1D"/>
    <w:rsid w:val="00E21C48"/>
    <w:rsid w:val="00E24A39"/>
    <w:rsid w:val="00E25F8B"/>
    <w:rsid w:val="00E31551"/>
    <w:rsid w:val="00E35D00"/>
    <w:rsid w:val="00E3666B"/>
    <w:rsid w:val="00E36952"/>
    <w:rsid w:val="00E36DE6"/>
    <w:rsid w:val="00E41CA0"/>
    <w:rsid w:val="00E4209B"/>
    <w:rsid w:val="00E502A5"/>
    <w:rsid w:val="00E51B1F"/>
    <w:rsid w:val="00E532C7"/>
    <w:rsid w:val="00E54E86"/>
    <w:rsid w:val="00E55F04"/>
    <w:rsid w:val="00E67B51"/>
    <w:rsid w:val="00E7279F"/>
    <w:rsid w:val="00E72F91"/>
    <w:rsid w:val="00E736B1"/>
    <w:rsid w:val="00E75332"/>
    <w:rsid w:val="00E77543"/>
    <w:rsid w:val="00E8251D"/>
    <w:rsid w:val="00E86409"/>
    <w:rsid w:val="00E86EA2"/>
    <w:rsid w:val="00E87E37"/>
    <w:rsid w:val="00E92017"/>
    <w:rsid w:val="00E92CFD"/>
    <w:rsid w:val="00E9744A"/>
    <w:rsid w:val="00EA26A1"/>
    <w:rsid w:val="00EA5938"/>
    <w:rsid w:val="00EA5A39"/>
    <w:rsid w:val="00EA5BCF"/>
    <w:rsid w:val="00EB1F8D"/>
    <w:rsid w:val="00EB5843"/>
    <w:rsid w:val="00EB6589"/>
    <w:rsid w:val="00EC37D2"/>
    <w:rsid w:val="00EC49C1"/>
    <w:rsid w:val="00EC53F2"/>
    <w:rsid w:val="00EC55C4"/>
    <w:rsid w:val="00ED205C"/>
    <w:rsid w:val="00ED3424"/>
    <w:rsid w:val="00ED7314"/>
    <w:rsid w:val="00EE30F3"/>
    <w:rsid w:val="00EE481C"/>
    <w:rsid w:val="00EE48F1"/>
    <w:rsid w:val="00EE66E6"/>
    <w:rsid w:val="00EF4AD3"/>
    <w:rsid w:val="00F046EA"/>
    <w:rsid w:val="00F17823"/>
    <w:rsid w:val="00F207B3"/>
    <w:rsid w:val="00F23074"/>
    <w:rsid w:val="00F23FAD"/>
    <w:rsid w:val="00F31F13"/>
    <w:rsid w:val="00F359B1"/>
    <w:rsid w:val="00F37BB4"/>
    <w:rsid w:val="00F4142D"/>
    <w:rsid w:val="00F42F9E"/>
    <w:rsid w:val="00F52BA8"/>
    <w:rsid w:val="00F530A0"/>
    <w:rsid w:val="00F56E05"/>
    <w:rsid w:val="00F609DC"/>
    <w:rsid w:val="00F64404"/>
    <w:rsid w:val="00F6708D"/>
    <w:rsid w:val="00F67EFB"/>
    <w:rsid w:val="00F70ADA"/>
    <w:rsid w:val="00F71515"/>
    <w:rsid w:val="00F74216"/>
    <w:rsid w:val="00F81E68"/>
    <w:rsid w:val="00F841C3"/>
    <w:rsid w:val="00F90EC9"/>
    <w:rsid w:val="00F95384"/>
    <w:rsid w:val="00F97EE2"/>
    <w:rsid w:val="00FB5B4E"/>
    <w:rsid w:val="00FB5F3F"/>
    <w:rsid w:val="00FC5E32"/>
    <w:rsid w:val="00FC6BE8"/>
    <w:rsid w:val="00FD4EB6"/>
    <w:rsid w:val="00FD564D"/>
    <w:rsid w:val="00FE16B3"/>
    <w:rsid w:val="00FF5443"/>
    <w:rsid w:val="00FF5B19"/>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7EC410-0CE4-4606-AA9F-A6FC6F01A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semiHidden/>
    <w:unhideWhenUsed/>
    <w:qFormat/>
    <w:rsid w:val="00365B58"/>
    <w:pPr>
      <w:tabs>
        <w:tab w:val="num" w:pos="5760"/>
      </w:tabs>
      <w:spacing w:before="240" w:after="60"/>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semiHidden/>
    <w:unhideWhenUsed/>
    <w:qFormat/>
    <w:rsid w:val="00365B58"/>
    <w:pPr>
      <w:tabs>
        <w:tab w:val="num" w:pos="6480"/>
      </w:tabs>
      <w:spacing w:before="240" w:after="60"/>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rsid w:val="00C9597C"/>
    <w:rPr>
      <w:rFonts w:ascii="Times New Roman" w:eastAsia="Times New Roman" w:hAnsi="Times New Roman"/>
      <w:lang w:val="en-US"/>
    </w:rPr>
  </w:style>
  <w:style w:type="paragraph" w:styleId="ListParagraph">
    <w:name w:val="List Paragraph"/>
    <w:basedOn w:val="Normal"/>
    <w:link w:val="ListParagraphChar"/>
    <w:uiPriority w:val="34"/>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semiHidden/>
    <w:unhideWhenUsed/>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semiHidden/>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semiHidden/>
    <w:rsid w:val="00C9597C"/>
    <w:rPr>
      <w:rFonts w:ascii="Calibri" w:eastAsia="Calibri" w:hAnsi="Calibri"/>
      <w:sz w:val="20"/>
      <w:szCs w:val="20"/>
      <w:lang w:val="en-US"/>
    </w:rPr>
  </w:style>
  <w:style w:type="character" w:styleId="EndnoteReference">
    <w:name w:val="endnote reference"/>
    <w:uiPriority w:val="99"/>
    <w:semiHidden/>
    <w:unhideWhenUsed/>
    <w:rsid w:val="00C9597C"/>
    <w:rPr>
      <w:vertAlign w:val="superscript"/>
    </w:rPr>
  </w:style>
  <w:style w:type="paragraph" w:styleId="FootnoteText">
    <w:name w:val="footnote text"/>
    <w:basedOn w:val="Normal"/>
    <w:link w:val="FootnoteTextChar"/>
    <w:uiPriority w:val="99"/>
    <w:unhideWhenUsed/>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semiHidden/>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semiHidden/>
    <w:unhideWhenUsed/>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semiHidden/>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semiHidden/>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semiHidden/>
    <w:unhideWhenUsed/>
    <w:rsid w:val="00C9597C"/>
    <w:rPr>
      <w:sz w:val="16"/>
      <w:szCs w:val="16"/>
    </w:rPr>
  </w:style>
  <w:style w:type="paragraph" w:styleId="CommentText">
    <w:name w:val="annotation text"/>
    <w:basedOn w:val="Normal"/>
    <w:link w:val="CommentTextChar"/>
    <w:uiPriority w:val="99"/>
    <w:semiHidden/>
    <w:unhideWhenUsed/>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semiHidden/>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semiHidden/>
    <w:unhideWhenUsed/>
    <w:rsid w:val="00C9597C"/>
    <w:rPr>
      <w:b/>
      <w:bCs/>
    </w:rPr>
  </w:style>
  <w:style w:type="character" w:customStyle="1" w:styleId="CommentSubjectChar">
    <w:name w:val="Comment Subject Char"/>
    <w:basedOn w:val="CommentTextChar"/>
    <w:link w:val="CommentSubject"/>
    <w:uiPriority w:val="99"/>
    <w:semiHidden/>
    <w:rsid w:val="00C9597C"/>
    <w:rPr>
      <w:rFonts w:ascii="Calibri" w:eastAsia="Calibri" w:hAnsi="Calibri"/>
      <w:b/>
      <w:bCs/>
      <w:sz w:val="20"/>
      <w:szCs w:val="20"/>
      <w:lang w:val="en-US"/>
    </w:rPr>
  </w:style>
  <w:style w:type="character" w:customStyle="1" w:styleId="BalloonTextChar1">
    <w:name w:val="Balloon Text Char1"/>
    <w:uiPriority w:val="99"/>
    <w:semiHidden/>
    <w:rsid w:val="00C9597C"/>
    <w:rPr>
      <w:rFonts w:ascii="Tahoma" w:hAnsi="Tahoma" w:cs="Tahoma"/>
      <w:sz w:val="16"/>
      <w:szCs w:val="16"/>
      <w:lang w:val="en-GB"/>
    </w:rPr>
  </w:style>
  <w:style w:type="character" w:customStyle="1" w:styleId="CommentTextChar1">
    <w:name w:val="Comment Text Char1"/>
    <w:uiPriority w:val="99"/>
    <w:semiHidden/>
    <w:rsid w:val="00C9597C"/>
    <w:rPr>
      <w:sz w:val="20"/>
      <w:szCs w:val="20"/>
      <w:lang w:val="en-GB"/>
    </w:rPr>
  </w:style>
  <w:style w:type="character" w:customStyle="1" w:styleId="CommentSubjectChar1">
    <w:name w:val="Comment Subject Char1"/>
    <w:uiPriority w:val="99"/>
    <w:semiHidden/>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link w:val="ListParagraph"/>
    <w:uiPriority w:val="34"/>
    <w:locked/>
    <w:rsid w:val="00C9597C"/>
    <w:rPr>
      <w:rFonts w:ascii="Calibri" w:eastAsia="Calibri" w:hAnsi="Calibri"/>
      <w:sz w:val="20"/>
      <w:szCs w:val="20"/>
      <w:lang w:val="en-US"/>
    </w:rPr>
  </w:style>
  <w:style w:type="table" w:styleId="MediumGrid1-Accent3">
    <w:name w:val="Medium Grid 1 Accent 3"/>
    <w:basedOn w:val="TableNormal"/>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semiHidden/>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semiHidden/>
    <w:rsid w:val="00C9597C"/>
    <w:rPr>
      <w:rFonts w:ascii="Calibri" w:eastAsia="Calibri" w:hAnsi="Calibri"/>
      <w:sz w:val="22"/>
      <w:szCs w:val="22"/>
      <w:lang w:val="en-US"/>
    </w:rPr>
  </w:style>
  <w:style w:type="numbering" w:customStyle="1" w:styleId="NoList2">
    <w:name w:val="No List2"/>
    <w:next w:val="NoList"/>
    <w:uiPriority w:val="99"/>
    <w:semiHidden/>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semiHidden/>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semiHidden/>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semiHidden/>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semiHidden/>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semiHidden/>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semiHidden/>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semiHidden/>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
    <w:name w:val="No List6"/>
    <w:next w:val="NoList"/>
    <w:uiPriority w:val="99"/>
    <w:semiHidden/>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semiHidden/>
    <w:unhideWhenUsed/>
    <w:rsid w:val="00C9597C"/>
  </w:style>
  <w:style w:type="numbering" w:customStyle="1" w:styleId="NoList23">
    <w:name w:val="No List23"/>
    <w:next w:val="NoList"/>
    <w:uiPriority w:val="99"/>
    <w:semiHidden/>
    <w:unhideWhenUsed/>
    <w:rsid w:val="00C9597C"/>
  </w:style>
  <w:style w:type="numbering" w:customStyle="1" w:styleId="NoList33">
    <w:name w:val="No List33"/>
    <w:next w:val="NoList"/>
    <w:uiPriority w:val="99"/>
    <w:semiHidden/>
    <w:unhideWhenUsed/>
    <w:rsid w:val="00C9597C"/>
  </w:style>
  <w:style w:type="numbering" w:customStyle="1" w:styleId="NoList7">
    <w:name w:val="No List7"/>
    <w:next w:val="NoList"/>
    <w:uiPriority w:val="99"/>
    <w:semiHidden/>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semiHidden/>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semiHidden/>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semiHidden/>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
    <w:name w:val="No List41"/>
    <w:next w:val="NoList"/>
    <w:uiPriority w:val="99"/>
    <w:semiHidden/>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semiHidden/>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semiHidden/>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semiHidden/>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
    <w:name w:val="No List51"/>
    <w:next w:val="NoList"/>
    <w:uiPriority w:val="99"/>
    <w:semiHidden/>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semiHidden/>
    <w:unhideWhenUsed/>
    <w:rsid w:val="00C9597C"/>
  </w:style>
  <w:style w:type="numbering" w:customStyle="1" w:styleId="NoList221">
    <w:name w:val="No List221"/>
    <w:next w:val="NoList"/>
    <w:uiPriority w:val="99"/>
    <w:semiHidden/>
    <w:unhideWhenUsed/>
    <w:rsid w:val="00C9597C"/>
  </w:style>
  <w:style w:type="numbering" w:customStyle="1" w:styleId="NoList321">
    <w:name w:val="No List321"/>
    <w:next w:val="NoList"/>
    <w:uiPriority w:val="99"/>
    <w:semiHidden/>
    <w:unhideWhenUsed/>
    <w:rsid w:val="00C9597C"/>
  </w:style>
  <w:style w:type="numbering" w:customStyle="1" w:styleId="NoList61">
    <w:name w:val="No List61"/>
    <w:next w:val="NoList"/>
    <w:uiPriority w:val="99"/>
    <w:semiHidden/>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semiHidden/>
    <w:unhideWhenUsed/>
    <w:rsid w:val="00C9597C"/>
  </w:style>
  <w:style w:type="numbering" w:customStyle="1" w:styleId="NoList231">
    <w:name w:val="No List231"/>
    <w:next w:val="NoList"/>
    <w:uiPriority w:val="99"/>
    <w:semiHidden/>
    <w:unhideWhenUsed/>
    <w:rsid w:val="00C9597C"/>
  </w:style>
  <w:style w:type="numbering" w:customStyle="1" w:styleId="NoList331">
    <w:name w:val="No List331"/>
    <w:next w:val="NoList"/>
    <w:uiPriority w:val="99"/>
    <w:semiHidden/>
    <w:unhideWhenUsed/>
    <w:rsid w:val="00C9597C"/>
  </w:style>
  <w:style w:type="numbering" w:customStyle="1" w:styleId="NoList8">
    <w:name w:val="No List8"/>
    <w:next w:val="NoList"/>
    <w:uiPriority w:val="99"/>
    <w:semiHidden/>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semiHidden/>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semiHidden/>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semiHidden/>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
    <w:name w:val="No List42"/>
    <w:next w:val="NoList"/>
    <w:uiPriority w:val="99"/>
    <w:semiHidden/>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semiHidden/>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semiHidden/>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semiHidden/>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
    <w:name w:val="No List52"/>
    <w:next w:val="NoList"/>
    <w:uiPriority w:val="99"/>
    <w:semiHidden/>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semiHidden/>
    <w:unhideWhenUsed/>
    <w:rsid w:val="00C9597C"/>
  </w:style>
  <w:style w:type="numbering" w:customStyle="1" w:styleId="NoList222">
    <w:name w:val="No List222"/>
    <w:next w:val="NoList"/>
    <w:uiPriority w:val="99"/>
    <w:semiHidden/>
    <w:unhideWhenUsed/>
    <w:rsid w:val="00C9597C"/>
  </w:style>
  <w:style w:type="numbering" w:customStyle="1" w:styleId="NoList322">
    <w:name w:val="No List322"/>
    <w:next w:val="NoList"/>
    <w:uiPriority w:val="99"/>
    <w:semiHidden/>
    <w:unhideWhenUsed/>
    <w:rsid w:val="00C9597C"/>
  </w:style>
  <w:style w:type="numbering" w:customStyle="1" w:styleId="NoList62">
    <w:name w:val="No List62"/>
    <w:next w:val="NoList"/>
    <w:uiPriority w:val="99"/>
    <w:semiHidden/>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semiHidden/>
    <w:unhideWhenUsed/>
    <w:rsid w:val="00C9597C"/>
  </w:style>
  <w:style w:type="numbering" w:customStyle="1" w:styleId="NoList232">
    <w:name w:val="No List232"/>
    <w:next w:val="NoList"/>
    <w:uiPriority w:val="99"/>
    <w:semiHidden/>
    <w:unhideWhenUsed/>
    <w:rsid w:val="00C9597C"/>
  </w:style>
  <w:style w:type="numbering" w:customStyle="1" w:styleId="NoList332">
    <w:name w:val="No List332"/>
    <w:next w:val="NoList"/>
    <w:uiPriority w:val="99"/>
    <w:semiHidden/>
    <w:unhideWhenUsed/>
    <w:rsid w:val="00C9597C"/>
  </w:style>
  <w:style w:type="numbering" w:customStyle="1" w:styleId="NoList9">
    <w:name w:val="No List9"/>
    <w:next w:val="NoList"/>
    <w:uiPriority w:val="99"/>
    <w:semiHidden/>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semiHidden/>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semiHidden/>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semiHidden/>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
    <w:name w:val="No List43"/>
    <w:next w:val="NoList"/>
    <w:uiPriority w:val="99"/>
    <w:semiHidden/>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semiHidden/>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semiHidden/>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semiHidden/>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
    <w:name w:val="No List53"/>
    <w:next w:val="NoList"/>
    <w:uiPriority w:val="99"/>
    <w:semiHidden/>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semiHidden/>
    <w:unhideWhenUsed/>
    <w:rsid w:val="00C9597C"/>
  </w:style>
  <w:style w:type="numbering" w:customStyle="1" w:styleId="NoList223">
    <w:name w:val="No List223"/>
    <w:next w:val="NoList"/>
    <w:uiPriority w:val="99"/>
    <w:semiHidden/>
    <w:unhideWhenUsed/>
    <w:rsid w:val="00C9597C"/>
  </w:style>
  <w:style w:type="numbering" w:customStyle="1" w:styleId="NoList323">
    <w:name w:val="No List323"/>
    <w:next w:val="NoList"/>
    <w:uiPriority w:val="99"/>
    <w:semiHidden/>
    <w:unhideWhenUsed/>
    <w:rsid w:val="00C9597C"/>
  </w:style>
  <w:style w:type="numbering" w:customStyle="1" w:styleId="NoList63">
    <w:name w:val="No List63"/>
    <w:next w:val="NoList"/>
    <w:uiPriority w:val="99"/>
    <w:semiHidden/>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semiHidden/>
    <w:unhideWhenUsed/>
    <w:rsid w:val="00C9597C"/>
  </w:style>
  <w:style w:type="numbering" w:customStyle="1" w:styleId="NoList233">
    <w:name w:val="No List233"/>
    <w:next w:val="NoList"/>
    <w:uiPriority w:val="99"/>
    <w:semiHidden/>
    <w:unhideWhenUsed/>
    <w:rsid w:val="00C9597C"/>
  </w:style>
  <w:style w:type="numbering" w:customStyle="1" w:styleId="NoList333">
    <w:name w:val="No List333"/>
    <w:next w:val="NoList"/>
    <w:uiPriority w:val="99"/>
    <w:semiHidden/>
    <w:unhideWhenUsed/>
    <w:rsid w:val="00C9597C"/>
  </w:style>
  <w:style w:type="numbering" w:customStyle="1" w:styleId="NoList10">
    <w:name w:val="No List10"/>
    <w:next w:val="NoList"/>
    <w:uiPriority w:val="99"/>
    <w:semiHidden/>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semiHidden/>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semiHidden/>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semiHidden/>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
    <w:name w:val="No List44"/>
    <w:next w:val="NoList"/>
    <w:uiPriority w:val="99"/>
    <w:semiHidden/>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semiHidden/>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semiHidden/>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semiHidden/>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
    <w:name w:val="No List54"/>
    <w:next w:val="NoList"/>
    <w:uiPriority w:val="99"/>
    <w:semiHidden/>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semiHidden/>
    <w:unhideWhenUsed/>
    <w:rsid w:val="00C9597C"/>
  </w:style>
  <w:style w:type="numbering" w:customStyle="1" w:styleId="NoList224">
    <w:name w:val="No List224"/>
    <w:next w:val="NoList"/>
    <w:uiPriority w:val="99"/>
    <w:semiHidden/>
    <w:unhideWhenUsed/>
    <w:rsid w:val="00C9597C"/>
  </w:style>
  <w:style w:type="numbering" w:customStyle="1" w:styleId="NoList324">
    <w:name w:val="No List324"/>
    <w:next w:val="NoList"/>
    <w:uiPriority w:val="99"/>
    <w:semiHidden/>
    <w:unhideWhenUsed/>
    <w:rsid w:val="00C9597C"/>
  </w:style>
  <w:style w:type="numbering" w:customStyle="1" w:styleId="NoList64">
    <w:name w:val="No List64"/>
    <w:next w:val="NoList"/>
    <w:uiPriority w:val="99"/>
    <w:semiHidden/>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semiHidden/>
    <w:unhideWhenUsed/>
    <w:rsid w:val="00C9597C"/>
  </w:style>
  <w:style w:type="numbering" w:customStyle="1" w:styleId="NoList234">
    <w:name w:val="No List234"/>
    <w:next w:val="NoList"/>
    <w:uiPriority w:val="99"/>
    <w:semiHidden/>
    <w:unhideWhenUsed/>
    <w:rsid w:val="00C9597C"/>
  </w:style>
  <w:style w:type="numbering" w:customStyle="1" w:styleId="NoList334">
    <w:name w:val="No List334"/>
    <w:next w:val="NoList"/>
    <w:uiPriority w:val="99"/>
    <w:semiHidden/>
    <w:unhideWhenUsed/>
    <w:rsid w:val="00C9597C"/>
  </w:style>
  <w:style w:type="numbering" w:customStyle="1" w:styleId="NoList18">
    <w:name w:val="No List18"/>
    <w:next w:val="NoList"/>
    <w:uiPriority w:val="99"/>
    <w:semiHidden/>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semiHidden/>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semiHidden/>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semiHidden/>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
    <w:name w:val="No List45"/>
    <w:next w:val="NoList"/>
    <w:uiPriority w:val="99"/>
    <w:semiHidden/>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semiHidden/>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semiHidden/>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semiHidden/>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
    <w:name w:val="No List55"/>
    <w:next w:val="NoList"/>
    <w:uiPriority w:val="99"/>
    <w:semiHidden/>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semiHidden/>
    <w:unhideWhenUsed/>
    <w:rsid w:val="00C9597C"/>
  </w:style>
  <w:style w:type="numbering" w:customStyle="1" w:styleId="NoList225">
    <w:name w:val="No List225"/>
    <w:next w:val="NoList"/>
    <w:uiPriority w:val="99"/>
    <w:semiHidden/>
    <w:unhideWhenUsed/>
    <w:rsid w:val="00C9597C"/>
  </w:style>
  <w:style w:type="numbering" w:customStyle="1" w:styleId="NoList325">
    <w:name w:val="No List325"/>
    <w:next w:val="NoList"/>
    <w:uiPriority w:val="99"/>
    <w:semiHidden/>
    <w:unhideWhenUsed/>
    <w:rsid w:val="00C9597C"/>
  </w:style>
  <w:style w:type="numbering" w:customStyle="1" w:styleId="NoList65">
    <w:name w:val="No List65"/>
    <w:next w:val="NoList"/>
    <w:uiPriority w:val="99"/>
    <w:semiHidden/>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semiHidden/>
    <w:unhideWhenUsed/>
    <w:rsid w:val="00C9597C"/>
  </w:style>
  <w:style w:type="numbering" w:customStyle="1" w:styleId="NoList235">
    <w:name w:val="No List235"/>
    <w:next w:val="NoList"/>
    <w:uiPriority w:val="99"/>
    <w:semiHidden/>
    <w:unhideWhenUsed/>
    <w:rsid w:val="00C9597C"/>
  </w:style>
  <w:style w:type="numbering" w:customStyle="1" w:styleId="NoList335">
    <w:name w:val="No List335"/>
    <w:next w:val="NoList"/>
    <w:uiPriority w:val="99"/>
    <w:semiHidden/>
    <w:unhideWhenUsed/>
    <w:rsid w:val="00C9597C"/>
  </w:style>
  <w:style w:type="numbering" w:customStyle="1" w:styleId="NoList20">
    <w:name w:val="No List20"/>
    <w:next w:val="NoList"/>
    <w:uiPriority w:val="99"/>
    <w:semiHidden/>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semiHidden/>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semiHidden/>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semiHidden/>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
    <w:name w:val="No List46"/>
    <w:next w:val="NoList"/>
    <w:uiPriority w:val="99"/>
    <w:semiHidden/>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semiHidden/>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semiHidden/>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semiHidden/>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
    <w:name w:val="No List56"/>
    <w:next w:val="NoList"/>
    <w:uiPriority w:val="99"/>
    <w:semiHidden/>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semiHidden/>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semiHidden/>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semiHidden/>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
    <w:name w:val="No List66"/>
    <w:next w:val="NoList"/>
    <w:uiPriority w:val="99"/>
    <w:semiHidden/>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semiHidden/>
    <w:unhideWhenUsed/>
    <w:rsid w:val="00C9597C"/>
  </w:style>
  <w:style w:type="numbering" w:customStyle="1" w:styleId="NoList236">
    <w:name w:val="No List236"/>
    <w:next w:val="NoList"/>
    <w:uiPriority w:val="99"/>
    <w:semiHidden/>
    <w:unhideWhenUsed/>
    <w:rsid w:val="00C9597C"/>
  </w:style>
  <w:style w:type="numbering" w:customStyle="1" w:styleId="NoList336">
    <w:name w:val="No List336"/>
    <w:next w:val="NoList"/>
    <w:uiPriority w:val="99"/>
    <w:semiHidden/>
    <w:unhideWhenUsed/>
    <w:rsid w:val="00C9597C"/>
  </w:style>
  <w:style w:type="numbering" w:customStyle="1" w:styleId="NoList71">
    <w:name w:val="No List71"/>
    <w:next w:val="NoList"/>
    <w:uiPriority w:val="99"/>
    <w:semiHidden/>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semiHidden/>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semiHidden/>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semiHidden/>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
    <w:name w:val="No List411"/>
    <w:next w:val="NoList"/>
    <w:uiPriority w:val="99"/>
    <w:semiHidden/>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semiHidden/>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semiHidden/>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semiHidden/>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
    <w:name w:val="No List511"/>
    <w:next w:val="NoList"/>
    <w:uiPriority w:val="99"/>
    <w:semiHidden/>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semiHidden/>
    <w:unhideWhenUsed/>
    <w:rsid w:val="00C9597C"/>
  </w:style>
  <w:style w:type="numbering" w:customStyle="1" w:styleId="NoList2211">
    <w:name w:val="No List2211"/>
    <w:next w:val="NoList"/>
    <w:uiPriority w:val="99"/>
    <w:semiHidden/>
    <w:unhideWhenUsed/>
    <w:rsid w:val="00C9597C"/>
  </w:style>
  <w:style w:type="numbering" w:customStyle="1" w:styleId="NoList3211">
    <w:name w:val="No List3211"/>
    <w:next w:val="NoList"/>
    <w:uiPriority w:val="99"/>
    <w:semiHidden/>
    <w:unhideWhenUsed/>
    <w:rsid w:val="00C9597C"/>
  </w:style>
  <w:style w:type="numbering" w:customStyle="1" w:styleId="NoList611">
    <w:name w:val="No List611"/>
    <w:next w:val="NoList"/>
    <w:uiPriority w:val="99"/>
    <w:semiHidden/>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semiHidden/>
    <w:unhideWhenUsed/>
    <w:rsid w:val="00C9597C"/>
  </w:style>
  <w:style w:type="numbering" w:customStyle="1" w:styleId="NoList2311">
    <w:name w:val="No List2311"/>
    <w:next w:val="NoList"/>
    <w:uiPriority w:val="99"/>
    <w:semiHidden/>
    <w:unhideWhenUsed/>
    <w:rsid w:val="00C9597C"/>
  </w:style>
  <w:style w:type="numbering" w:customStyle="1" w:styleId="NoList3311">
    <w:name w:val="No List3311"/>
    <w:next w:val="NoList"/>
    <w:uiPriority w:val="99"/>
    <w:semiHidden/>
    <w:unhideWhenUsed/>
    <w:rsid w:val="00C9597C"/>
  </w:style>
  <w:style w:type="numbering" w:customStyle="1" w:styleId="NoList81">
    <w:name w:val="No List81"/>
    <w:next w:val="NoList"/>
    <w:uiPriority w:val="99"/>
    <w:semiHidden/>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semiHidden/>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semiHidden/>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semiHidden/>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
    <w:name w:val="No List421"/>
    <w:next w:val="NoList"/>
    <w:uiPriority w:val="99"/>
    <w:semiHidden/>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semiHidden/>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semiHidden/>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semiHidden/>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
    <w:name w:val="No List521"/>
    <w:next w:val="NoList"/>
    <w:uiPriority w:val="99"/>
    <w:semiHidden/>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semiHidden/>
    <w:unhideWhenUsed/>
    <w:rsid w:val="00C9597C"/>
  </w:style>
  <w:style w:type="numbering" w:customStyle="1" w:styleId="NoList2221">
    <w:name w:val="No List2221"/>
    <w:next w:val="NoList"/>
    <w:uiPriority w:val="99"/>
    <w:semiHidden/>
    <w:unhideWhenUsed/>
    <w:rsid w:val="00C9597C"/>
  </w:style>
  <w:style w:type="numbering" w:customStyle="1" w:styleId="NoList3221">
    <w:name w:val="No List3221"/>
    <w:next w:val="NoList"/>
    <w:uiPriority w:val="99"/>
    <w:semiHidden/>
    <w:unhideWhenUsed/>
    <w:rsid w:val="00C9597C"/>
  </w:style>
  <w:style w:type="numbering" w:customStyle="1" w:styleId="NoList621">
    <w:name w:val="No List621"/>
    <w:next w:val="NoList"/>
    <w:uiPriority w:val="99"/>
    <w:semiHidden/>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semiHidden/>
    <w:unhideWhenUsed/>
    <w:rsid w:val="00C9597C"/>
  </w:style>
  <w:style w:type="numbering" w:customStyle="1" w:styleId="NoList2321">
    <w:name w:val="No List2321"/>
    <w:next w:val="NoList"/>
    <w:uiPriority w:val="99"/>
    <w:semiHidden/>
    <w:unhideWhenUsed/>
    <w:rsid w:val="00C9597C"/>
  </w:style>
  <w:style w:type="numbering" w:customStyle="1" w:styleId="NoList3321">
    <w:name w:val="No List3321"/>
    <w:next w:val="NoList"/>
    <w:uiPriority w:val="99"/>
    <w:semiHidden/>
    <w:unhideWhenUsed/>
    <w:rsid w:val="00C9597C"/>
  </w:style>
  <w:style w:type="numbering" w:customStyle="1" w:styleId="NoList91">
    <w:name w:val="No List91"/>
    <w:next w:val="NoList"/>
    <w:uiPriority w:val="99"/>
    <w:semiHidden/>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semiHidden/>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semiHidden/>
    <w:unhideWhenUsed/>
    <w:rsid w:val="00C9597C"/>
  </w:style>
  <w:style w:type="table" w:customStyle="1" w:styleId="MediumGrid1-Accent1251">
    <w:name w:val="Medium Grid 1 - Accent 12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semiHidden/>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
    <w:name w:val="No List431"/>
    <w:next w:val="NoList"/>
    <w:uiPriority w:val="99"/>
    <w:semiHidden/>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semiHidden/>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semiHidden/>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semiHidden/>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
    <w:name w:val="No List531"/>
    <w:next w:val="NoList"/>
    <w:uiPriority w:val="99"/>
    <w:semiHidden/>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semiHidden/>
    <w:unhideWhenUsed/>
    <w:rsid w:val="00C9597C"/>
  </w:style>
  <w:style w:type="numbering" w:customStyle="1" w:styleId="NoList2231">
    <w:name w:val="No List2231"/>
    <w:next w:val="NoList"/>
    <w:uiPriority w:val="99"/>
    <w:semiHidden/>
    <w:unhideWhenUsed/>
    <w:rsid w:val="00C9597C"/>
  </w:style>
  <w:style w:type="numbering" w:customStyle="1" w:styleId="NoList3231">
    <w:name w:val="No List3231"/>
    <w:next w:val="NoList"/>
    <w:uiPriority w:val="99"/>
    <w:semiHidden/>
    <w:unhideWhenUsed/>
    <w:rsid w:val="00C9597C"/>
  </w:style>
  <w:style w:type="numbering" w:customStyle="1" w:styleId="NoList631">
    <w:name w:val="No List631"/>
    <w:next w:val="NoList"/>
    <w:uiPriority w:val="99"/>
    <w:semiHidden/>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semiHidden/>
    <w:unhideWhenUsed/>
    <w:rsid w:val="00C9597C"/>
  </w:style>
  <w:style w:type="numbering" w:customStyle="1" w:styleId="NoList2331">
    <w:name w:val="No List2331"/>
    <w:next w:val="NoList"/>
    <w:uiPriority w:val="99"/>
    <w:semiHidden/>
    <w:unhideWhenUsed/>
    <w:rsid w:val="00C9597C"/>
  </w:style>
  <w:style w:type="numbering" w:customStyle="1" w:styleId="NoList3331">
    <w:name w:val="No List3331"/>
    <w:next w:val="NoList"/>
    <w:uiPriority w:val="99"/>
    <w:semiHidden/>
    <w:unhideWhenUsed/>
    <w:rsid w:val="00C9597C"/>
  </w:style>
  <w:style w:type="numbering" w:customStyle="1" w:styleId="NoList101">
    <w:name w:val="No List101"/>
    <w:next w:val="NoList"/>
    <w:uiPriority w:val="99"/>
    <w:semiHidden/>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semiHidden/>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semiHidden/>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semiHidden/>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
    <w:name w:val="No List441"/>
    <w:next w:val="NoList"/>
    <w:uiPriority w:val="99"/>
    <w:semiHidden/>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semiHidden/>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semiHidden/>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semiHidden/>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1">
    <w:name w:val="No List541"/>
    <w:next w:val="NoList"/>
    <w:uiPriority w:val="99"/>
    <w:semiHidden/>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semiHidden/>
    <w:unhideWhenUsed/>
    <w:rsid w:val="00C9597C"/>
  </w:style>
  <w:style w:type="numbering" w:customStyle="1" w:styleId="NoList2241">
    <w:name w:val="No List2241"/>
    <w:next w:val="NoList"/>
    <w:uiPriority w:val="99"/>
    <w:semiHidden/>
    <w:unhideWhenUsed/>
    <w:rsid w:val="00C9597C"/>
  </w:style>
  <w:style w:type="numbering" w:customStyle="1" w:styleId="NoList3241">
    <w:name w:val="No List3241"/>
    <w:next w:val="NoList"/>
    <w:uiPriority w:val="99"/>
    <w:semiHidden/>
    <w:unhideWhenUsed/>
    <w:rsid w:val="00C9597C"/>
  </w:style>
  <w:style w:type="numbering" w:customStyle="1" w:styleId="NoList641">
    <w:name w:val="No List641"/>
    <w:next w:val="NoList"/>
    <w:uiPriority w:val="99"/>
    <w:semiHidden/>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semiHidden/>
    <w:unhideWhenUsed/>
    <w:rsid w:val="00C9597C"/>
  </w:style>
  <w:style w:type="numbering" w:customStyle="1" w:styleId="NoList2341">
    <w:name w:val="No List2341"/>
    <w:next w:val="NoList"/>
    <w:uiPriority w:val="99"/>
    <w:semiHidden/>
    <w:unhideWhenUsed/>
    <w:rsid w:val="00C9597C"/>
  </w:style>
  <w:style w:type="numbering" w:customStyle="1" w:styleId="NoList3341">
    <w:name w:val="No List3341"/>
    <w:next w:val="NoList"/>
    <w:uiPriority w:val="99"/>
    <w:semiHidden/>
    <w:unhideWhenUsed/>
    <w:rsid w:val="00C9597C"/>
  </w:style>
  <w:style w:type="numbering" w:customStyle="1" w:styleId="NoList181">
    <w:name w:val="No List181"/>
    <w:next w:val="NoList"/>
    <w:uiPriority w:val="99"/>
    <w:semiHidden/>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semiHidden/>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semiHidden/>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semiHidden/>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1">
    <w:name w:val="No List451"/>
    <w:next w:val="NoList"/>
    <w:uiPriority w:val="99"/>
    <w:semiHidden/>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semiHidden/>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semiHidden/>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semiHidden/>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1">
    <w:name w:val="No List551"/>
    <w:next w:val="NoList"/>
    <w:uiPriority w:val="99"/>
    <w:semiHidden/>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semiHidden/>
    <w:unhideWhenUsed/>
    <w:rsid w:val="00C9597C"/>
  </w:style>
  <w:style w:type="numbering" w:customStyle="1" w:styleId="NoList2251">
    <w:name w:val="No List2251"/>
    <w:next w:val="NoList"/>
    <w:uiPriority w:val="99"/>
    <w:semiHidden/>
    <w:unhideWhenUsed/>
    <w:rsid w:val="00C9597C"/>
  </w:style>
  <w:style w:type="numbering" w:customStyle="1" w:styleId="NoList3251">
    <w:name w:val="No List3251"/>
    <w:next w:val="NoList"/>
    <w:uiPriority w:val="99"/>
    <w:semiHidden/>
    <w:unhideWhenUsed/>
    <w:rsid w:val="00C9597C"/>
  </w:style>
  <w:style w:type="numbering" w:customStyle="1" w:styleId="NoList651">
    <w:name w:val="No List651"/>
    <w:next w:val="NoList"/>
    <w:uiPriority w:val="99"/>
    <w:semiHidden/>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semiHidden/>
    <w:unhideWhenUsed/>
    <w:rsid w:val="00C9597C"/>
  </w:style>
  <w:style w:type="numbering" w:customStyle="1" w:styleId="NoList2351">
    <w:name w:val="No List2351"/>
    <w:next w:val="NoList"/>
    <w:uiPriority w:val="99"/>
    <w:semiHidden/>
    <w:unhideWhenUsed/>
    <w:rsid w:val="00C9597C"/>
  </w:style>
  <w:style w:type="numbering" w:customStyle="1" w:styleId="NoList3351">
    <w:name w:val="No List3351"/>
    <w:next w:val="NoList"/>
    <w:uiPriority w:val="99"/>
    <w:semiHidden/>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semiHidden/>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semiHidden/>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semiHidden/>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semiHidden/>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7">
    <w:name w:val="No List47"/>
    <w:next w:val="NoList"/>
    <w:uiPriority w:val="99"/>
    <w:semiHidden/>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semiHidden/>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semiHidden/>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semiHidden/>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7">
    <w:name w:val="No List57"/>
    <w:next w:val="NoList"/>
    <w:uiPriority w:val="99"/>
    <w:semiHidden/>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semiHidden/>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semiHidden/>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semiHidden/>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7">
    <w:name w:val="No List67"/>
    <w:next w:val="NoList"/>
    <w:uiPriority w:val="99"/>
    <w:semiHidden/>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semiHidden/>
    <w:unhideWhenUsed/>
    <w:rsid w:val="00C64FC7"/>
  </w:style>
  <w:style w:type="numbering" w:customStyle="1" w:styleId="NoList237">
    <w:name w:val="No List237"/>
    <w:next w:val="NoList"/>
    <w:uiPriority w:val="99"/>
    <w:semiHidden/>
    <w:unhideWhenUsed/>
    <w:rsid w:val="00C64FC7"/>
  </w:style>
  <w:style w:type="numbering" w:customStyle="1" w:styleId="NoList337">
    <w:name w:val="No List337"/>
    <w:next w:val="NoList"/>
    <w:uiPriority w:val="99"/>
    <w:semiHidden/>
    <w:unhideWhenUsed/>
    <w:rsid w:val="00C64FC7"/>
  </w:style>
  <w:style w:type="numbering" w:customStyle="1" w:styleId="NoList72">
    <w:name w:val="No List72"/>
    <w:next w:val="NoList"/>
    <w:uiPriority w:val="99"/>
    <w:semiHidden/>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semiHidden/>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semiHidden/>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semiHidden/>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
    <w:name w:val="No List412"/>
    <w:next w:val="NoList"/>
    <w:uiPriority w:val="99"/>
    <w:semiHidden/>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semiHidden/>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semiHidden/>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semiHidden/>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
    <w:name w:val="No List512"/>
    <w:next w:val="NoList"/>
    <w:uiPriority w:val="99"/>
    <w:semiHidden/>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semiHidden/>
    <w:unhideWhenUsed/>
    <w:rsid w:val="00C64FC7"/>
  </w:style>
  <w:style w:type="numbering" w:customStyle="1" w:styleId="NoList2212">
    <w:name w:val="No List2212"/>
    <w:next w:val="NoList"/>
    <w:uiPriority w:val="99"/>
    <w:semiHidden/>
    <w:unhideWhenUsed/>
    <w:rsid w:val="00C64FC7"/>
  </w:style>
  <w:style w:type="numbering" w:customStyle="1" w:styleId="NoList3212">
    <w:name w:val="No List3212"/>
    <w:next w:val="NoList"/>
    <w:uiPriority w:val="99"/>
    <w:semiHidden/>
    <w:unhideWhenUsed/>
    <w:rsid w:val="00C64FC7"/>
  </w:style>
  <w:style w:type="numbering" w:customStyle="1" w:styleId="NoList612">
    <w:name w:val="No List612"/>
    <w:next w:val="NoList"/>
    <w:uiPriority w:val="99"/>
    <w:semiHidden/>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semiHidden/>
    <w:unhideWhenUsed/>
    <w:rsid w:val="00C64FC7"/>
  </w:style>
  <w:style w:type="numbering" w:customStyle="1" w:styleId="NoList2312">
    <w:name w:val="No List2312"/>
    <w:next w:val="NoList"/>
    <w:uiPriority w:val="99"/>
    <w:semiHidden/>
    <w:unhideWhenUsed/>
    <w:rsid w:val="00C64FC7"/>
  </w:style>
  <w:style w:type="numbering" w:customStyle="1" w:styleId="NoList3312">
    <w:name w:val="No List3312"/>
    <w:next w:val="NoList"/>
    <w:uiPriority w:val="99"/>
    <w:semiHidden/>
    <w:unhideWhenUsed/>
    <w:rsid w:val="00C64FC7"/>
  </w:style>
  <w:style w:type="numbering" w:customStyle="1" w:styleId="NoList82">
    <w:name w:val="No List82"/>
    <w:next w:val="NoList"/>
    <w:uiPriority w:val="99"/>
    <w:semiHidden/>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semiHidden/>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semiHidden/>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semiHidden/>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
    <w:name w:val="No List422"/>
    <w:next w:val="NoList"/>
    <w:uiPriority w:val="99"/>
    <w:semiHidden/>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semiHidden/>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semiHidden/>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semiHidden/>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
    <w:name w:val="No List522"/>
    <w:next w:val="NoList"/>
    <w:uiPriority w:val="99"/>
    <w:semiHidden/>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semiHidden/>
    <w:unhideWhenUsed/>
    <w:rsid w:val="00C64FC7"/>
  </w:style>
  <w:style w:type="numbering" w:customStyle="1" w:styleId="NoList2222">
    <w:name w:val="No List2222"/>
    <w:next w:val="NoList"/>
    <w:uiPriority w:val="99"/>
    <w:semiHidden/>
    <w:unhideWhenUsed/>
    <w:rsid w:val="00C64FC7"/>
  </w:style>
  <w:style w:type="numbering" w:customStyle="1" w:styleId="NoList3222">
    <w:name w:val="No List3222"/>
    <w:next w:val="NoList"/>
    <w:uiPriority w:val="99"/>
    <w:semiHidden/>
    <w:unhideWhenUsed/>
    <w:rsid w:val="00C64FC7"/>
  </w:style>
  <w:style w:type="numbering" w:customStyle="1" w:styleId="NoList622">
    <w:name w:val="No List622"/>
    <w:next w:val="NoList"/>
    <w:uiPriority w:val="99"/>
    <w:semiHidden/>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semiHidden/>
    <w:unhideWhenUsed/>
    <w:rsid w:val="00C64FC7"/>
  </w:style>
  <w:style w:type="numbering" w:customStyle="1" w:styleId="NoList2322">
    <w:name w:val="No List2322"/>
    <w:next w:val="NoList"/>
    <w:uiPriority w:val="99"/>
    <w:semiHidden/>
    <w:unhideWhenUsed/>
    <w:rsid w:val="00C64FC7"/>
  </w:style>
  <w:style w:type="numbering" w:customStyle="1" w:styleId="NoList3322">
    <w:name w:val="No List3322"/>
    <w:next w:val="NoList"/>
    <w:uiPriority w:val="99"/>
    <w:semiHidden/>
    <w:unhideWhenUsed/>
    <w:rsid w:val="00C64FC7"/>
  </w:style>
  <w:style w:type="numbering" w:customStyle="1" w:styleId="NoList92">
    <w:name w:val="No List92"/>
    <w:next w:val="NoList"/>
    <w:uiPriority w:val="99"/>
    <w:semiHidden/>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semiHidden/>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semiHidden/>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semiHidden/>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2">
    <w:name w:val="No List432"/>
    <w:next w:val="NoList"/>
    <w:uiPriority w:val="99"/>
    <w:semiHidden/>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semiHidden/>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semiHidden/>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semiHidden/>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2">
    <w:name w:val="No List532"/>
    <w:next w:val="NoList"/>
    <w:uiPriority w:val="99"/>
    <w:semiHidden/>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semiHidden/>
    <w:unhideWhenUsed/>
    <w:rsid w:val="00C64FC7"/>
  </w:style>
  <w:style w:type="numbering" w:customStyle="1" w:styleId="NoList2232">
    <w:name w:val="No List2232"/>
    <w:next w:val="NoList"/>
    <w:uiPriority w:val="99"/>
    <w:semiHidden/>
    <w:unhideWhenUsed/>
    <w:rsid w:val="00C64FC7"/>
  </w:style>
  <w:style w:type="numbering" w:customStyle="1" w:styleId="NoList3232">
    <w:name w:val="No List3232"/>
    <w:next w:val="NoList"/>
    <w:uiPriority w:val="99"/>
    <w:semiHidden/>
    <w:unhideWhenUsed/>
    <w:rsid w:val="00C64FC7"/>
  </w:style>
  <w:style w:type="numbering" w:customStyle="1" w:styleId="NoList632">
    <w:name w:val="No List632"/>
    <w:next w:val="NoList"/>
    <w:uiPriority w:val="99"/>
    <w:semiHidden/>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semiHidden/>
    <w:unhideWhenUsed/>
    <w:rsid w:val="00C64FC7"/>
  </w:style>
  <w:style w:type="numbering" w:customStyle="1" w:styleId="NoList2332">
    <w:name w:val="No List2332"/>
    <w:next w:val="NoList"/>
    <w:uiPriority w:val="99"/>
    <w:semiHidden/>
    <w:unhideWhenUsed/>
    <w:rsid w:val="00C64FC7"/>
  </w:style>
  <w:style w:type="numbering" w:customStyle="1" w:styleId="NoList3332">
    <w:name w:val="No List3332"/>
    <w:next w:val="NoList"/>
    <w:uiPriority w:val="99"/>
    <w:semiHidden/>
    <w:unhideWhenUsed/>
    <w:rsid w:val="00C64FC7"/>
  </w:style>
  <w:style w:type="numbering" w:customStyle="1" w:styleId="NoList102">
    <w:name w:val="No List102"/>
    <w:next w:val="NoList"/>
    <w:uiPriority w:val="99"/>
    <w:semiHidden/>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semiHidden/>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semiHidden/>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semiHidden/>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2">
    <w:name w:val="No List442"/>
    <w:next w:val="NoList"/>
    <w:uiPriority w:val="99"/>
    <w:semiHidden/>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semiHidden/>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semiHidden/>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semiHidden/>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2">
    <w:name w:val="No List542"/>
    <w:next w:val="NoList"/>
    <w:uiPriority w:val="99"/>
    <w:semiHidden/>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semiHidden/>
    <w:unhideWhenUsed/>
    <w:rsid w:val="00C64FC7"/>
  </w:style>
  <w:style w:type="numbering" w:customStyle="1" w:styleId="NoList2242">
    <w:name w:val="No List2242"/>
    <w:next w:val="NoList"/>
    <w:uiPriority w:val="99"/>
    <w:semiHidden/>
    <w:unhideWhenUsed/>
    <w:rsid w:val="00C64FC7"/>
  </w:style>
  <w:style w:type="numbering" w:customStyle="1" w:styleId="NoList3242">
    <w:name w:val="No List3242"/>
    <w:next w:val="NoList"/>
    <w:uiPriority w:val="99"/>
    <w:semiHidden/>
    <w:unhideWhenUsed/>
    <w:rsid w:val="00C64FC7"/>
  </w:style>
  <w:style w:type="numbering" w:customStyle="1" w:styleId="NoList642">
    <w:name w:val="No List642"/>
    <w:next w:val="NoList"/>
    <w:uiPriority w:val="99"/>
    <w:semiHidden/>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semiHidden/>
    <w:unhideWhenUsed/>
    <w:rsid w:val="00C64FC7"/>
  </w:style>
  <w:style w:type="numbering" w:customStyle="1" w:styleId="NoList2342">
    <w:name w:val="No List2342"/>
    <w:next w:val="NoList"/>
    <w:uiPriority w:val="99"/>
    <w:semiHidden/>
    <w:unhideWhenUsed/>
    <w:rsid w:val="00C64FC7"/>
  </w:style>
  <w:style w:type="numbering" w:customStyle="1" w:styleId="NoList3342">
    <w:name w:val="No List3342"/>
    <w:next w:val="NoList"/>
    <w:uiPriority w:val="99"/>
    <w:semiHidden/>
    <w:unhideWhenUsed/>
    <w:rsid w:val="00C64FC7"/>
  </w:style>
  <w:style w:type="numbering" w:customStyle="1" w:styleId="NoList182">
    <w:name w:val="No List182"/>
    <w:next w:val="NoList"/>
    <w:uiPriority w:val="99"/>
    <w:semiHidden/>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semiHidden/>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semiHidden/>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semiHidden/>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2">
    <w:name w:val="No List452"/>
    <w:next w:val="NoList"/>
    <w:uiPriority w:val="99"/>
    <w:semiHidden/>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semiHidden/>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semiHidden/>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semiHidden/>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2">
    <w:name w:val="No List552"/>
    <w:next w:val="NoList"/>
    <w:uiPriority w:val="99"/>
    <w:semiHidden/>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semiHidden/>
    <w:unhideWhenUsed/>
    <w:rsid w:val="00C64FC7"/>
  </w:style>
  <w:style w:type="numbering" w:customStyle="1" w:styleId="NoList2252">
    <w:name w:val="No List2252"/>
    <w:next w:val="NoList"/>
    <w:uiPriority w:val="99"/>
    <w:semiHidden/>
    <w:unhideWhenUsed/>
    <w:rsid w:val="00C64FC7"/>
  </w:style>
  <w:style w:type="numbering" w:customStyle="1" w:styleId="NoList3252">
    <w:name w:val="No List3252"/>
    <w:next w:val="NoList"/>
    <w:uiPriority w:val="99"/>
    <w:semiHidden/>
    <w:unhideWhenUsed/>
    <w:rsid w:val="00C64FC7"/>
  </w:style>
  <w:style w:type="numbering" w:customStyle="1" w:styleId="NoList652">
    <w:name w:val="No List652"/>
    <w:next w:val="NoList"/>
    <w:uiPriority w:val="99"/>
    <w:semiHidden/>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semiHidden/>
    <w:unhideWhenUsed/>
    <w:rsid w:val="00C64FC7"/>
  </w:style>
  <w:style w:type="numbering" w:customStyle="1" w:styleId="NoList2352">
    <w:name w:val="No List2352"/>
    <w:next w:val="NoList"/>
    <w:uiPriority w:val="99"/>
    <w:semiHidden/>
    <w:unhideWhenUsed/>
    <w:rsid w:val="00C64FC7"/>
  </w:style>
  <w:style w:type="numbering" w:customStyle="1" w:styleId="NoList3352">
    <w:name w:val="No List3352"/>
    <w:next w:val="NoList"/>
    <w:uiPriority w:val="99"/>
    <w:semiHidden/>
    <w:unhideWhenUsed/>
    <w:rsid w:val="00C64FC7"/>
  </w:style>
  <w:style w:type="numbering" w:customStyle="1" w:styleId="NoList201">
    <w:name w:val="No List201"/>
    <w:next w:val="NoList"/>
    <w:uiPriority w:val="99"/>
    <w:semiHidden/>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semiHidden/>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semiHidden/>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semiHidden/>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1">
    <w:name w:val="No List461"/>
    <w:next w:val="NoList"/>
    <w:uiPriority w:val="99"/>
    <w:semiHidden/>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semiHidden/>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semiHidden/>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semiHidden/>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1">
    <w:name w:val="No List561"/>
    <w:next w:val="NoList"/>
    <w:uiPriority w:val="99"/>
    <w:semiHidden/>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semiHidden/>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semiHidden/>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semiHidden/>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1">
    <w:name w:val="No List661"/>
    <w:next w:val="NoList"/>
    <w:uiPriority w:val="99"/>
    <w:semiHidden/>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semiHidden/>
    <w:unhideWhenUsed/>
    <w:rsid w:val="00C64FC7"/>
  </w:style>
  <w:style w:type="numbering" w:customStyle="1" w:styleId="NoList2361">
    <w:name w:val="No List2361"/>
    <w:next w:val="NoList"/>
    <w:uiPriority w:val="99"/>
    <w:semiHidden/>
    <w:unhideWhenUsed/>
    <w:rsid w:val="00C64FC7"/>
  </w:style>
  <w:style w:type="numbering" w:customStyle="1" w:styleId="NoList3361">
    <w:name w:val="No List3361"/>
    <w:next w:val="NoList"/>
    <w:uiPriority w:val="99"/>
    <w:semiHidden/>
    <w:unhideWhenUsed/>
    <w:rsid w:val="00C64FC7"/>
  </w:style>
  <w:style w:type="numbering" w:customStyle="1" w:styleId="NoList711">
    <w:name w:val="No List711"/>
    <w:next w:val="NoList"/>
    <w:uiPriority w:val="99"/>
    <w:semiHidden/>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semiHidden/>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semiHidden/>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semiHidden/>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1">
    <w:name w:val="No List4111"/>
    <w:next w:val="NoList"/>
    <w:uiPriority w:val="99"/>
    <w:semiHidden/>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semiHidden/>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semiHidden/>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semiHidden/>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1">
    <w:name w:val="No List5111"/>
    <w:next w:val="NoList"/>
    <w:uiPriority w:val="99"/>
    <w:semiHidden/>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semiHidden/>
    <w:unhideWhenUsed/>
    <w:rsid w:val="00C64FC7"/>
  </w:style>
  <w:style w:type="numbering" w:customStyle="1" w:styleId="NoList22111">
    <w:name w:val="No List22111"/>
    <w:next w:val="NoList"/>
    <w:uiPriority w:val="99"/>
    <w:semiHidden/>
    <w:unhideWhenUsed/>
    <w:rsid w:val="00C64FC7"/>
  </w:style>
  <w:style w:type="numbering" w:customStyle="1" w:styleId="NoList32111">
    <w:name w:val="No List32111"/>
    <w:next w:val="NoList"/>
    <w:uiPriority w:val="99"/>
    <w:semiHidden/>
    <w:unhideWhenUsed/>
    <w:rsid w:val="00C64FC7"/>
  </w:style>
  <w:style w:type="numbering" w:customStyle="1" w:styleId="NoList6111">
    <w:name w:val="No List6111"/>
    <w:next w:val="NoList"/>
    <w:uiPriority w:val="99"/>
    <w:semiHidden/>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semiHidden/>
    <w:unhideWhenUsed/>
    <w:rsid w:val="00C64FC7"/>
  </w:style>
  <w:style w:type="numbering" w:customStyle="1" w:styleId="NoList23111">
    <w:name w:val="No List23111"/>
    <w:next w:val="NoList"/>
    <w:uiPriority w:val="99"/>
    <w:semiHidden/>
    <w:unhideWhenUsed/>
    <w:rsid w:val="00C64FC7"/>
  </w:style>
  <w:style w:type="numbering" w:customStyle="1" w:styleId="NoList33111">
    <w:name w:val="No List33111"/>
    <w:next w:val="NoList"/>
    <w:uiPriority w:val="99"/>
    <w:semiHidden/>
    <w:unhideWhenUsed/>
    <w:rsid w:val="00C64FC7"/>
  </w:style>
  <w:style w:type="numbering" w:customStyle="1" w:styleId="NoList811">
    <w:name w:val="No List811"/>
    <w:next w:val="NoList"/>
    <w:uiPriority w:val="99"/>
    <w:semiHidden/>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semiHidden/>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semiHidden/>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semiHidden/>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1">
    <w:name w:val="No List4211"/>
    <w:next w:val="NoList"/>
    <w:uiPriority w:val="99"/>
    <w:semiHidden/>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semiHidden/>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semiHidden/>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semiHidden/>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1">
    <w:name w:val="No List5211"/>
    <w:next w:val="NoList"/>
    <w:uiPriority w:val="99"/>
    <w:semiHidden/>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semiHidden/>
    <w:unhideWhenUsed/>
    <w:rsid w:val="00C64FC7"/>
  </w:style>
  <w:style w:type="numbering" w:customStyle="1" w:styleId="NoList22211">
    <w:name w:val="No List22211"/>
    <w:next w:val="NoList"/>
    <w:uiPriority w:val="99"/>
    <w:semiHidden/>
    <w:unhideWhenUsed/>
    <w:rsid w:val="00C64FC7"/>
  </w:style>
  <w:style w:type="numbering" w:customStyle="1" w:styleId="NoList32211">
    <w:name w:val="No List32211"/>
    <w:next w:val="NoList"/>
    <w:uiPriority w:val="99"/>
    <w:semiHidden/>
    <w:unhideWhenUsed/>
    <w:rsid w:val="00C64FC7"/>
  </w:style>
  <w:style w:type="numbering" w:customStyle="1" w:styleId="NoList6211">
    <w:name w:val="No List6211"/>
    <w:next w:val="NoList"/>
    <w:uiPriority w:val="99"/>
    <w:semiHidden/>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semiHidden/>
    <w:unhideWhenUsed/>
    <w:rsid w:val="00C64FC7"/>
  </w:style>
  <w:style w:type="numbering" w:customStyle="1" w:styleId="NoList23211">
    <w:name w:val="No List23211"/>
    <w:next w:val="NoList"/>
    <w:uiPriority w:val="99"/>
    <w:semiHidden/>
    <w:unhideWhenUsed/>
    <w:rsid w:val="00C64FC7"/>
  </w:style>
  <w:style w:type="numbering" w:customStyle="1" w:styleId="NoList33211">
    <w:name w:val="No List33211"/>
    <w:next w:val="NoList"/>
    <w:uiPriority w:val="99"/>
    <w:semiHidden/>
    <w:unhideWhenUsed/>
    <w:rsid w:val="00C64FC7"/>
  </w:style>
  <w:style w:type="numbering" w:customStyle="1" w:styleId="NoList911">
    <w:name w:val="No List911"/>
    <w:next w:val="NoList"/>
    <w:uiPriority w:val="99"/>
    <w:semiHidden/>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semiHidden/>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semiHidden/>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semiHidden/>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1">
    <w:name w:val="No List4311"/>
    <w:next w:val="NoList"/>
    <w:uiPriority w:val="99"/>
    <w:semiHidden/>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semiHidden/>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semiHidden/>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semiHidden/>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1">
    <w:name w:val="No List5311"/>
    <w:next w:val="NoList"/>
    <w:uiPriority w:val="99"/>
    <w:semiHidden/>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semiHidden/>
    <w:unhideWhenUsed/>
    <w:rsid w:val="00C64FC7"/>
  </w:style>
  <w:style w:type="numbering" w:customStyle="1" w:styleId="NoList22311">
    <w:name w:val="No List22311"/>
    <w:next w:val="NoList"/>
    <w:uiPriority w:val="99"/>
    <w:semiHidden/>
    <w:unhideWhenUsed/>
    <w:rsid w:val="00C64FC7"/>
  </w:style>
  <w:style w:type="numbering" w:customStyle="1" w:styleId="NoList32311">
    <w:name w:val="No List32311"/>
    <w:next w:val="NoList"/>
    <w:uiPriority w:val="99"/>
    <w:semiHidden/>
    <w:unhideWhenUsed/>
    <w:rsid w:val="00C64FC7"/>
  </w:style>
  <w:style w:type="numbering" w:customStyle="1" w:styleId="NoList6311">
    <w:name w:val="No List6311"/>
    <w:next w:val="NoList"/>
    <w:uiPriority w:val="99"/>
    <w:semiHidden/>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semiHidden/>
    <w:unhideWhenUsed/>
    <w:rsid w:val="00C64FC7"/>
  </w:style>
  <w:style w:type="numbering" w:customStyle="1" w:styleId="NoList23311">
    <w:name w:val="No List23311"/>
    <w:next w:val="NoList"/>
    <w:uiPriority w:val="99"/>
    <w:semiHidden/>
    <w:unhideWhenUsed/>
    <w:rsid w:val="00C64FC7"/>
  </w:style>
  <w:style w:type="numbering" w:customStyle="1" w:styleId="NoList33311">
    <w:name w:val="No List33311"/>
    <w:next w:val="NoList"/>
    <w:uiPriority w:val="99"/>
    <w:semiHidden/>
    <w:unhideWhenUsed/>
    <w:rsid w:val="00C64FC7"/>
  </w:style>
  <w:style w:type="numbering" w:customStyle="1" w:styleId="NoList1011">
    <w:name w:val="No List1011"/>
    <w:next w:val="NoList"/>
    <w:uiPriority w:val="99"/>
    <w:semiHidden/>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semiHidden/>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semiHidden/>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semiHidden/>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1">
    <w:name w:val="No List4411"/>
    <w:next w:val="NoList"/>
    <w:uiPriority w:val="99"/>
    <w:semiHidden/>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semiHidden/>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semiHidden/>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semiHidden/>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11">
    <w:name w:val="No List5411"/>
    <w:next w:val="NoList"/>
    <w:uiPriority w:val="99"/>
    <w:semiHidden/>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semiHidden/>
    <w:unhideWhenUsed/>
    <w:rsid w:val="00C64FC7"/>
  </w:style>
  <w:style w:type="numbering" w:customStyle="1" w:styleId="NoList22411">
    <w:name w:val="No List22411"/>
    <w:next w:val="NoList"/>
    <w:uiPriority w:val="99"/>
    <w:semiHidden/>
    <w:unhideWhenUsed/>
    <w:rsid w:val="00C64FC7"/>
  </w:style>
  <w:style w:type="numbering" w:customStyle="1" w:styleId="NoList32411">
    <w:name w:val="No List32411"/>
    <w:next w:val="NoList"/>
    <w:uiPriority w:val="99"/>
    <w:semiHidden/>
    <w:unhideWhenUsed/>
    <w:rsid w:val="00C64FC7"/>
  </w:style>
  <w:style w:type="numbering" w:customStyle="1" w:styleId="NoList6411">
    <w:name w:val="No List6411"/>
    <w:next w:val="NoList"/>
    <w:uiPriority w:val="99"/>
    <w:semiHidden/>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semiHidden/>
    <w:unhideWhenUsed/>
    <w:rsid w:val="00C64FC7"/>
  </w:style>
  <w:style w:type="numbering" w:customStyle="1" w:styleId="NoList23411">
    <w:name w:val="No List23411"/>
    <w:next w:val="NoList"/>
    <w:uiPriority w:val="99"/>
    <w:semiHidden/>
    <w:unhideWhenUsed/>
    <w:rsid w:val="00C64FC7"/>
  </w:style>
  <w:style w:type="numbering" w:customStyle="1" w:styleId="NoList33411">
    <w:name w:val="No List33411"/>
    <w:next w:val="NoList"/>
    <w:uiPriority w:val="99"/>
    <w:semiHidden/>
    <w:unhideWhenUsed/>
    <w:rsid w:val="00C64FC7"/>
  </w:style>
  <w:style w:type="numbering" w:customStyle="1" w:styleId="NoList1811">
    <w:name w:val="No List1811"/>
    <w:next w:val="NoList"/>
    <w:uiPriority w:val="99"/>
    <w:semiHidden/>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semiHidden/>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semiHidden/>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semiHidden/>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11">
    <w:name w:val="No List4511"/>
    <w:next w:val="NoList"/>
    <w:uiPriority w:val="99"/>
    <w:semiHidden/>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semiHidden/>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semiHidden/>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semiHidden/>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11">
    <w:name w:val="No List5511"/>
    <w:next w:val="NoList"/>
    <w:uiPriority w:val="99"/>
    <w:semiHidden/>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semiHidden/>
    <w:unhideWhenUsed/>
    <w:rsid w:val="00C64FC7"/>
  </w:style>
  <w:style w:type="numbering" w:customStyle="1" w:styleId="NoList22511">
    <w:name w:val="No List22511"/>
    <w:next w:val="NoList"/>
    <w:uiPriority w:val="99"/>
    <w:semiHidden/>
    <w:unhideWhenUsed/>
    <w:rsid w:val="00C64FC7"/>
  </w:style>
  <w:style w:type="numbering" w:customStyle="1" w:styleId="NoList32511">
    <w:name w:val="No List32511"/>
    <w:next w:val="NoList"/>
    <w:uiPriority w:val="99"/>
    <w:semiHidden/>
    <w:unhideWhenUsed/>
    <w:rsid w:val="00C64FC7"/>
  </w:style>
  <w:style w:type="numbering" w:customStyle="1" w:styleId="NoList6511">
    <w:name w:val="No List6511"/>
    <w:next w:val="NoList"/>
    <w:uiPriority w:val="99"/>
    <w:semiHidden/>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semiHidden/>
    <w:unhideWhenUsed/>
    <w:rsid w:val="00C64FC7"/>
  </w:style>
  <w:style w:type="numbering" w:customStyle="1" w:styleId="NoList23511">
    <w:name w:val="No List23511"/>
    <w:next w:val="NoList"/>
    <w:uiPriority w:val="99"/>
    <w:semiHidden/>
    <w:unhideWhenUsed/>
    <w:rsid w:val="00C64FC7"/>
  </w:style>
  <w:style w:type="numbering" w:customStyle="1" w:styleId="NoList33511">
    <w:name w:val="No List33511"/>
    <w:next w:val="NoList"/>
    <w:uiPriority w:val="99"/>
    <w:semiHidden/>
    <w:unhideWhenUsed/>
    <w:rsid w:val="00C64FC7"/>
  </w:style>
  <w:style w:type="numbering" w:customStyle="1" w:styleId="NoList40">
    <w:name w:val="No List40"/>
    <w:next w:val="NoList"/>
    <w:uiPriority w:val="99"/>
    <w:semiHidden/>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semiHidden/>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semiHidden/>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semiHidden/>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8">
    <w:name w:val="No List48"/>
    <w:next w:val="NoList"/>
    <w:uiPriority w:val="99"/>
    <w:semiHidden/>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semiHidden/>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semiHidden/>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semiHidden/>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8">
    <w:name w:val="No List58"/>
    <w:next w:val="NoList"/>
    <w:uiPriority w:val="99"/>
    <w:semiHidden/>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semiHidden/>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semiHidden/>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semiHidden/>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8">
    <w:name w:val="No List68"/>
    <w:next w:val="NoList"/>
    <w:uiPriority w:val="99"/>
    <w:semiHidden/>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semiHidden/>
    <w:unhideWhenUsed/>
    <w:rsid w:val="00C64FC7"/>
  </w:style>
  <w:style w:type="numbering" w:customStyle="1" w:styleId="NoList238">
    <w:name w:val="No List238"/>
    <w:next w:val="NoList"/>
    <w:uiPriority w:val="99"/>
    <w:semiHidden/>
    <w:unhideWhenUsed/>
    <w:rsid w:val="00C64FC7"/>
  </w:style>
  <w:style w:type="numbering" w:customStyle="1" w:styleId="NoList338">
    <w:name w:val="No List338"/>
    <w:next w:val="NoList"/>
    <w:uiPriority w:val="99"/>
    <w:semiHidden/>
    <w:unhideWhenUsed/>
    <w:rsid w:val="00C64FC7"/>
  </w:style>
  <w:style w:type="numbering" w:customStyle="1" w:styleId="NoList73">
    <w:name w:val="No List73"/>
    <w:next w:val="NoList"/>
    <w:uiPriority w:val="99"/>
    <w:semiHidden/>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semiHidden/>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semiHidden/>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semiHidden/>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
    <w:name w:val="No List413"/>
    <w:next w:val="NoList"/>
    <w:uiPriority w:val="99"/>
    <w:semiHidden/>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semiHidden/>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semiHidden/>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semiHidden/>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
    <w:name w:val="No List513"/>
    <w:next w:val="NoList"/>
    <w:uiPriority w:val="99"/>
    <w:semiHidden/>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semiHidden/>
    <w:unhideWhenUsed/>
    <w:rsid w:val="00C64FC7"/>
  </w:style>
  <w:style w:type="numbering" w:customStyle="1" w:styleId="NoList2213">
    <w:name w:val="No List2213"/>
    <w:next w:val="NoList"/>
    <w:uiPriority w:val="99"/>
    <w:semiHidden/>
    <w:unhideWhenUsed/>
    <w:rsid w:val="00C64FC7"/>
  </w:style>
  <w:style w:type="numbering" w:customStyle="1" w:styleId="NoList3213">
    <w:name w:val="No List3213"/>
    <w:next w:val="NoList"/>
    <w:uiPriority w:val="99"/>
    <w:semiHidden/>
    <w:unhideWhenUsed/>
    <w:rsid w:val="00C64FC7"/>
  </w:style>
  <w:style w:type="numbering" w:customStyle="1" w:styleId="NoList613">
    <w:name w:val="No List613"/>
    <w:next w:val="NoList"/>
    <w:uiPriority w:val="99"/>
    <w:semiHidden/>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semiHidden/>
    <w:unhideWhenUsed/>
    <w:rsid w:val="00C64FC7"/>
  </w:style>
  <w:style w:type="numbering" w:customStyle="1" w:styleId="NoList2313">
    <w:name w:val="No List2313"/>
    <w:next w:val="NoList"/>
    <w:uiPriority w:val="99"/>
    <w:semiHidden/>
    <w:unhideWhenUsed/>
    <w:rsid w:val="00C64FC7"/>
  </w:style>
  <w:style w:type="numbering" w:customStyle="1" w:styleId="NoList3313">
    <w:name w:val="No List3313"/>
    <w:next w:val="NoList"/>
    <w:uiPriority w:val="99"/>
    <w:semiHidden/>
    <w:unhideWhenUsed/>
    <w:rsid w:val="00C64FC7"/>
  </w:style>
  <w:style w:type="numbering" w:customStyle="1" w:styleId="NoList83">
    <w:name w:val="No List83"/>
    <w:next w:val="NoList"/>
    <w:uiPriority w:val="99"/>
    <w:semiHidden/>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semiHidden/>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semiHidden/>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semiHidden/>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3">
    <w:name w:val="No List423"/>
    <w:next w:val="NoList"/>
    <w:uiPriority w:val="99"/>
    <w:semiHidden/>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semiHidden/>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semiHidden/>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semiHidden/>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3">
    <w:name w:val="No List523"/>
    <w:next w:val="NoList"/>
    <w:uiPriority w:val="99"/>
    <w:semiHidden/>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semiHidden/>
    <w:unhideWhenUsed/>
    <w:rsid w:val="00C64FC7"/>
  </w:style>
  <w:style w:type="numbering" w:customStyle="1" w:styleId="NoList2223">
    <w:name w:val="No List2223"/>
    <w:next w:val="NoList"/>
    <w:uiPriority w:val="99"/>
    <w:semiHidden/>
    <w:unhideWhenUsed/>
    <w:rsid w:val="00C64FC7"/>
  </w:style>
  <w:style w:type="numbering" w:customStyle="1" w:styleId="NoList3223">
    <w:name w:val="No List3223"/>
    <w:next w:val="NoList"/>
    <w:uiPriority w:val="99"/>
    <w:semiHidden/>
    <w:unhideWhenUsed/>
    <w:rsid w:val="00C64FC7"/>
  </w:style>
  <w:style w:type="numbering" w:customStyle="1" w:styleId="NoList623">
    <w:name w:val="No List623"/>
    <w:next w:val="NoList"/>
    <w:uiPriority w:val="99"/>
    <w:semiHidden/>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semiHidden/>
    <w:unhideWhenUsed/>
    <w:rsid w:val="00C64FC7"/>
  </w:style>
  <w:style w:type="numbering" w:customStyle="1" w:styleId="NoList2323">
    <w:name w:val="No List2323"/>
    <w:next w:val="NoList"/>
    <w:uiPriority w:val="99"/>
    <w:semiHidden/>
    <w:unhideWhenUsed/>
    <w:rsid w:val="00C64FC7"/>
  </w:style>
  <w:style w:type="numbering" w:customStyle="1" w:styleId="NoList3323">
    <w:name w:val="No List3323"/>
    <w:next w:val="NoList"/>
    <w:uiPriority w:val="99"/>
    <w:semiHidden/>
    <w:unhideWhenUsed/>
    <w:rsid w:val="00C64FC7"/>
  </w:style>
  <w:style w:type="numbering" w:customStyle="1" w:styleId="NoList93">
    <w:name w:val="No List93"/>
    <w:next w:val="NoList"/>
    <w:uiPriority w:val="99"/>
    <w:semiHidden/>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semiHidden/>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semiHidden/>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semiHidden/>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3">
    <w:name w:val="No List433"/>
    <w:next w:val="NoList"/>
    <w:uiPriority w:val="99"/>
    <w:semiHidden/>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semiHidden/>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semiHidden/>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semiHidden/>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3">
    <w:name w:val="No List533"/>
    <w:next w:val="NoList"/>
    <w:uiPriority w:val="99"/>
    <w:semiHidden/>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semiHidden/>
    <w:unhideWhenUsed/>
    <w:rsid w:val="00C64FC7"/>
  </w:style>
  <w:style w:type="numbering" w:customStyle="1" w:styleId="NoList2233">
    <w:name w:val="No List2233"/>
    <w:next w:val="NoList"/>
    <w:uiPriority w:val="99"/>
    <w:semiHidden/>
    <w:unhideWhenUsed/>
    <w:rsid w:val="00C64FC7"/>
  </w:style>
  <w:style w:type="numbering" w:customStyle="1" w:styleId="NoList3233">
    <w:name w:val="No List3233"/>
    <w:next w:val="NoList"/>
    <w:uiPriority w:val="99"/>
    <w:semiHidden/>
    <w:unhideWhenUsed/>
    <w:rsid w:val="00C64FC7"/>
  </w:style>
  <w:style w:type="numbering" w:customStyle="1" w:styleId="NoList633">
    <w:name w:val="No List633"/>
    <w:next w:val="NoList"/>
    <w:uiPriority w:val="99"/>
    <w:semiHidden/>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semiHidden/>
    <w:unhideWhenUsed/>
    <w:rsid w:val="00C64FC7"/>
  </w:style>
  <w:style w:type="numbering" w:customStyle="1" w:styleId="NoList2333">
    <w:name w:val="No List2333"/>
    <w:next w:val="NoList"/>
    <w:uiPriority w:val="99"/>
    <w:semiHidden/>
    <w:unhideWhenUsed/>
    <w:rsid w:val="00C64FC7"/>
  </w:style>
  <w:style w:type="numbering" w:customStyle="1" w:styleId="NoList3333">
    <w:name w:val="No List3333"/>
    <w:next w:val="NoList"/>
    <w:uiPriority w:val="99"/>
    <w:semiHidden/>
    <w:unhideWhenUsed/>
    <w:rsid w:val="00C64FC7"/>
  </w:style>
  <w:style w:type="numbering" w:customStyle="1" w:styleId="NoList103">
    <w:name w:val="No List103"/>
    <w:next w:val="NoList"/>
    <w:uiPriority w:val="99"/>
    <w:semiHidden/>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semiHidden/>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semiHidden/>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semiHidden/>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3">
    <w:name w:val="No List443"/>
    <w:next w:val="NoList"/>
    <w:uiPriority w:val="99"/>
    <w:semiHidden/>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semiHidden/>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semiHidden/>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semiHidden/>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3">
    <w:name w:val="No List543"/>
    <w:next w:val="NoList"/>
    <w:uiPriority w:val="99"/>
    <w:semiHidden/>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semiHidden/>
    <w:unhideWhenUsed/>
    <w:rsid w:val="00C64FC7"/>
  </w:style>
  <w:style w:type="numbering" w:customStyle="1" w:styleId="NoList2243">
    <w:name w:val="No List2243"/>
    <w:next w:val="NoList"/>
    <w:uiPriority w:val="99"/>
    <w:semiHidden/>
    <w:unhideWhenUsed/>
    <w:rsid w:val="00C64FC7"/>
  </w:style>
  <w:style w:type="numbering" w:customStyle="1" w:styleId="NoList3243">
    <w:name w:val="No List3243"/>
    <w:next w:val="NoList"/>
    <w:uiPriority w:val="99"/>
    <w:semiHidden/>
    <w:unhideWhenUsed/>
    <w:rsid w:val="00C64FC7"/>
  </w:style>
  <w:style w:type="numbering" w:customStyle="1" w:styleId="NoList643">
    <w:name w:val="No List643"/>
    <w:next w:val="NoList"/>
    <w:uiPriority w:val="99"/>
    <w:semiHidden/>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semiHidden/>
    <w:unhideWhenUsed/>
    <w:rsid w:val="00C64FC7"/>
  </w:style>
  <w:style w:type="numbering" w:customStyle="1" w:styleId="NoList2343">
    <w:name w:val="No List2343"/>
    <w:next w:val="NoList"/>
    <w:uiPriority w:val="99"/>
    <w:semiHidden/>
    <w:unhideWhenUsed/>
    <w:rsid w:val="00C64FC7"/>
  </w:style>
  <w:style w:type="numbering" w:customStyle="1" w:styleId="NoList3343">
    <w:name w:val="No List3343"/>
    <w:next w:val="NoList"/>
    <w:uiPriority w:val="99"/>
    <w:semiHidden/>
    <w:unhideWhenUsed/>
    <w:rsid w:val="00C64FC7"/>
  </w:style>
  <w:style w:type="numbering" w:customStyle="1" w:styleId="NoList183">
    <w:name w:val="No List183"/>
    <w:next w:val="NoList"/>
    <w:uiPriority w:val="99"/>
    <w:semiHidden/>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semiHidden/>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semiHidden/>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semiHidden/>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3">
    <w:name w:val="No List453"/>
    <w:next w:val="NoList"/>
    <w:uiPriority w:val="99"/>
    <w:semiHidden/>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semiHidden/>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semiHidden/>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semiHidden/>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3">
    <w:name w:val="No List553"/>
    <w:next w:val="NoList"/>
    <w:uiPriority w:val="99"/>
    <w:semiHidden/>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semiHidden/>
    <w:unhideWhenUsed/>
    <w:rsid w:val="00C64FC7"/>
  </w:style>
  <w:style w:type="numbering" w:customStyle="1" w:styleId="NoList2253">
    <w:name w:val="No List2253"/>
    <w:next w:val="NoList"/>
    <w:uiPriority w:val="99"/>
    <w:semiHidden/>
    <w:unhideWhenUsed/>
    <w:rsid w:val="00C64FC7"/>
  </w:style>
  <w:style w:type="numbering" w:customStyle="1" w:styleId="NoList3253">
    <w:name w:val="No List3253"/>
    <w:next w:val="NoList"/>
    <w:uiPriority w:val="99"/>
    <w:semiHidden/>
    <w:unhideWhenUsed/>
    <w:rsid w:val="00C64FC7"/>
  </w:style>
  <w:style w:type="numbering" w:customStyle="1" w:styleId="NoList653">
    <w:name w:val="No List653"/>
    <w:next w:val="NoList"/>
    <w:uiPriority w:val="99"/>
    <w:semiHidden/>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semiHidden/>
    <w:unhideWhenUsed/>
    <w:rsid w:val="00C64FC7"/>
  </w:style>
  <w:style w:type="numbering" w:customStyle="1" w:styleId="NoList2353">
    <w:name w:val="No List2353"/>
    <w:next w:val="NoList"/>
    <w:uiPriority w:val="99"/>
    <w:semiHidden/>
    <w:unhideWhenUsed/>
    <w:rsid w:val="00C64FC7"/>
  </w:style>
  <w:style w:type="numbering" w:customStyle="1" w:styleId="NoList3353">
    <w:name w:val="No List3353"/>
    <w:next w:val="NoList"/>
    <w:uiPriority w:val="99"/>
    <w:semiHidden/>
    <w:unhideWhenUsed/>
    <w:rsid w:val="00C64FC7"/>
  </w:style>
  <w:style w:type="numbering" w:customStyle="1" w:styleId="NoList202">
    <w:name w:val="No List202"/>
    <w:next w:val="NoList"/>
    <w:uiPriority w:val="99"/>
    <w:semiHidden/>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semiHidden/>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semiHidden/>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semiHidden/>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2">
    <w:name w:val="No List462"/>
    <w:next w:val="NoList"/>
    <w:uiPriority w:val="99"/>
    <w:semiHidden/>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semiHidden/>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semiHidden/>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semiHidden/>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2">
    <w:name w:val="No List562"/>
    <w:next w:val="NoList"/>
    <w:uiPriority w:val="99"/>
    <w:semiHidden/>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semiHidden/>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semiHidden/>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semiHidden/>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2">
    <w:name w:val="No List662"/>
    <w:next w:val="NoList"/>
    <w:uiPriority w:val="99"/>
    <w:semiHidden/>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semiHidden/>
    <w:unhideWhenUsed/>
    <w:rsid w:val="00C64FC7"/>
  </w:style>
  <w:style w:type="numbering" w:customStyle="1" w:styleId="NoList2362">
    <w:name w:val="No List2362"/>
    <w:next w:val="NoList"/>
    <w:uiPriority w:val="99"/>
    <w:semiHidden/>
    <w:unhideWhenUsed/>
    <w:rsid w:val="00C64FC7"/>
  </w:style>
  <w:style w:type="numbering" w:customStyle="1" w:styleId="NoList3362">
    <w:name w:val="No List3362"/>
    <w:next w:val="NoList"/>
    <w:uiPriority w:val="99"/>
    <w:semiHidden/>
    <w:unhideWhenUsed/>
    <w:rsid w:val="00C64FC7"/>
  </w:style>
  <w:style w:type="numbering" w:customStyle="1" w:styleId="NoList712">
    <w:name w:val="No List712"/>
    <w:next w:val="NoList"/>
    <w:uiPriority w:val="99"/>
    <w:semiHidden/>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semiHidden/>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semiHidden/>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semiHidden/>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2">
    <w:name w:val="No List4112"/>
    <w:next w:val="NoList"/>
    <w:uiPriority w:val="99"/>
    <w:semiHidden/>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semiHidden/>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semiHidden/>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semiHidden/>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2">
    <w:name w:val="No List5112"/>
    <w:next w:val="NoList"/>
    <w:uiPriority w:val="99"/>
    <w:semiHidden/>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semiHidden/>
    <w:unhideWhenUsed/>
    <w:rsid w:val="00C64FC7"/>
  </w:style>
  <w:style w:type="numbering" w:customStyle="1" w:styleId="NoList22112">
    <w:name w:val="No List22112"/>
    <w:next w:val="NoList"/>
    <w:uiPriority w:val="99"/>
    <w:semiHidden/>
    <w:unhideWhenUsed/>
    <w:rsid w:val="00C64FC7"/>
  </w:style>
  <w:style w:type="numbering" w:customStyle="1" w:styleId="NoList32112">
    <w:name w:val="No List32112"/>
    <w:next w:val="NoList"/>
    <w:uiPriority w:val="99"/>
    <w:semiHidden/>
    <w:unhideWhenUsed/>
    <w:rsid w:val="00C64FC7"/>
  </w:style>
  <w:style w:type="numbering" w:customStyle="1" w:styleId="NoList6112">
    <w:name w:val="No List6112"/>
    <w:next w:val="NoList"/>
    <w:uiPriority w:val="99"/>
    <w:semiHidden/>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semiHidden/>
    <w:unhideWhenUsed/>
    <w:rsid w:val="00C64FC7"/>
  </w:style>
  <w:style w:type="numbering" w:customStyle="1" w:styleId="NoList23112">
    <w:name w:val="No List23112"/>
    <w:next w:val="NoList"/>
    <w:uiPriority w:val="99"/>
    <w:semiHidden/>
    <w:unhideWhenUsed/>
    <w:rsid w:val="00C64FC7"/>
  </w:style>
  <w:style w:type="numbering" w:customStyle="1" w:styleId="NoList33112">
    <w:name w:val="No List33112"/>
    <w:next w:val="NoList"/>
    <w:uiPriority w:val="99"/>
    <w:semiHidden/>
    <w:unhideWhenUsed/>
    <w:rsid w:val="00C64FC7"/>
  </w:style>
  <w:style w:type="numbering" w:customStyle="1" w:styleId="NoList812">
    <w:name w:val="No List812"/>
    <w:next w:val="NoList"/>
    <w:uiPriority w:val="99"/>
    <w:semiHidden/>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semiHidden/>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semiHidden/>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semiHidden/>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2">
    <w:name w:val="No List4212"/>
    <w:next w:val="NoList"/>
    <w:uiPriority w:val="99"/>
    <w:semiHidden/>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semiHidden/>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semiHidden/>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semiHidden/>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2">
    <w:name w:val="No List5212"/>
    <w:next w:val="NoList"/>
    <w:uiPriority w:val="99"/>
    <w:semiHidden/>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semiHidden/>
    <w:unhideWhenUsed/>
    <w:rsid w:val="00C64FC7"/>
  </w:style>
  <w:style w:type="numbering" w:customStyle="1" w:styleId="NoList22212">
    <w:name w:val="No List22212"/>
    <w:next w:val="NoList"/>
    <w:uiPriority w:val="99"/>
    <w:semiHidden/>
    <w:unhideWhenUsed/>
    <w:rsid w:val="00C64FC7"/>
  </w:style>
  <w:style w:type="numbering" w:customStyle="1" w:styleId="NoList32212">
    <w:name w:val="No List32212"/>
    <w:next w:val="NoList"/>
    <w:uiPriority w:val="99"/>
    <w:semiHidden/>
    <w:unhideWhenUsed/>
    <w:rsid w:val="00C64FC7"/>
  </w:style>
  <w:style w:type="numbering" w:customStyle="1" w:styleId="NoList6212">
    <w:name w:val="No List6212"/>
    <w:next w:val="NoList"/>
    <w:uiPriority w:val="99"/>
    <w:semiHidden/>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semiHidden/>
    <w:unhideWhenUsed/>
    <w:rsid w:val="00C64FC7"/>
  </w:style>
  <w:style w:type="numbering" w:customStyle="1" w:styleId="NoList23212">
    <w:name w:val="No List23212"/>
    <w:next w:val="NoList"/>
    <w:uiPriority w:val="99"/>
    <w:semiHidden/>
    <w:unhideWhenUsed/>
    <w:rsid w:val="00C64FC7"/>
  </w:style>
  <w:style w:type="numbering" w:customStyle="1" w:styleId="NoList33212">
    <w:name w:val="No List33212"/>
    <w:next w:val="NoList"/>
    <w:uiPriority w:val="99"/>
    <w:semiHidden/>
    <w:unhideWhenUsed/>
    <w:rsid w:val="00C64FC7"/>
  </w:style>
  <w:style w:type="numbering" w:customStyle="1" w:styleId="NoList912">
    <w:name w:val="No List912"/>
    <w:next w:val="NoList"/>
    <w:uiPriority w:val="99"/>
    <w:semiHidden/>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semiHidden/>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semiHidden/>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semiHidden/>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2">
    <w:name w:val="No List4312"/>
    <w:next w:val="NoList"/>
    <w:uiPriority w:val="99"/>
    <w:semiHidden/>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semiHidden/>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semiHidden/>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semiHidden/>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2">
    <w:name w:val="No List5312"/>
    <w:next w:val="NoList"/>
    <w:uiPriority w:val="99"/>
    <w:semiHidden/>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semiHidden/>
    <w:unhideWhenUsed/>
    <w:rsid w:val="00C64FC7"/>
  </w:style>
  <w:style w:type="numbering" w:customStyle="1" w:styleId="NoList22312">
    <w:name w:val="No List22312"/>
    <w:next w:val="NoList"/>
    <w:uiPriority w:val="99"/>
    <w:semiHidden/>
    <w:unhideWhenUsed/>
    <w:rsid w:val="00C64FC7"/>
  </w:style>
  <w:style w:type="numbering" w:customStyle="1" w:styleId="NoList32312">
    <w:name w:val="No List32312"/>
    <w:next w:val="NoList"/>
    <w:uiPriority w:val="99"/>
    <w:semiHidden/>
    <w:unhideWhenUsed/>
    <w:rsid w:val="00C64FC7"/>
  </w:style>
  <w:style w:type="numbering" w:customStyle="1" w:styleId="NoList6312">
    <w:name w:val="No List6312"/>
    <w:next w:val="NoList"/>
    <w:uiPriority w:val="99"/>
    <w:semiHidden/>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semiHidden/>
    <w:unhideWhenUsed/>
    <w:rsid w:val="00C64FC7"/>
  </w:style>
  <w:style w:type="numbering" w:customStyle="1" w:styleId="NoList23312">
    <w:name w:val="No List23312"/>
    <w:next w:val="NoList"/>
    <w:uiPriority w:val="99"/>
    <w:semiHidden/>
    <w:unhideWhenUsed/>
    <w:rsid w:val="00C64FC7"/>
  </w:style>
  <w:style w:type="numbering" w:customStyle="1" w:styleId="NoList33312">
    <w:name w:val="No List33312"/>
    <w:next w:val="NoList"/>
    <w:uiPriority w:val="99"/>
    <w:semiHidden/>
    <w:unhideWhenUsed/>
    <w:rsid w:val="00C64FC7"/>
  </w:style>
  <w:style w:type="numbering" w:customStyle="1" w:styleId="NoList1012">
    <w:name w:val="No List1012"/>
    <w:next w:val="NoList"/>
    <w:uiPriority w:val="99"/>
    <w:semiHidden/>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semiHidden/>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semiHidden/>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semiHidden/>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2">
    <w:name w:val="No List4412"/>
    <w:next w:val="NoList"/>
    <w:uiPriority w:val="99"/>
    <w:semiHidden/>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semiHidden/>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3068729">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7285965">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48513984">
      <w:bodyDiv w:val="1"/>
      <w:marLeft w:val="0"/>
      <w:marRight w:val="0"/>
      <w:marTop w:val="0"/>
      <w:marBottom w:val="0"/>
      <w:divBdr>
        <w:top w:val="none" w:sz="0" w:space="0" w:color="auto"/>
        <w:left w:val="none" w:sz="0" w:space="0" w:color="auto"/>
        <w:bottom w:val="none" w:sz="0" w:space="0" w:color="auto"/>
        <w:right w:val="none" w:sz="0" w:space="0" w:color="auto"/>
      </w:divBdr>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130540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42653971">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9115464">
      <w:bodyDiv w:val="1"/>
      <w:marLeft w:val="0"/>
      <w:marRight w:val="0"/>
      <w:marTop w:val="0"/>
      <w:marBottom w:val="0"/>
      <w:divBdr>
        <w:top w:val="none" w:sz="0" w:space="0" w:color="auto"/>
        <w:left w:val="none" w:sz="0" w:space="0" w:color="auto"/>
        <w:bottom w:val="none" w:sz="0" w:space="0" w:color="auto"/>
        <w:right w:val="none" w:sz="0" w:space="0" w:color="auto"/>
      </w:divBdr>
    </w:div>
    <w:div w:id="659892249">
      <w:bodyDiv w:val="1"/>
      <w:marLeft w:val="0"/>
      <w:marRight w:val="0"/>
      <w:marTop w:val="0"/>
      <w:marBottom w:val="0"/>
      <w:divBdr>
        <w:top w:val="none" w:sz="0" w:space="0" w:color="auto"/>
        <w:left w:val="none" w:sz="0" w:space="0" w:color="auto"/>
        <w:bottom w:val="none" w:sz="0" w:space="0" w:color="auto"/>
        <w:right w:val="none" w:sz="0" w:space="0" w:color="auto"/>
      </w:divBdr>
    </w:div>
    <w:div w:id="674649471">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4937478">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55397206">
      <w:bodyDiv w:val="1"/>
      <w:marLeft w:val="0"/>
      <w:marRight w:val="0"/>
      <w:marTop w:val="0"/>
      <w:marBottom w:val="0"/>
      <w:divBdr>
        <w:top w:val="none" w:sz="0" w:space="0" w:color="auto"/>
        <w:left w:val="none" w:sz="0" w:space="0" w:color="auto"/>
        <w:bottom w:val="none" w:sz="0" w:space="0" w:color="auto"/>
        <w:right w:val="none" w:sz="0" w:space="0" w:color="auto"/>
      </w:divBdr>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225476">
      <w:bodyDiv w:val="1"/>
      <w:marLeft w:val="0"/>
      <w:marRight w:val="0"/>
      <w:marTop w:val="0"/>
      <w:marBottom w:val="0"/>
      <w:divBdr>
        <w:top w:val="none" w:sz="0" w:space="0" w:color="auto"/>
        <w:left w:val="none" w:sz="0" w:space="0" w:color="auto"/>
        <w:bottom w:val="none" w:sz="0" w:space="0" w:color="auto"/>
        <w:right w:val="none" w:sz="0" w:space="0" w:color="auto"/>
      </w:divBdr>
    </w:div>
    <w:div w:id="83186870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996610851">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70227417">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8893308">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5051828">
      <w:bodyDiv w:val="1"/>
      <w:marLeft w:val="0"/>
      <w:marRight w:val="0"/>
      <w:marTop w:val="0"/>
      <w:marBottom w:val="0"/>
      <w:divBdr>
        <w:top w:val="none" w:sz="0" w:space="0" w:color="auto"/>
        <w:left w:val="none" w:sz="0" w:space="0" w:color="auto"/>
        <w:bottom w:val="none" w:sz="0" w:space="0" w:color="auto"/>
        <w:right w:val="none" w:sz="0" w:space="0" w:color="auto"/>
      </w:divBdr>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213156645">
      <w:bodyDiv w:val="1"/>
      <w:marLeft w:val="0"/>
      <w:marRight w:val="0"/>
      <w:marTop w:val="0"/>
      <w:marBottom w:val="0"/>
      <w:divBdr>
        <w:top w:val="none" w:sz="0" w:space="0" w:color="auto"/>
        <w:left w:val="none" w:sz="0" w:space="0" w:color="auto"/>
        <w:bottom w:val="none" w:sz="0" w:space="0" w:color="auto"/>
        <w:right w:val="none" w:sz="0" w:space="0" w:color="auto"/>
      </w:divBdr>
      <w:divsChild>
        <w:div w:id="1414274235">
          <w:marLeft w:val="0"/>
          <w:marRight w:val="0"/>
          <w:marTop w:val="0"/>
          <w:marBottom w:val="0"/>
          <w:divBdr>
            <w:top w:val="none" w:sz="0" w:space="0" w:color="auto"/>
            <w:left w:val="none" w:sz="0" w:space="0" w:color="auto"/>
            <w:bottom w:val="none" w:sz="0" w:space="0" w:color="auto"/>
            <w:right w:val="none" w:sz="0" w:space="0" w:color="auto"/>
          </w:divBdr>
        </w:div>
        <w:div w:id="1348213886">
          <w:marLeft w:val="0"/>
          <w:marRight w:val="0"/>
          <w:marTop w:val="0"/>
          <w:marBottom w:val="0"/>
          <w:divBdr>
            <w:top w:val="none" w:sz="0" w:space="0" w:color="auto"/>
            <w:left w:val="none" w:sz="0" w:space="0" w:color="auto"/>
            <w:bottom w:val="none" w:sz="0" w:space="0" w:color="auto"/>
            <w:right w:val="none" w:sz="0" w:space="0" w:color="auto"/>
          </w:divBdr>
        </w:div>
        <w:div w:id="396896846">
          <w:marLeft w:val="0"/>
          <w:marRight w:val="0"/>
          <w:marTop w:val="0"/>
          <w:marBottom w:val="0"/>
          <w:divBdr>
            <w:top w:val="none" w:sz="0" w:space="0" w:color="auto"/>
            <w:left w:val="none" w:sz="0" w:space="0" w:color="auto"/>
            <w:bottom w:val="none" w:sz="0" w:space="0" w:color="auto"/>
            <w:right w:val="none" w:sz="0" w:space="0" w:color="auto"/>
          </w:divBdr>
        </w:div>
        <w:div w:id="87704341">
          <w:marLeft w:val="0"/>
          <w:marRight w:val="0"/>
          <w:marTop w:val="0"/>
          <w:marBottom w:val="0"/>
          <w:divBdr>
            <w:top w:val="none" w:sz="0" w:space="0" w:color="auto"/>
            <w:left w:val="none" w:sz="0" w:space="0" w:color="auto"/>
            <w:bottom w:val="none" w:sz="0" w:space="0" w:color="auto"/>
            <w:right w:val="none" w:sz="0" w:space="0" w:color="auto"/>
          </w:divBdr>
        </w:div>
        <w:div w:id="403183903">
          <w:marLeft w:val="0"/>
          <w:marRight w:val="0"/>
          <w:marTop w:val="0"/>
          <w:marBottom w:val="0"/>
          <w:divBdr>
            <w:top w:val="none" w:sz="0" w:space="0" w:color="auto"/>
            <w:left w:val="none" w:sz="0" w:space="0" w:color="auto"/>
            <w:bottom w:val="none" w:sz="0" w:space="0" w:color="auto"/>
            <w:right w:val="none" w:sz="0" w:space="0" w:color="auto"/>
          </w:divBdr>
        </w:div>
      </w:divsChild>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81105026">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82050756">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414931231">
      <w:bodyDiv w:val="1"/>
      <w:marLeft w:val="0"/>
      <w:marRight w:val="0"/>
      <w:marTop w:val="0"/>
      <w:marBottom w:val="0"/>
      <w:divBdr>
        <w:top w:val="none" w:sz="0" w:space="0" w:color="auto"/>
        <w:left w:val="none" w:sz="0" w:space="0" w:color="auto"/>
        <w:bottom w:val="none" w:sz="0" w:space="0" w:color="auto"/>
        <w:right w:val="none" w:sz="0" w:space="0" w:color="auto"/>
      </w:divBdr>
    </w:div>
    <w:div w:id="1428691285">
      <w:bodyDiv w:val="1"/>
      <w:marLeft w:val="0"/>
      <w:marRight w:val="0"/>
      <w:marTop w:val="0"/>
      <w:marBottom w:val="0"/>
      <w:divBdr>
        <w:top w:val="none" w:sz="0" w:space="0" w:color="auto"/>
        <w:left w:val="none" w:sz="0" w:space="0" w:color="auto"/>
        <w:bottom w:val="none" w:sz="0" w:space="0" w:color="auto"/>
        <w:right w:val="none" w:sz="0" w:space="0" w:color="auto"/>
      </w:divBdr>
    </w:div>
    <w:div w:id="1444030198">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6823337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50920032">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605070389">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20911216">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3553738">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838612711">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2387651">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34304686">
      <w:bodyDiv w:val="1"/>
      <w:marLeft w:val="0"/>
      <w:marRight w:val="0"/>
      <w:marTop w:val="0"/>
      <w:marBottom w:val="0"/>
      <w:divBdr>
        <w:top w:val="none" w:sz="0" w:space="0" w:color="auto"/>
        <w:left w:val="none" w:sz="0" w:space="0" w:color="auto"/>
        <w:bottom w:val="none" w:sz="0" w:space="0" w:color="auto"/>
        <w:right w:val="none" w:sz="0" w:space="0" w:color="auto"/>
      </w:divBdr>
    </w:div>
    <w:div w:id="2039618744">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83326651">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116055131">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36680993">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3.xml"/><Relationship Id="rId18" Type="http://schemas.openxmlformats.org/officeDocument/2006/relationships/chart" Target="charts/chart8.xml"/><Relationship Id="rId26" Type="http://schemas.openxmlformats.org/officeDocument/2006/relationships/chart" Target="charts/chart16.xml"/><Relationship Id="rId39" Type="http://schemas.openxmlformats.org/officeDocument/2006/relationships/hyperlink" Target="https://www.fca.org.uk/publications/multi-firm-reviews/review-disclosure-costs-asset-managers" TargetMode="External"/><Relationship Id="rId3" Type="http://schemas.openxmlformats.org/officeDocument/2006/relationships/styles" Target="styles.xml"/><Relationship Id="rId21" Type="http://schemas.openxmlformats.org/officeDocument/2006/relationships/chart" Target="charts/chart11.xml"/><Relationship Id="rId34" Type="http://schemas.openxmlformats.org/officeDocument/2006/relationships/chart" Target="charts/chart22.xml"/><Relationship Id="rId42" Type="http://schemas.openxmlformats.org/officeDocument/2006/relationships/hyperlink" Target="https://www.fca.org.uk/publications/market-studies/asset-management-market-study" TargetMode="External"/><Relationship Id="rId47"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7.xml"/><Relationship Id="rId25" Type="http://schemas.openxmlformats.org/officeDocument/2006/relationships/chart" Target="charts/chart15.xml"/><Relationship Id="rId33" Type="http://schemas.openxmlformats.org/officeDocument/2006/relationships/chart" Target="charts/chart21.xml"/><Relationship Id="rId38" Type="http://schemas.openxmlformats.org/officeDocument/2006/relationships/hyperlink" Target="https://www.investopedia.com/terms/p/packaged-retail-investment-and-insurancebased-products-priips.asp" TargetMode="External"/><Relationship Id="rId46"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chart" Target="charts/chart10.xml"/><Relationship Id="rId29" Type="http://schemas.openxmlformats.org/officeDocument/2006/relationships/hyperlink" Target="https://www.business-standard.com/article/economy-policy/statsguru-imf-expects-india-to-grow-at-7-3-in-fy19-7-5-in-fy20-118081200631_1.html" TargetMode="External"/><Relationship Id="rId41" Type="http://schemas.openxmlformats.org/officeDocument/2006/relationships/hyperlink" Target="https://www.fca.org.uk/news/press-releases/fca-warns-public-investment-scams-over-197-million-reported-losses-201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chart" Target="charts/chart14.xml"/><Relationship Id="rId32" Type="http://schemas.openxmlformats.org/officeDocument/2006/relationships/chart" Target="charts/chart20.xml"/><Relationship Id="rId37" Type="http://schemas.openxmlformats.org/officeDocument/2006/relationships/hyperlink" Target="https://www.esma.europa.eu/sites/default/files/library/esma71-99-1096_esma_and_eu_securities%20_regulators_agree_no-deal_brexit_mous_with_fca.pdf" TargetMode="External"/><Relationship Id="rId40" Type="http://schemas.openxmlformats.org/officeDocument/2006/relationships/hyperlink" Target="https://www.fca.org.uk/publications/multi-firm-reviews/mifid-ii-costs-and-charges-disclosures-review-findings" TargetMode="External"/><Relationship Id="rId45" Type="http://schemas.openxmlformats.org/officeDocument/2006/relationships/hyperlink" Target="https://www.sfc.hk/edistributionWeb/gateway/EN/news-and-announcements/news/doc?refNo=19PR6" TargetMode="External"/><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chart" Target="charts/chart13.xml"/><Relationship Id="rId28" Type="http://schemas.openxmlformats.org/officeDocument/2006/relationships/hyperlink" Target="https://www.business-standard.com/article/economy-policy/statsguru-imf-expects-india-to-grow-at-7-3-in-fy19-7-5-in-fy20-118081200631_1.html" TargetMode="External"/><Relationship Id="rId36" Type="http://schemas.openxmlformats.org/officeDocument/2006/relationships/hyperlink" Target="https://www.sec.gov/news/press-release/2019-14" TargetMode="External"/><Relationship Id="rId49" Type="http://schemas.openxmlformats.org/officeDocument/2006/relationships/theme" Target="theme/theme1.xml"/><Relationship Id="rId10" Type="http://schemas.openxmlformats.org/officeDocument/2006/relationships/hyperlink" Target="mailto:bulletin@sebi.gov.in" TargetMode="External"/><Relationship Id="rId19" Type="http://schemas.openxmlformats.org/officeDocument/2006/relationships/chart" Target="charts/chart9.xml"/><Relationship Id="rId31" Type="http://schemas.openxmlformats.org/officeDocument/2006/relationships/chart" Target="charts/chart19.xml"/><Relationship Id="rId44" Type="http://schemas.openxmlformats.org/officeDocument/2006/relationships/hyperlink" Target="https://www.sfc.hk/web/EN/forms/intermediaries/licensing-application-and-notification-forms/forms/licensing-forms-forms.html" TargetMode="External"/><Relationship Id="rId4" Type="http://schemas.openxmlformats.org/officeDocument/2006/relationships/settings" Target="settings.xml"/><Relationship Id="rId9" Type="http://schemas.openxmlformats.org/officeDocument/2006/relationships/hyperlink" Target="http://www.sebi.gov.in" TargetMode="External"/><Relationship Id="rId14" Type="http://schemas.openxmlformats.org/officeDocument/2006/relationships/chart" Target="charts/chart4.xml"/><Relationship Id="rId22" Type="http://schemas.openxmlformats.org/officeDocument/2006/relationships/chart" Target="charts/chart12.xml"/><Relationship Id="rId27" Type="http://schemas.openxmlformats.org/officeDocument/2006/relationships/chart" Target="charts/chart17.xml"/><Relationship Id="rId30" Type="http://schemas.openxmlformats.org/officeDocument/2006/relationships/chart" Target="charts/chart18.xml"/><Relationship Id="rId35" Type="http://schemas.openxmlformats.org/officeDocument/2006/relationships/chart" Target="charts/chart23.xml"/><Relationship Id="rId43" Type="http://schemas.openxmlformats.org/officeDocument/2006/relationships/hyperlink" Target="https://www.fca.org.uk/news/press-releases/fca-publishes-second-set-rules-following-asset-management-market-study" TargetMode="External"/><Relationship Id="rId48" Type="http://schemas.openxmlformats.org/officeDocument/2006/relationships/fontTable" Target="fontTable.xml"/><Relationship Id="rId8" Type="http://schemas.openxmlformats.org/officeDocument/2006/relationships/hyperlink" Target="mailto:bulletin@sebi.gov.in"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D:\sebi_backup_data\Akriti\Bulletin\Capital%20Markets%20Review\CMR_March%202019\Capital%20Market%20Review%20-%20march%202019_Final%20Chart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sebi_backup_data\Akriti\Bulletin\Capital%20Markets%20Review\CMR_March%202019\Capital%20Market%20Review%20-%20march%202019_Final%20Charts.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sebi_backup_data\Akriti\Bulletin\Capital%20Markets%20Review\CMR_March%202019\Capital%20Market%20Review%20-%20march%202019_Final%20Charts.xlsx"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D:\sebi_backup_data\Akriti\Bulletin\Capital%20Markets%20Review\CMR_March%202019\Capital%20Market%20Review%20-%20march%202019_Final%20Charts.xlsx" TargetMode="External"/><Relationship Id="rId2" Type="http://schemas.microsoft.com/office/2011/relationships/chartColorStyle" Target="colors1.xml"/><Relationship Id="rId1" Type="http://schemas.microsoft.com/office/2011/relationships/chartStyle" Target="style1.xml"/></Relationships>
</file>

<file path=word/charts/_rels/chart5.xml.rels><?xml version="1.0" encoding="UTF-8" standalone="yes"?>
<Relationships xmlns="http://schemas.openxmlformats.org/package/2006/relationships"><Relationship Id="rId3" Type="http://schemas.openxmlformats.org/officeDocument/2006/relationships/oleObject" Target="file:///D:\sebi_backup_data\Akriti\Bulletin\Capital%20Markets%20Review\CMR_March%202019\Capital%20Market%20Review%20-%20march%202019_Final%20Charts.xlsx" TargetMode="External"/><Relationship Id="rId2" Type="http://schemas.microsoft.com/office/2011/relationships/chartColorStyle" Target="colors2.xml"/><Relationship Id="rId1" Type="http://schemas.microsoft.com/office/2011/relationships/chartStyle" Target="style2.xml"/></Relationships>
</file>

<file path=word/charts/_rels/chart6.xml.rels><?xml version="1.0" encoding="UTF-8" standalone="yes"?>
<Relationships xmlns="http://schemas.openxmlformats.org/package/2006/relationships"><Relationship Id="rId2" Type="http://schemas.openxmlformats.org/officeDocument/2006/relationships/oleObject" Target="file:///D:\sebi_backup_data\Akriti\Bulletin\Capital%20Markets%20Review\CMR_March%202019\Capital%20Market%20Review%20-%20march%202019_Final%20Charts.xlsx" TargetMode="External"/><Relationship Id="rId1" Type="http://schemas.openxmlformats.org/officeDocument/2006/relationships/themeOverride" Target="../theme/themeOverride1.xml"/></Relationships>
</file>

<file path=word/charts/_rels/chart7.xml.rels><?xml version="1.0" encoding="UTF-8" standalone="yes"?>
<Relationships xmlns="http://schemas.openxmlformats.org/package/2006/relationships"><Relationship Id="rId1" Type="http://schemas.openxmlformats.org/officeDocument/2006/relationships/oleObject" Target="file:///D:\sebi_backup_data\Akriti\Bulletin\Capital%20Markets%20Review\CMR_March%202019\Capital%20Market%20Review%20-%20march%202019_Final%20Charts.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D:\sebi_backup_data\Akriti\Bulletin\Capital%20Markets%20Review\CMR_March%202019\Capital%20Market%20Review%20-%20march%202019_Final%20Charts.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D:\sebi_backup_data\Akriti\Bulletin\Capital%20Markets%20Review\CMR_March%202019\Capital%20Market%20Review%20-%20march%202019_Final%20Charts.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D:\sebi_backup_data\Akriti\Bulletin\Capital%20Markets%20Review\CMR_Feb%202019\Capital%20Market%20Review%20-%20Feb%202019_Final%20Charts.xlsx" TargetMode="External"/></Relationships>
</file>

<file path=word/charts/_rels/chart11.xml.rels><?xml version="1.0" encoding="UTF-8" standalone="yes"?>
<Relationships xmlns="http://schemas.openxmlformats.org/package/2006/relationships"><Relationship Id="rId3" Type="http://schemas.openxmlformats.org/officeDocument/2006/relationships/oleObject" Target="file:///D:\sebi_backup_data\Akriti\Bulletin\Capital%20Markets%20Review\CMR_March%202019\Capital%20Market%20Review%20-%20march%202019_Final%20Charts.xlsx" TargetMode="External"/><Relationship Id="rId2" Type="http://schemas.microsoft.com/office/2011/relationships/chartColorStyle" Target="colors3.xml"/><Relationship Id="rId1" Type="http://schemas.microsoft.com/office/2011/relationships/chartStyle" Target="style3.xml"/></Relationships>
</file>

<file path=word/charts/_rels/chart12.xml.rels><?xml version="1.0" encoding="UTF-8" standalone="yes"?>
<Relationships xmlns="http://schemas.openxmlformats.org/package/2006/relationships"><Relationship Id="rId3" Type="http://schemas.openxmlformats.org/officeDocument/2006/relationships/oleObject" Target="file:///D:\sebi_backup_data\Akriti\Bulletin\Capital%20Markets%20Review\CMR_March%202019\Capital%20Market%20Review%20-%20march%202019_Final%20Charts.xlsx" TargetMode="External"/><Relationship Id="rId2" Type="http://schemas.microsoft.com/office/2011/relationships/chartColorStyle" Target="colors4.xml"/><Relationship Id="rId1" Type="http://schemas.microsoft.com/office/2011/relationships/chartStyle" Target="style4.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2201\Desktop\Month-wise%20Bulletin\Bulletin%20Jan.%202019%20to%20Dec.%202019\Feb.%202019\Graphs%20&amp;%20data%20for%20bulletin.xlsx" TargetMode="External"/><Relationship Id="rId2" Type="http://schemas.microsoft.com/office/2011/relationships/chartColorStyle" Target="colors5.xml"/><Relationship Id="rId1" Type="http://schemas.microsoft.com/office/2011/relationships/chartStyle" Target="style5.xml"/></Relationships>
</file>

<file path=word/charts/_rels/chart14.xml.rels><?xml version="1.0" encoding="UTF-8" standalone="yes"?>
<Relationships xmlns="http://schemas.openxmlformats.org/package/2006/relationships"><Relationship Id="rId1" Type="http://schemas.openxmlformats.org/officeDocument/2006/relationships/oleObject" Target="file:///C:\Users\2201\Desktop\Month-wise%20Bulletin\Bulletin%20Jan.%202019%20to%20Dec.%202019\Feb.%202019\Graphs%20&amp;%20data%20for%20bulletin.xlsx" TargetMode="External"/></Relationships>
</file>

<file path=word/charts/_rels/chart15.xml.rels><?xml version="1.0" encoding="UTF-8" standalone="yes"?>
<Relationships xmlns="http://schemas.openxmlformats.org/package/2006/relationships"><Relationship Id="rId3" Type="http://schemas.openxmlformats.org/officeDocument/2006/relationships/oleObject" Target="file:///C:\Users\2201\Desktop\Month-wise%20Bulletin\Bulletin%20Jan.%202019%20to%20Dec.%202019\Feb.%202019\Graphs%20&amp;%20data%20for%20bulletin.xlsx" TargetMode="External"/><Relationship Id="rId2" Type="http://schemas.microsoft.com/office/2011/relationships/chartColorStyle" Target="colors6.xml"/><Relationship Id="rId1" Type="http://schemas.microsoft.com/office/2011/relationships/chartStyle" Target="style6.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2201\Desktop\Month-wise%20Bulletin\Bulletin%20Jan.%202019%20to%20Dec.%202019\Feb.%202019\Graphs%20&amp;%20data%20for%20bulletin.xlsx" TargetMode="External"/><Relationship Id="rId2" Type="http://schemas.microsoft.com/office/2011/relationships/chartColorStyle" Target="colors7.xml"/><Relationship Id="rId1" Type="http://schemas.microsoft.com/office/2011/relationships/chartStyle" Target="style7.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2201\Desktop\Month-wise%20Bulletin\Bulletin%20Jan.%202019%20to%20Dec.%202019\Feb.%202019\Template%20-prices%20&amp;%20graph.xlsx" TargetMode="External"/><Relationship Id="rId2" Type="http://schemas.microsoft.com/office/2011/relationships/chartColorStyle" Target="colors8.xml"/><Relationship Id="rId1" Type="http://schemas.microsoft.com/office/2011/relationships/chartStyle" Target="style8.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2002\Desktop\Global%20Review\March%202019\Master%20File%20for%20Global%20Review.xlsx" TargetMode="External"/><Relationship Id="rId2" Type="http://schemas.microsoft.com/office/2011/relationships/chartColorStyle" Target="colors9.xml"/><Relationship Id="rId1" Type="http://schemas.microsoft.com/office/2011/relationships/chartStyle" Target="style9.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2002\Desktop\Global%20Review\March%202019\Master%20File%20for%20Global%20Review.xlsx" TargetMode="External"/><Relationship Id="rId2" Type="http://schemas.microsoft.com/office/2011/relationships/chartColorStyle" Target="colors10.xml"/><Relationship Id="rId1" Type="http://schemas.microsoft.com/office/2011/relationships/chartStyle" Target="style10.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2002\Desktop\Global%20Review\March%202019\Master%20File%20for%20Global%20Review.xlsx" TargetMode="External"/><Relationship Id="rId2" Type="http://schemas.microsoft.com/office/2011/relationships/chartColorStyle" Target="colors11.xml"/><Relationship Id="rId1" Type="http://schemas.microsoft.com/office/2011/relationships/chartStyle" Target="style11.xml"/></Relationships>
</file>

<file path=word/charts/_rels/chart21.xml.rels><?xml version="1.0" encoding="UTF-8" standalone="yes"?>
<Relationships xmlns="http://schemas.openxmlformats.org/package/2006/relationships"><Relationship Id="rId3" Type="http://schemas.openxmlformats.org/officeDocument/2006/relationships/oleObject" Target="file:///\\Users\Prasad\Desktop\Master%20File%20for%20Global%20Review.xlsx" TargetMode="External"/><Relationship Id="rId2" Type="http://schemas.microsoft.com/office/2011/relationships/chartColorStyle" Target="colors12.xml"/><Relationship Id="rId1" Type="http://schemas.microsoft.com/office/2011/relationships/chartStyle" Target="style12.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2002\Desktop\Global%20Review\March%202019\Master%20File%20for%20Global%20Review.xlsx" TargetMode="External"/><Relationship Id="rId2" Type="http://schemas.microsoft.com/office/2011/relationships/chartColorStyle" Target="colors13.xml"/><Relationship Id="rId1" Type="http://schemas.microsoft.com/office/2011/relationships/chartStyle" Target="style13.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2002\Desktop\Global%20Review\March%202019\Master%20File%20for%20Global%20Review.xlsx" TargetMode="External"/><Relationship Id="rId2" Type="http://schemas.microsoft.com/office/2011/relationships/chartColorStyle" Target="colors14.xml"/><Relationship Id="rId1" Type="http://schemas.microsoft.com/office/2011/relationships/chartStyle" Target="style1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478551817844014"/>
          <c:y val="4.9725721827884102E-2"/>
          <c:w val="0.76008327803796716"/>
          <c:h val="0.62356194326906145"/>
        </c:manualLayout>
      </c:layout>
      <c:lineChart>
        <c:grouping val="standard"/>
        <c:varyColors val="0"/>
        <c:ser>
          <c:idx val="0"/>
          <c:order val="0"/>
          <c:tx>
            <c:strRef>
              <c:f>'F1'!$B$1</c:f>
              <c:strCache>
                <c:ptCount val="1"/>
                <c:pt idx="0">
                  <c:v>Sensex (LHS)</c:v>
                </c:pt>
              </c:strCache>
            </c:strRef>
          </c:tx>
          <c:marker>
            <c:symbol val="none"/>
          </c:marker>
          <c:cat>
            <c:numRef>
              <c:f>'F1'!$A$126:$A$373</c:f>
              <c:numCache>
                <c:formatCode>[$-409]d\-mmm\-yy;@</c:formatCode>
                <c:ptCount val="248"/>
                <c:pt idx="0">
                  <c:v>43160</c:v>
                </c:pt>
                <c:pt idx="1">
                  <c:v>43164</c:v>
                </c:pt>
                <c:pt idx="2">
                  <c:v>43165</c:v>
                </c:pt>
                <c:pt idx="3">
                  <c:v>43166</c:v>
                </c:pt>
                <c:pt idx="4">
                  <c:v>43167</c:v>
                </c:pt>
                <c:pt idx="5">
                  <c:v>43168</c:v>
                </c:pt>
                <c:pt idx="6">
                  <c:v>43171</c:v>
                </c:pt>
                <c:pt idx="7">
                  <c:v>43172</c:v>
                </c:pt>
                <c:pt idx="8">
                  <c:v>43173</c:v>
                </c:pt>
                <c:pt idx="9">
                  <c:v>43174</c:v>
                </c:pt>
                <c:pt idx="10">
                  <c:v>43175</c:v>
                </c:pt>
                <c:pt idx="11">
                  <c:v>43178</c:v>
                </c:pt>
                <c:pt idx="12">
                  <c:v>43179</c:v>
                </c:pt>
                <c:pt idx="13">
                  <c:v>43180</c:v>
                </c:pt>
                <c:pt idx="14">
                  <c:v>43181</c:v>
                </c:pt>
                <c:pt idx="15">
                  <c:v>43182</c:v>
                </c:pt>
                <c:pt idx="16">
                  <c:v>43185</c:v>
                </c:pt>
                <c:pt idx="17">
                  <c:v>43186</c:v>
                </c:pt>
                <c:pt idx="18">
                  <c:v>43187</c:v>
                </c:pt>
                <c:pt idx="19">
                  <c:v>43192</c:v>
                </c:pt>
                <c:pt idx="20">
                  <c:v>43193</c:v>
                </c:pt>
                <c:pt idx="21">
                  <c:v>43194</c:v>
                </c:pt>
                <c:pt idx="22">
                  <c:v>43195</c:v>
                </c:pt>
                <c:pt idx="23">
                  <c:v>43196</c:v>
                </c:pt>
                <c:pt idx="24">
                  <c:v>43199</c:v>
                </c:pt>
                <c:pt idx="25">
                  <c:v>43200</c:v>
                </c:pt>
                <c:pt idx="26">
                  <c:v>43201</c:v>
                </c:pt>
                <c:pt idx="27">
                  <c:v>43202</c:v>
                </c:pt>
                <c:pt idx="28">
                  <c:v>43203</c:v>
                </c:pt>
                <c:pt idx="29">
                  <c:v>43206</c:v>
                </c:pt>
                <c:pt idx="30">
                  <c:v>43207</c:v>
                </c:pt>
                <c:pt idx="31">
                  <c:v>43208</c:v>
                </c:pt>
                <c:pt idx="32">
                  <c:v>43209</c:v>
                </c:pt>
                <c:pt idx="33">
                  <c:v>43210</c:v>
                </c:pt>
                <c:pt idx="34">
                  <c:v>43213</c:v>
                </c:pt>
                <c:pt idx="35">
                  <c:v>43214</c:v>
                </c:pt>
                <c:pt idx="36">
                  <c:v>43215</c:v>
                </c:pt>
                <c:pt idx="37">
                  <c:v>43216</c:v>
                </c:pt>
                <c:pt idx="38">
                  <c:v>43217</c:v>
                </c:pt>
                <c:pt idx="39">
                  <c:v>43220</c:v>
                </c:pt>
                <c:pt idx="40">
                  <c:v>43222</c:v>
                </c:pt>
                <c:pt idx="41">
                  <c:v>43223</c:v>
                </c:pt>
                <c:pt idx="42">
                  <c:v>43224</c:v>
                </c:pt>
                <c:pt idx="43">
                  <c:v>43227</c:v>
                </c:pt>
                <c:pt idx="44">
                  <c:v>43228</c:v>
                </c:pt>
                <c:pt idx="45">
                  <c:v>43229</c:v>
                </c:pt>
                <c:pt idx="46">
                  <c:v>43230</c:v>
                </c:pt>
                <c:pt idx="47">
                  <c:v>43231</c:v>
                </c:pt>
                <c:pt idx="48">
                  <c:v>43234</c:v>
                </c:pt>
                <c:pt idx="49">
                  <c:v>43235</c:v>
                </c:pt>
                <c:pt idx="50">
                  <c:v>43236</c:v>
                </c:pt>
                <c:pt idx="51">
                  <c:v>43237</c:v>
                </c:pt>
                <c:pt idx="52">
                  <c:v>43238</c:v>
                </c:pt>
                <c:pt idx="53">
                  <c:v>43241</c:v>
                </c:pt>
                <c:pt idx="54">
                  <c:v>43242</c:v>
                </c:pt>
                <c:pt idx="55">
                  <c:v>43243</c:v>
                </c:pt>
                <c:pt idx="56">
                  <c:v>43244</c:v>
                </c:pt>
                <c:pt idx="57">
                  <c:v>43245</c:v>
                </c:pt>
                <c:pt idx="58">
                  <c:v>43248</c:v>
                </c:pt>
                <c:pt idx="59">
                  <c:v>43249</c:v>
                </c:pt>
                <c:pt idx="60">
                  <c:v>43250</c:v>
                </c:pt>
                <c:pt idx="61">
                  <c:v>43251</c:v>
                </c:pt>
                <c:pt idx="62">
                  <c:v>43252</c:v>
                </c:pt>
                <c:pt idx="63">
                  <c:v>43255</c:v>
                </c:pt>
                <c:pt idx="64">
                  <c:v>43256</c:v>
                </c:pt>
                <c:pt idx="65">
                  <c:v>43257</c:v>
                </c:pt>
                <c:pt idx="66">
                  <c:v>43258</c:v>
                </c:pt>
                <c:pt idx="67">
                  <c:v>43259</c:v>
                </c:pt>
                <c:pt idx="68">
                  <c:v>43262</c:v>
                </c:pt>
                <c:pt idx="69">
                  <c:v>43263</c:v>
                </c:pt>
                <c:pt idx="70">
                  <c:v>43264</c:v>
                </c:pt>
                <c:pt idx="71">
                  <c:v>43265</c:v>
                </c:pt>
                <c:pt idx="72">
                  <c:v>43266</c:v>
                </c:pt>
                <c:pt idx="73">
                  <c:v>43269</c:v>
                </c:pt>
                <c:pt idx="74">
                  <c:v>43270</c:v>
                </c:pt>
                <c:pt idx="75">
                  <c:v>43271</c:v>
                </c:pt>
                <c:pt idx="76">
                  <c:v>43272</c:v>
                </c:pt>
                <c:pt idx="77">
                  <c:v>43273</c:v>
                </c:pt>
                <c:pt idx="78">
                  <c:v>43276</c:v>
                </c:pt>
                <c:pt idx="79">
                  <c:v>43277</c:v>
                </c:pt>
                <c:pt idx="80">
                  <c:v>43278</c:v>
                </c:pt>
                <c:pt idx="81">
                  <c:v>43279</c:v>
                </c:pt>
                <c:pt idx="82">
                  <c:v>43280</c:v>
                </c:pt>
                <c:pt idx="83">
                  <c:v>43283</c:v>
                </c:pt>
                <c:pt idx="84">
                  <c:v>43284</c:v>
                </c:pt>
                <c:pt idx="85">
                  <c:v>43285</c:v>
                </c:pt>
                <c:pt idx="86">
                  <c:v>43286</c:v>
                </c:pt>
                <c:pt idx="87">
                  <c:v>43287</c:v>
                </c:pt>
                <c:pt idx="88">
                  <c:v>43290</c:v>
                </c:pt>
                <c:pt idx="89">
                  <c:v>43291</c:v>
                </c:pt>
                <c:pt idx="90">
                  <c:v>43292</c:v>
                </c:pt>
                <c:pt idx="91">
                  <c:v>43293</c:v>
                </c:pt>
                <c:pt idx="92">
                  <c:v>43294</c:v>
                </c:pt>
                <c:pt idx="93">
                  <c:v>43297</c:v>
                </c:pt>
                <c:pt idx="94">
                  <c:v>43298</c:v>
                </c:pt>
                <c:pt idx="95">
                  <c:v>43299</c:v>
                </c:pt>
                <c:pt idx="96">
                  <c:v>43300</c:v>
                </c:pt>
                <c:pt idx="97">
                  <c:v>43301</c:v>
                </c:pt>
                <c:pt idx="98">
                  <c:v>43304</c:v>
                </c:pt>
                <c:pt idx="99">
                  <c:v>43305</c:v>
                </c:pt>
                <c:pt idx="100">
                  <c:v>43306</c:v>
                </c:pt>
                <c:pt idx="101">
                  <c:v>43307</c:v>
                </c:pt>
                <c:pt idx="102">
                  <c:v>43308</c:v>
                </c:pt>
                <c:pt idx="103">
                  <c:v>43311</c:v>
                </c:pt>
                <c:pt idx="104">
                  <c:v>43312</c:v>
                </c:pt>
                <c:pt idx="105">
                  <c:v>43313</c:v>
                </c:pt>
                <c:pt idx="106">
                  <c:v>43314</c:v>
                </c:pt>
                <c:pt idx="107">
                  <c:v>43315</c:v>
                </c:pt>
                <c:pt idx="108">
                  <c:v>43318</c:v>
                </c:pt>
                <c:pt idx="109">
                  <c:v>43319</c:v>
                </c:pt>
                <c:pt idx="110">
                  <c:v>43320</c:v>
                </c:pt>
                <c:pt idx="111">
                  <c:v>43321</c:v>
                </c:pt>
                <c:pt idx="112">
                  <c:v>43322</c:v>
                </c:pt>
                <c:pt idx="113">
                  <c:v>43325</c:v>
                </c:pt>
                <c:pt idx="114">
                  <c:v>43326</c:v>
                </c:pt>
                <c:pt idx="115">
                  <c:v>43328</c:v>
                </c:pt>
                <c:pt idx="116">
                  <c:v>43329</c:v>
                </c:pt>
                <c:pt idx="117">
                  <c:v>43332</c:v>
                </c:pt>
                <c:pt idx="118">
                  <c:v>43333</c:v>
                </c:pt>
                <c:pt idx="119">
                  <c:v>43335</c:v>
                </c:pt>
                <c:pt idx="120">
                  <c:v>43336</c:v>
                </c:pt>
                <c:pt idx="121">
                  <c:v>43339</c:v>
                </c:pt>
                <c:pt idx="122">
                  <c:v>43340</c:v>
                </c:pt>
                <c:pt idx="123">
                  <c:v>43341</c:v>
                </c:pt>
                <c:pt idx="124">
                  <c:v>43342</c:v>
                </c:pt>
                <c:pt idx="125">
                  <c:v>43343</c:v>
                </c:pt>
                <c:pt idx="126">
                  <c:v>43346</c:v>
                </c:pt>
                <c:pt idx="127">
                  <c:v>43347</c:v>
                </c:pt>
                <c:pt idx="128">
                  <c:v>43348</c:v>
                </c:pt>
                <c:pt idx="129">
                  <c:v>43349</c:v>
                </c:pt>
                <c:pt idx="130">
                  <c:v>43350</c:v>
                </c:pt>
                <c:pt idx="131">
                  <c:v>43353</c:v>
                </c:pt>
                <c:pt idx="132">
                  <c:v>43354</c:v>
                </c:pt>
                <c:pt idx="133">
                  <c:v>43355</c:v>
                </c:pt>
                <c:pt idx="134">
                  <c:v>43357</c:v>
                </c:pt>
                <c:pt idx="135">
                  <c:v>43360</c:v>
                </c:pt>
                <c:pt idx="136">
                  <c:v>43361</c:v>
                </c:pt>
                <c:pt idx="137">
                  <c:v>43362</c:v>
                </c:pt>
                <c:pt idx="138">
                  <c:v>43364</c:v>
                </c:pt>
                <c:pt idx="139">
                  <c:v>43367</c:v>
                </c:pt>
                <c:pt idx="140">
                  <c:v>43368</c:v>
                </c:pt>
                <c:pt idx="141">
                  <c:v>43369</c:v>
                </c:pt>
                <c:pt idx="142">
                  <c:v>43370</c:v>
                </c:pt>
                <c:pt idx="143">
                  <c:v>43371</c:v>
                </c:pt>
                <c:pt idx="144">
                  <c:v>43374</c:v>
                </c:pt>
                <c:pt idx="145">
                  <c:v>43376</c:v>
                </c:pt>
                <c:pt idx="146">
                  <c:v>43377</c:v>
                </c:pt>
                <c:pt idx="147">
                  <c:v>43378</c:v>
                </c:pt>
                <c:pt idx="148">
                  <c:v>43381</c:v>
                </c:pt>
                <c:pt idx="149">
                  <c:v>43382</c:v>
                </c:pt>
                <c:pt idx="150">
                  <c:v>43383</c:v>
                </c:pt>
                <c:pt idx="151">
                  <c:v>43384</c:v>
                </c:pt>
                <c:pt idx="152">
                  <c:v>43385</c:v>
                </c:pt>
                <c:pt idx="153">
                  <c:v>43388</c:v>
                </c:pt>
                <c:pt idx="154">
                  <c:v>43389</c:v>
                </c:pt>
                <c:pt idx="155">
                  <c:v>43390</c:v>
                </c:pt>
                <c:pt idx="156">
                  <c:v>43392</c:v>
                </c:pt>
                <c:pt idx="157">
                  <c:v>43395</c:v>
                </c:pt>
                <c:pt idx="158">
                  <c:v>43396</c:v>
                </c:pt>
                <c:pt idx="159">
                  <c:v>43397</c:v>
                </c:pt>
                <c:pt idx="160">
                  <c:v>43398</c:v>
                </c:pt>
                <c:pt idx="161">
                  <c:v>43399</c:v>
                </c:pt>
                <c:pt idx="162">
                  <c:v>43402</c:v>
                </c:pt>
                <c:pt idx="163">
                  <c:v>43403</c:v>
                </c:pt>
                <c:pt idx="164">
                  <c:v>43404</c:v>
                </c:pt>
                <c:pt idx="165">
                  <c:v>43405</c:v>
                </c:pt>
                <c:pt idx="166">
                  <c:v>43406</c:v>
                </c:pt>
                <c:pt idx="167">
                  <c:v>43409</c:v>
                </c:pt>
                <c:pt idx="168">
                  <c:v>43410</c:v>
                </c:pt>
                <c:pt idx="169">
                  <c:v>43411</c:v>
                </c:pt>
                <c:pt idx="170">
                  <c:v>43413</c:v>
                </c:pt>
                <c:pt idx="171">
                  <c:v>43416</c:v>
                </c:pt>
                <c:pt idx="172">
                  <c:v>43417</c:v>
                </c:pt>
                <c:pt idx="173">
                  <c:v>43418</c:v>
                </c:pt>
                <c:pt idx="174">
                  <c:v>43419</c:v>
                </c:pt>
                <c:pt idx="175">
                  <c:v>43420</c:v>
                </c:pt>
                <c:pt idx="176">
                  <c:v>43423</c:v>
                </c:pt>
                <c:pt idx="177">
                  <c:v>43424</c:v>
                </c:pt>
                <c:pt idx="178">
                  <c:v>43425</c:v>
                </c:pt>
                <c:pt idx="179">
                  <c:v>43426</c:v>
                </c:pt>
                <c:pt idx="180">
                  <c:v>43430</c:v>
                </c:pt>
                <c:pt idx="181">
                  <c:v>43431</c:v>
                </c:pt>
                <c:pt idx="182">
                  <c:v>43432</c:v>
                </c:pt>
                <c:pt idx="183">
                  <c:v>43433</c:v>
                </c:pt>
                <c:pt idx="184">
                  <c:v>43434</c:v>
                </c:pt>
                <c:pt idx="185">
                  <c:v>43437</c:v>
                </c:pt>
                <c:pt idx="186">
                  <c:v>43438</c:v>
                </c:pt>
                <c:pt idx="187">
                  <c:v>43439</c:v>
                </c:pt>
                <c:pt idx="188">
                  <c:v>43440</c:v>
                </c:pt>
                <c:pt idx="189">
                  <c:v>43441</c:v>
                </c:pt>
                <c:pt idx="190">
                  <c:v>43444</c:v>
                </c:pt>
                <c:pt idx="191">
                  <c:v>43445</c:v>
                </c:pt>
                <c:pt idx="192">
                  <c:v>43446</c:v>
                </c:pt>
                <c:pt idx="193">
                  <c:v>43447</c:v>
                </c:pt>
                <c:pt idx="194">
                  <c:v>43448</c:v>
                </c:pt>
                <c:pt idx="195">
                  <c:v>43451</c:v>
                </c:pt>
                <c:pt idx="196">
                  <c:v>43452</c:v>
                </c:pt>
                <c:pt idx="197">
                  <c:v>43453</c:v>
                </c:pt>
                <c:pt idx="198">
                  <c:v>43454</c:v>
                </c:pt>
                <c:pt idx="199">
                  <c:v>43455</c:v>
                </c:pt>
                <c:pt idx="200">
                  <c:v>43458</c:v>
                </c:pt>
                <c:pt idx="201">
                  <c:v>43460</c:v>
                </c:pt>
                <c:pt idx="202">
                  <c:v>43461</c:v>
                </c:pt>
                <c:pt idx="203">
                  <c:v>43462</c:v>
                </c:pt>
                <c:pt idx="204">
                  <c:v>43465</c:v>
                </c:pt>
                <c:pt idx="205">
                  <c:v>43466</c:v>
                </c:pt>
                <c:pt idx="206">
                  <c:v>43467</c:v>
                </c:pt>
                <c:pt idx="207">
                  <c:v>43468</c:v>
                </c:pt>
                <c:pt idx="208">
                  <c:v>43469</c:v>
                </c:pt>
                <c:pt idx="209">
                  <c:v>43472</c:v>
                </c:pt>
                <c:pt idx="210">
                  <c:v>43473</c:v>
                </c:pt>
                <c:pt idx="211">
                  <c:v>43474</c:v>
                </c:pt>
                <c:pt idx="212">
                  <c:v>43475</c:v>
                </c:pt>
                <c:pt idx="213">
                  <c:v>43476</c:v>
                </c:pt>
                <c:pt idx="214">
                  <c:v>43479</c:v>
                </c:pt>
                <c:pt idx="215">
                  <c:v>43480</c:v>
                </c:pt>
                <c:pt idx="216">
                  <c:v>43481</c:v>
                </c:pt>
                <c:pt idx="217">
                  <c:v>43482</c:v>
                </c:pt>
                <c:pt idx="218">
                  <c:v>43483</c:v>
                </c:pt>
                <c:pt idx="219">
                  <c:v>43486</c:v>
                </c:pt>
                <c:pt idx="220">
                  <c:v>43487</c:v>
                </c:pt>
                <c:pt idx="221">
                  <c:v>43488</c:v>
                </c:pt>
                <c:pt idx="222">
                  <c:v>43489</c:v>
                </c:pt>
                <c:pt idx="223">
                  <c:v>43490</c:v>
                </c:pt>
                <c:pt idx="224">
                  <c:v>43493</c:v>
                </c:pt>
                <c:pt idx="225">
                  <c:v>43494</c:v>
                </c:pt>
                <c:pt idx="226">
                  <c:v>43495</c:v>
                </c:pt>
                <c:pt idx="227">
                  <c:v>43496</c:v>
                </c:pt>
                <c:pt idx="228">
                  <c:v>43497</c:v>
                </c:pt>
                <c:pt idx="229">
                  <c:v>43500</c:v>
                </c:pt>
                <c:pt idx="230">
                  <c:v>43501</c:v>
                </c:pt>
                <c:pt idx="231">
                  <c:v>43502</c:v>
                </c:pt>
                <c:pt idx="232">
                  <c:v>43503</c:v>
                </c:pt>
                <c:pt idx="233">
                  <c:v>43504</c:v>
                </c:pt>
                <c:pt idx="234">
                  <c:v>43507</c:v>
                </c:pt>
                <c:pt idx="235">
                  <c:v>43508</c:v>
                </c:pt>
                <c:pt idx="236">
                  <c:v>43509</c:v>
                </c:pt>
                <c:pt idx="237">
                  <c:v>43510</c:v>
                </c:pt>
                <c:pt idx="238">
                  <c:v>43511</c:v>
                </c:pt>
                <c:pt idx="239">
                  <c:v>43514</c:v>
                </c:pt>
                <c:pt idx="240">
                  <c:v>43515</c:v>
                </c:pt>
                <c:pt idx="241">
                  <c:v>43516</c:v>
                </c:pt>
                <c:pt idx="242">
                  <c:v>43517</c:v>
                </c:pt>
                <c:pt idx="243">
                  <c:v>43518</c:v>
                </c:pt>
                <c:pt idx="244">
                  <c:v>43521</c:v>
                </c:pt>
                <c:pt idx="245">
                  <c:v>43522</c:v>
                </c:pt>
                <c:pt idx="246">
                  <c:v>43523</c:v>
                </c:pt>
                <c:pt idx="247">
                  <c:v>43524</c:v>
                </c:pt>
              </c:numCache>
            </c:numRef>
          </c:cat>
          <c:val>
            <c:numRef>
              <c:f>'F1'!$B$126:$B$373</c:f>
              <c:numCache>
                <c:formatCode>0</c:formatCode>
                <c:ptCount val="248"/>
                <c:pt idx="0">
                  <c:v>34046.94</c:v>
                </c:pt>
                <c:pt idx="1">
                  <c:v>33746.78</c:v>
                </c:pt>
                <c:pt idx="2">
                  <c:v>33317.199999999997</c:v>
                </c:pt>
                <c:pt idx="3">
                  <c:v>33033.089999999997</c:v>
                </c:pt>
                <c:pt idx="4">
                  <c:v>33351.57</c:v>
                </c:pt>
                <c:pt idx="5">
                  <c:v>33307.14</c:v>
                </c:pt>
                <c:pt idx="6">
                  <c:v>33917.94</c:v>
                </c:pt>
                <c:pt idx="7">
                  <c:v>33856.78</c:v>
                </c:pt>
                <c:pt idx="8">
                  <c:v>33835.74</c:v>
                </c:pt>
                <c:pt idx="9">
                  <c:v>33685.54</c:v>
                </c:pt>
                <c:pt idx="10">
                  <c:v>33176</c:v>
                </c:pt>
                <c:pt idx="11">
                  <c:v>32923.120000000003</c:v>
                </c:pt>
                <c:pt idx="12">
                  <c:v>32996.76</c:v>
                </c:pt>
                <c:pt idx="13">
                  <c:v>33136.18</c:v>
                </c:pt>
                <c:pt idx="14">
                  <c:v>33006.269999999997</c:v>
                </c:pt>
                <c:pt idx="15">
                  <c:v>32596.54</c:v>
                </c:pt>
                <c:pt idx="16">
                  <c:v>33066.410000000003</c:v>
                </c:pt>
                <c:pt idx="17">
                  <c:v>33174.39</c:v>
                </c:pt>
                <c:pt idx="18">
                  <c:v>32968.68</c:v>
                </c:pt>
                <c:pt idx="19">
                  <c:v>33255.360000000001</c:v>
                </c:pt>
                <c:pt idx="20">
                  <c:v>33370.629999999997</c:v>
                </c:pt>
                <c:pt idx="21">
                  <c:v>33019.07</c:v>
                </c:pt>
                <c:pt idx="22">
                  <c:v>33596.800000000003</c:v>
                </c:pt>
                <c:pt idx="23">
                  <c:v>33626.97</c:v>
                </c:pt>
                <c:pt idx="24">
                  <c:v>33788.54</c:v>
                </c:pt>
                <c:pt idx="25">
                  <c:v>33880.25</c:v>
                </c:pt>
                <c:pt idx="26">
                  <c:v>33940.44</c:v>
                </c:pt>
                <c:pt idx="27">
                  <c:v>34101.129999999997</c:v>
                </c:pt>
                <c:pt idx="28">
                  <c:v>34192.65</c:v>
                </c:pt>
                <c:pt idx="29">
                  <c:v>34305.43</c:v>
                </c:pt>
                <c:pt idx="30">
                  <c:v>34395.06</c:v>
                </c:pt>
                <c:pt idx="31">
                  <c:v>34331.68</c:v>
                </c:pt>
                <c:pt idx="32">
                  <c:v>34427.29</c:v>
                </c:pt>
                <c:pt idx="33">
                  <c:v>34415.58</c:v>
                </c:pt>
                <c:pt idx="34">
                  <c:v>34450.769999999997</c:v>
                </c:pt>
                <c:pt idx="35">
                  <c:v>34616.639999999999</c:v>
                </c:pt>
                <c:pt idx="36">
                  <c:v>34501.269999999997</c:v>
                </c:pt>
                <c:pt idx="37">
                  <c:v>34713.599999999999</c:v>
                </c:pt>
                <c:pt idx="38">
                  <c:v>34969.699999999997</c:v>
                </c:pt>
                <c:pt idx="39">
                  <c:v>35160.36</c:v>
                </c:pt>
                <c:pt idx="40" formatCode="General">
                  <c:v>35176.42</c:v>
                </c:pt>
                <c:pt idx="41" formatCode="General">
                  <c:v>35103.14</c:v>
                </c:pt>
                <c:pt idx="42" formatCode="General">
                  <c:v>34915.379999999997</c:v>
                </c:pt>
                <c:pt idx="43" formatCode="General">
                  <c:v>35208.14</c:v>
                </c:pt>
                <c:pt idx="44" formatCode="General">
                  <c:v>35216.32</c:v>
                </c:pt>
                <c:pt idx="45" formatCode="General">
                  <c:v>35319.35</c:v>
                </c:pt>
                <c:pt idx="46" formatCode="General">
                  <c:v>35246.269999999997</c:v>
                </c:pt>
                <c:pt idx="47" formatCode="General">
                  <c:v>35535.79</c:v>
                </c:pt>
                <c:pt idx="48" formatCode="General">
                  <c:v>35556.71</c:v>
                </c:pt>
                <c:pt idx="49" formatCode="General">
                  <c:v>35543.94</c:v>
                </c:pt>
                <c:pt idx="50" formatCode="General">
                  <c:v>35387.879999999997</c:v>
                </c:pt>
                <c:pt idx="51" formatCode="General">
                  <c:v>35149.120000000003</c:v>
                </c:pt>
                <c:pt idx="52" formatCode="General">
                  <c:v>34848.300000000003</c:v>
                </c:pt>
                <c:pt idx="53" formatCode="General">
                  <c:v>34616.129999999997</c:v>
                </c:pt>
                <c:pt idx="54" formatCode="General">
                  <c:v>34651.24</c:v>
                </c:pt>
                <c:pt idx="55" formatCode="General">
                  <c:v>34344.910000000003</c:v>
                </c:pt>
                <c:pt idx="56" formatCode="General">
                  <c:v>34663.11</c:v>
                </c:pt>
                <c:pt idx="57" formatCode="General">
                  <c:v>34924.870000000003</c:v>
                </c:pt>
                <c:pt idx="58" formatCode="General">
                  <c:v>35165.480000000003</c:v>
                </c:pt>
                <c:pt idx="59" formatCode="General">
                  <c:v>34949.24</c:v>
                </c:pt>
                <c:pt idx="60" formatCode="General">
                  <c:v>34906.11</c:v>
                </c:pt>
                <c:pt idx="61" formatCode="General">
                  <c:v>35322.379999999997</c:v>
                </c:pt>
                <c:pt idx="62" formatCode="_(* #,##0.00_);_(* \(#,##0.00\);_(* &quot;-&quot;??_);_(@_)">
                  <c:v>35227.26</c:v>
                </c:pt>
                <c:pt idx="63" formatCode="_(* #,##0.00_);_(* \(#,##0.00\);_(* &quot;-&quot;??_);_(@_)">
                  <c:v>35011.89</c:v>
                </c:pt>
                <c:pt idx="64" formatCode="_(* #,##0.00_);_(* \(#,##0.00\);_(* &quot;-&quot;??_);_(@_)">
                  <c:v>34903.21</c:v>
                </c:pt>
                <c:pt idx="65" formatCode="_(* #,##0.00_);_(* \(#,##0.00\);_(* &quot;-&quot;??_);_(@_)">
                  <c:v>35178.879999999997</c:v>
                </c:pt>
                <c:pt idx="66" formatCode="_(* #,##0.00_);_(* \(#,##0.00\);_(* &quot;-&quot;??_);_(@_)">
                  <c:v>35463.08</c:v>
                </c:pt>
                <c:pt idx="67" formatCode="_(* #,##0.00_);_(* \(#,##0.00\);_(* &quot;-&quot;??_);_(@_)">
                  <c:v>35443.67</c:v>
                </c:pt>
                <c:pt idx="68" formatCode="_(* #,##0.00_);_(* \(#,##0.00\);_(* &quot;-&quot;??_);_(@_)">
                  <c:v>35483.47</c:v>
                </c:pt>
                <c:pt idx="69" formatCode="_(* #,##0.00_);_(* \(#,##0.00\);_(* &quot;-&quot;??_);_(@_)">
                  <c:v>35692.519999999997</c:v>
                </c:pt>
                <c:pt idx="70" formatCode="_(* #,##0.00_);_(* \(#,##0.00\);_(* &quot;-&quot;??_);_(@_)">
                  <c:v>35739.160000000003</c:v>
                </c:pt>
                <c:pt idx="71" formatCode="_(* #,##0.00_);_(* \(#,##0.00\);_(* &quot;-&quot;??_);_(@_)">
                  <c:v>35599.82</c:v>
                </c:pt>
                <c:pt idx="72" formatCode="_(* #,##0.00_);_(* \(#,##0.00\);_(* &quot;-&quot;??_);_(@_)">
                  <c:v>35622.14</c:v>
                </c:pt>
                <c:pt idx="73" formatCode="_(* #,##0.00_);_(* \(#,##0.00\);_(* &quot;-&quot;??_);_(@_)">
                  <c:v>35548.26</c:v>
                </c:pt>
                <c:pt idx="74" formatCode="_(* #,##0.00_);_(* \(#,##0.00\);_(* &quot;-&quot;??_);_(@_)">
                  <c:v>35286.74</c:v>
                </c:pt>
                <c:pt idx="75" formatCode="_(* #,##0.00_);_(* \(#,##0.00\);_(* &quot;-&quot;??_);_(@_)">
                  <c:v>35547.33</c:v>
                </c:pt>
                <c:pt idx="76" formatCode="_(* #,##0.00_);_(* \(#,##0.00\);_(* &quot;-&quot;??_);_(@_)">
                  <c:v>35432.39</c:v>
                </c:pt>
                <c:pt idx="77" formatCode="_(* #,##0.00_);_(* \(#,##0.00\);_(* &quot;-&quot;??_);_(@_)">
                  <c:v>35689.599999999999</c:v>
                </c:pt>
                <c:pt idx="78" formatCode="_(* #,##0.00_);_(* \(#,##0.00\);_(* &quot;-&quot;??_);_(@_)">
                  <c:v>35470.35</c:v>
                </c:pt>
                <c:pt idx="79" formatCode="_(* #,##0.00_);_(* \(#,##0.00\);_(* &quot;-&quot;??_);_(@_)">
                  <c:v>35490.04</c:v>
                </c:pt>
                <c:pt idx="80" formatCode="_(* #,##0.00_);_(* \(#,##0.00\);_(* &quot;-&quot;??_);_(@_)">
                  <c:v>35217.11</c:v>
                </c:pt>
                <c:pt idx="81" formatCode="_(* #,##0.00_);_(* \(#,##0.00\);_(* &quot;-&quot;??_);_(@_)">
                  <c:v>35037.64</c:v>
                </c:pt>
                <c:pt idx="82" formatCode="_(* #,##0.00_);_(* \(#,##0.00\);_(* &quot;-&quot;??_);_(@_)">
                  <c:v>35423.480000000003</c:v>
                </c:pt>
                <c:pt idx="83" formatCode="_(* #,##0.00_);_(* \(#,##0.00\);_(* &quot;-&quot;??_);_(@_)">
                  <c:v>35264.410000000003</c:v>
                </c:pt>
                <c:pt idx="84" formatCode="_(* #,##0.00_);_(* \(#,##0.00\);_(* &quot;-&quot;??_);_(@_)">
                  <c:v>35378.6</c:v>
                </c:pt>
                <c:pt idx="85" formatCode="_(* #,##0.00_);_(* \(#,##0.00\);_(* &quot;-&quot;??_);_(@_)">
                  <c:v>35645.4</c:v>
                </c:pt>
                <c:pt idx="86" formatCode="_(* #,##0.00_);_(* \(#,##0.00\);_(* &quot;-&quot;??_);_(@_)">
                  <c:v>35574.550000000003</c:v>
                </c:pt>
                <c:pt idx="87" formatCode="_(* #,##0.00_);_(* \(#,##0.00\);_(* &quot;-&quot;??_);_(@_)">
                  <c:v>35657.86</c:v>
                </c:pt>
                <c:pt idx="88" formatCode="_(* #,##0.00_);_(* \(#,##0.00\);_(* &quot;-&quot;??_);_(@_)">
                  <c:v>35934.720000000001</c:v>
                </c:pt>
                <c:pt idx="89" formatCode="_(* #,##0.00_);_(* \(#,##0.00\);_(* &quot;-&quot;??_);_(@_)">
                  <c:v>36239.620000000003</c:v>
                </c:pt>
                <c:pt idx="90" formatCode="_(* #,##0.00_);_(* \(#,##0.00\);_(* &quot;-&quot;??_);_(@_)">
                  <c:v>36265.93</c:v>
                </c:pt>
                <c:pt idx="91" formatCode="_(* #,##0.00_);_(* \(#,##0.00\);_(* &quot;-&quot;??_);_(@_)">
                  <c:v>36548.410000000003</c:v>
                </c:pt>
                <c:pt idx="92" formatCode="_(* #,##0.00_);_(* \(#,##0.00\);_(* &quot;-&quot;??_);_(@_)">
                  <c:v>36541.629999999997</c:v>
                </c:pt>
                <c:pt idx="93" formatCode="_(* #,##0.00_);_(* \(#,##0.00\);_(* &quot;-&quot;??_);_(@_)">
                  <c:v>36323.769999999997</c:v>
                </c:pt>
                <c:pt idx="94" formatCode="_(* #,##0.00_);_(* \(#,##0.00\);_(* &quot;-&quot;??_);_(@_)">
                  <c:v>36519.96</c:v>
                </c:pt>
                <c:pt idx="95" formatCode="_(* #,##0.00_);_(* \(#,##0.00\);_(* &quot;-&quot;??_);_(@_)">
                  <c:v>36373.440000000002</c:v>
                </c:pt>
                <c:pt idx="96" formatCode="_(* #,##0.00_);_(* \(#,##0.00\);_(* &quot;-&quot;??_);_(@_)">
                  <c:v>36351.230000000003</c:v>
                </c:pt>
                <c:pt idx="97" formatCode="_(* #,##0.00_);_(* \(#,##0.00\);_(* &quot;-&quot;??_);_(@_)">
                  <c:v>36496.370000000003</c:v>
                </c:pt>
                <c:pt idx="98" formatCode="_(* #,##0.00_);_(* \(#,##0.00\);_(* &quot;-&quot;??_);_(@_)">
                  <c:v>36718.6</c:v>
                </c:pt>
                <c:pt idx="99" formatCode="_(* #,##0.00_);_(* \(#,##0.00\);_(* &quot;-&quot;??_);_(@_)">
                  <c:v>36825.1</c:v>
                </c:pt>
                <c:pt idx="100" formatCode="_(* #,##0.00_);_(* \(#,##0.00\);_(* &quot;-&quot;??_);_(@_)">
                  <c:v>36858.230000000003</c:v>
                </c:pt>
                <c:pt idx="101" formatCode="_(* #,##0.00_);_(* \(#,##0.00\);_(* &quot;-&quot;??_);_(@_)">
                  <c:v>36984.639999999999</c:v>
                </c:pt>
                <c:pt idx="102" formatCode="_(* #,##0.00_);_(* \(#,##0.00\);_(* &quot;-&quot;??_);_(@_)">
                  <c:v>37336.85</c:v>
                </c:pt>
                <c:pt idx="103" formatCode="_(* #,##0.00_);_(* \(#,##0.00\);_(* &quot;-&quot;??_);_(@_)">
                  <c:v>37494.400000000001</c:v>
                </c:pt>
                <c:pt idx="104" formatCode="_(* #,##0.00_);_(* \(#,##0.00\);_(* &quot;-&quot;??_);_(@_)">
                  <c:v>37606.58</c:v>
                </c:pt>
                <c:pt idx="105" formatCode="General">
                  <c:v>37521.620000000003</c:v>
                </c:pt>
                <c:pt idx="106" formatCode="General">
                  <c:v>37165.160000000003</c:v>
                </c:pt>
                <c:pt idx="107" formatCode="General">
                  <c:v>37556.160000000003</c:v>
                </c:pt>
                <c:pt idx="108" formatCode="General">
                  <c:v>37691.89</c:v>
                </c:pt>
                <c:pt idx="109" formatCode="General">
                  <c:v>37665.800000000003</c:v>
                </c:pt>
                <c:pt idx="110" formatCode="General">
                  <c:v>37887.56</c:v>
                </c:pt>
                <c:pt idx="111" formatCode="General">
                  <c:v>38024.370000000003</c:v>
                </c:pt>
                <c:pt idx="112" formatCode="General">
                  <c:v>37869.230000000003</c:v>
                </c:pt>
                <c:pt idx="113" formatCode="General">
                  <c:v>37644.9</c:v>
                </c:pt>
                <c:pt idx="114" formatCode="General">
                  <c:v>37852</c:v>
                </c:pt>
                <c:pt idx="115" formatCode="General">
                  <c:v>37663.56</c:v>
                </c:pt>
                <c:pt idx="116" formatCode="General">
                  <c:v>37947.879999999997</c:v>
                </c:pt>
                <c:pt idx="117" formatCode="General">
                  <c:v>38278.75</c:v>
                </c:pt>
                <c:pt idx="118" formatCode="General">
                  <c:v>38285.75</c:v>
                </c:pt>
                <c:pt idx="119" formatCode="General">
                  <c:v>38336.76</c:v>
                </c:pt>
                <c:pt idx="120" formatCode="General">
                  <c:v>38251.800000000003</c:v>
                </c:pt>
                <c:pt idx="121" formatCode="General">
                  <c:v>38694.11</c:v>
                </c:pt>
                <c:pt idx="122" formatCode="General">
                  <c:v>38896.629999999997</c:v>
                </c:pt>
                <c:pt idx="123" formatCode="General">
                  <c:v>38722.93</c:v>
                </c:pt>
                <c:pt idx="124" formatCode="General">
                  <c:v>38690.1</c:v>
                </c:pt>
                <c:pt idx="125" formatCode="General">
                  <c:v>38645.07</c:v>
                </c:pt>
                <c:pt idx="126">
                  <c:v>38312.519999999997</c:v>
                </c:pt>
                <c:pt idx="127">
                  <c:v>38157.919999999998</c:v>
                </c:pt>
                <c:pt idx="128">
                  <c:v>38018.31</c:v>
                </c:pt>
                <c:pt idx="129">
                  <c:v>38242.81</c:v>
                </c:pt>
                <c:pt idx="130">
                  <c:v>38389.82</c:v>
                </c:pt>
                <c:pt idx="131">
                  <c:v>37922.17</c:v>
                </c:pt>
                <c:pt idx="132">
                  <c:v>37413.129999999997</c:v>
                </c:pt>
                <c:pt idx="133">
                  <c:v>37717.96</c:v>
                </c:pt>
                <c:pt idx="134">
                  <c:v>38090.639999999999</c:v>
                </c:pt>
                <c:pt idx="135">
                  <c:v>37585.51</c:v>
                </c:pt>
                <c:pt idx="136">
                  <c:v>37290.67</c:v>
                </c:pt>
                <c:pt idx="137">
                  <c:v>37121.22</c:v>
                </c:pt>
                <c:pt idx="138">
                  <c:v>36841.599999999999</c:v>
                </c:pt>
                <c:pt idx="139">
                  <c:v>36305.019999999997</c:v>
                </c:pt>
                <c:pt idx="140">
                  <c:v>36652.06</c:v>
                </c:pt>
                <c:pt idx="141">
                  <c:v>36542.269999999997</c:v>
                </c:pt>
                <c:pt idx="142">
                  <c:v>36324.17</c:v>
                </c:pt>
                <c:pt idx="143">
                  <c:v>36227.14</c:v>
                </c:pt>
                <c:pt idx="144">
                  <c:v>36526.14</c:v>
                </c:pt>
                <c:pt idx="145">
                  <c:v>35975.629999999997</c:v>
                </c:pt>
                <c:pt idx="146">
                  <c:v>35169.160000000003</c:v>
                </c:pt>
                <c:pt idx="147">
                  <c:v>34376.99</c:v>
                </c:pt>
                <c:pt idx="148">
                  <c:v>34474.379999999997</c:v>
                </c:pt>
                <c:pt idx="149">
                  <c:v>34299.47</c:v>
                </c:pt>
                <c:pt idx="150">
                  <c:v>34760.89</c:v>
                </c:pt>
                <c:pt idx="151">
                  <c:v>34001.15</c:v>
                </c:pt>
                <c:pt idx="152">
                  <c:v>34733.58</c:v>
                </c:pt>
                <c:pt idx="153">
                  <c:v>34865.1</c:v>
                </c:pt>
                <c:pt idx="154">
                  <c:v>35162.480000000003</c:v>
                </c:pt>
                <c:pt idx="155">
                  <c:v>34779.58</c:v>
                </c:pt>
                <c:pt idx="156">
                  <c:v>34315.629999999997</c:v>
                </c:pt>
                <c:pt idx="157">
                  <c:v>34134.379999999997</c:v>
                </c:pt>
                <c:pt idx="158">
                  <c:v>33847.230000000003</c:v>
                </c:pt>
                <c:pt idx="159">
                  <c:v>34033.96</c:v>
                </c:pt>
                <c:pt idx="160">
                  <c:v>33690.089999999997</c:v>
                </c:pt>
                <c:pt idx="161">
                  <c:v>33349.31</c:v>
                </c:pt>
                <c:pt idx="162">
                  <c:v>34067.4</c:v>
                </c:pt>
                <c:pt idx="163">
                  <c:v>33891.129999999997</c:v>
                </c:pt>
                <c:pt idx="164">
                  <c:v>34442.050000000003</c:v>
                </c:pt>
                <c:pt idx="165">
                  <c:v>34431.97</c:v>
                </c:pt>
                <c:pt idx="166">
                  <c:v>35011.65</c:v>
                </c:pt>
                <c:pt idx="167">
                  <c:v>34950.92</c:v>
                </c:pt>
                <c:pt idx="168">
                  <c:v>34991.910000000003</c:v>
                </c:pt>
                <c:pt idx="169">
                  <c:v>35237.68</c:v>
                </c:pt>
                <c:pt idx="170">
                  <c:v>35158.550000000003</c:v>
                </c:pt>
                <c:pt idx="171">
                  <c:v>34812.99</c:v>
                </c:pt>
                <c:pt idx="172">
                  <c:v>35144.49</c:v>
                </c:pt>
                <c:pt idx="173">
                  <c:v>35141.99</c:v>
                </c:pt>
                <c:pt idx="174">
                  <c:v>35260.54</c:v>
                </c:pt>
                <c:pt idx="175">
                  <c:v>35457.160000000003</c:v>
                </c:pt>
                <c:pt idx="176">
                  <c:v>35774.879999999997</c:v>
                </c:pt>
                <c:pt idx="177">
                  <c:v>35474.51</c:v>
                </c:pt>
                <c:pt idx="178">
                  <c:v>35199.800000000003</c:v>
                </c:pt>
                <c:pt idx="179">
                  <c:v>34981.019999999997</c:v>
                </c:pt>
                <c:pt idx="180">
                  <c:v>35354.080000000002</c:v>
                </c:pt>
                <c:pt idx="181">
                  <c:v>35513.14</c:v>
                </c:pt>
                <c:pt idx="182">
                  <c:v>35716.949999999997</c:v>
                </c:pt>
                <c:pt idx="183">
                  <c:v>36170.410000000003</c:v>
                </c:pt>
                <c:pt idx="184">
                  <c:v>36194.300000000003</c:v>
                </c:pt>
                <c:pt idx="185">
                  <c:v>36241</c:v>
                </c:pt>
                <c:pt idx="186">
                  <c:v>36134.31</c:v>
                </c:pt>
                <c:pt idx="187">
                  <c:v>35884.410000000003</c:v>
                </c:pt>
                <c:pt idx="188">
                  <c:v>35312.129999999997</c:v>
                </c:pt>
                <c:pt idx="189">
                  <c:v>35673.25</c:v>
                </c:pt>
                <c:pt idx="190">
                  <c:v>34959.72</c:v>
                </c:pt>
                <c:pt idx="191">
                  <c:v>35150.01</c:v>
                </c:pt>
                <c:pt idx="192">
                  <c:v>35779.07</c:v>
                </c:pt>
                <c:pt idx="193">
                  <c:v>35929.64</c:v>
                </c:pt>
                <c:pt idx="194">
                  <c:v>35962.93</c:v>
                </c:pt>
                <c:pt idx="195">
                  <c:v>36270.07</c:v>
                </c:pt>
                <c:pt idx="196">
                  <c:v>36347.08</c:v>
                </c:pt>
                <c:pt idx="197">
                  <c:v>36484.33</c:v>
                </c:pt>
                <c:pt idx="198">
                  <c:v>36431.67</c:v>
                </c:pt>
                <c:pt idx="199">
                  <c:v>35742.07</c:v>
                </c:pt>
                <c:pt idx="200">
                  <c:v>35470.15</c:v>
                </c:pt>
                <c:pt idx="201">
                  <c:v>35649.94</c:v>
                </c:pt>
                <c:pt idx="202">
                  <c:v>35807.279999999999</c:v>
                </c:pt>
                <c:pt idx="203">
                  <c:v>36076.720000000001</c:v>
                </c:pt>
                <c:pt idx="204">
                  <c:v>36068.33</c:v>
                </c:pt>
                <c:pt idx="205">
                  <c:v>36254.57</c:v>
                </c:pt>
                <c:pt idx="206">
                  <c:v>35891.519999999997</c:v>
                </c:pt>
                <c:pt idx="207">
                  <c:v>35513.71</c:v>
                </c:pt>
                <c:pt idx="208">
                  <c:v>35695.1</c:v>
                </c:pt>
                <c:pt idx="209">
                  <c:v>35850.160000000003</c:v>
                </c:pt>
                <c:pt idx="210">
                  <c:v>35980.93</c:v>
                </c:pt>
                <c:pt idx="211">
                  <c:v>36212.910000000003</c:v>
                </c:pt>
                <c:pt idx="212">
                  <c:v>36106.5</c:v>
                </c:pt>
                <c:pt idx="213">
                  <c:v>36009.839999999997</c:v>
                </c:pt>
                <c:pt idx="214">
                  <c:v>35853.56</c:v>
                </c:pt>
                <c:pt idx="215">
                  <c:v>36318.33</c:v>
                </c:pt>
                <c:pt idx="216">
                  <c:v>36321.29</c:v>
                </c:pt>
                <c:pt idx="217">
                  <c:v>36374.080000000002</c:v>
                </c:pt>
                <c:pt idx="218">
                  <c:v>36386.61</c:v>
                </c:pt>
                <c:pt idx="219">
                  <c:v>36578.959999999999</c:v>
                </c:pt>
                <c:pt idx="220">
                  <c:v>36444.639999999999</c:v>
                </c:pt>
                <c:pt idx="221">
                  <c:v>36108.47</c:v>
                </c:pt>
                <c:pt idx="222">
                  <c:v>36195.1</c:v>
                </c:pt>
                <c:pt idx="223">
                  <c:v>36025.54</c:v>
                </c:pt>
                <c:pt idx="224">
                  <c:v>35656.699999999997</c:v>
                </c:pt>
                <c:pt idx="225">
                  <c:v>35592.5</c:v>
                </c:pt>
                <c:pt idx="226">
                  <c:v>35591.25</c:v>
                </c:pt>
                <c:pt idx="227">
                  <c:v>36256.69</c:v>
                </c:pt>
                <c:pt idx="228">
                  <c:v>36469.43</c:v>
                </c:pt>
                <c:pt idx="229">
                  <c:v>36582.74</c:v>
                </c:pt>
                <c:pt idx="230">
                  <c:v>36616.81</c:v>
                </c:pt>
                <c:pt idx="231">
                  <c:v>36975.230000000003</c:v>
                </c:pt>
                <c:pt idx="232">
                  <c:v>36971.089999999997</c:v>
                </c:pt>
                <c:pt idx="233">
                  <c:v>36546.480000000003</c:v>
                </c:pt>
                <c:pt idx="234">
                  <c:v>36395.03</c:v>
                </c:pt>
                <c:pt idx="235">
                  <c:v>36153.620000000003</c:v>
                </c:pt>
                <c:pt idx="236">
                  <c:v>36034.11</c:v>
                </c:pt>
                <c:pt idx="237">
                  <c:v>35876.22</c:v>
                </c:pt>
                <c:pt idx="238">
                  <c:v>35808.949999999997</c:v>
                </c:pt>
                <c:pt idx="239">
                  <c:v>35498.44</c:v>
                </c:pt>
                <c:pt idx="240">
                  <c:v>35352.61</c:v>
                </c:pt>
                <c:pt idx="241">
                  <c:v>35756.26</c:v>
                </c:pt>
                <c:pt idx="242">
                  <c:v>35898.35</c:v>
                </c:pt>
                <c:pt idx="243">
                  <c:v>35871.480000000003</c:v>
                </c:pt>
                <c:pt idx="244">
                  <c:v>36213.379999999997</c:v>
                </c:pt>
                <c:pt idx="245">
                  <c:v>35973.71</c:v>
                </c:pt>
                <c:pt idx="246">
                  <c:v>35905.43</c:v>
                </c:pt>
                <c:pt idx="247">
                  <c:v>35867.440000000002</c:v>
                </c:pt>
              </c:numCache>
            </c:numRef>
          </c:val>
          <c:smooth val="0"/>
        </c:ser>
        <c:dLbls>
          <c:showLegendKey val="0"/>
          <c:showVal val="0"/>
          <c:showCatName val="0"/>
          <c:showSerName val="0"/>
          <c:showPercent val="0"/>
          <c:showBubbleSize val="0"/>
        </c:dLbls>
        <c:marker val="1"/>
        <c:smooth val="0"/>
        <c:axId val="492625512"/>
        <c:axId val="492620416"/>
      </c:lineChart>
      <c:lineChart>
        <c:grouping val="standard"/>
        <c:varyColors val="0"/>
        <c:ser>
          <c:idx val="1"/>
          <c:order val="1"/>
          <c:tx>
            <c:strRef>
              <c:f>'F1'!$C$1</c:f>
              <c:strCache>
                <c:ptCount val="1"/>
                <c:pt idx="0">
                  <c:v>Nifty (RHS)</c:v>
                </c:pt>
              </c:strCache>
            </c:strRef>
          </c:tx>
          <c:marker>
            <c:symbol val="none"/>
          </c:marker>
          <c:cat>
            <c:numRef>
              <c:f>'F1'!$A$126:$A$373</c:f>
              <c:numCache>
                <c:formatCode>[$-409]d\-mmm\-yy;@</c:formatCode>
                <c:ptCount val="248"/>
                <c:pt idx="0">
                  <c:v>43160</c:v>
                </c:pt>
                <c:pt idx="1">
                  <c:v>43164</c:v>
                </c:pt>
                <c:pt idx="2">
                  <c:v>43165</c:v>
                </c:pt>
                <c:pt idx="3">
                  <c:v>43166</c:v>
                </c:pt>
                <c:pt idx="4">
                  <c:v>43167</c:v>
                </c:pt>
                <c:pt idx="5">
                  <c:v>43168</c:v>
                </c:pt>
                <c:pt idx="6">
                  <c:v>43171</c:v>
                </c:pt>
                <c:pt idx="7">
                  <c:v>43172</c:v>
                </c:pt>
                <c:pt idx="8">
                  <c:v>43173</c:v>
                </c:pt>
                <c:pt idx="9">
                  <c:v>43174</c:v>
                </c:pt>
                <c:pt idx="10">
                  <c:v>43175</c:v>
                </c:pt>
                <c:pt idx="11">
                  <c:v>43178</c:v>
                </c:pt>
                <c:pt idx="12">
                  <c:v>43179</c:v>
                </c:pt>
                <c:pt idx="13">
                  <c:v>43180</c:v>
                </c:pt>
                <c:pt idx="14">
                  <c:v>43181</c:v>
                </c:pt>
                <c:pt idx="15">
                  <c:v>43182</c:v>
                </c:pt>
                <c:pt idx="16">
                  <c:v>43185</c:v>
                </c:pt>
                <c:pt idx="17">
                  <c:v>43186</c:v>
                </c:pt>
                <c:pt idx="18">
                  <c:v>43187</c:v>
                </c:pt>
                <c:pt idx="19">
                  <c:v>43192</c:v>
                </c:pt>
                <c:pt idx="20">
                  <c:v>43193</c:v>
                </c:pt>
                <c:pt idx="21">
                  <c:v>43194</c:v>
                </c:pt>
                <c:pt idx="22">
                  <c:v>43195</c:v>
                </c:pt>
                <c:pt idx="23">
                  <c:v>43196</c:v>
                </c:pt>
                <c:pt idx="24">
                  <c:v>43199</c:v>
                </c:pt>
                <c:pt idx="25">
                  <c:v>43200</c:v>
                </c:pt>
                <c:pt idx="26">
                  <c:v>43201</c:v>
                </c:pt>
                <c:pt idx="27">
                  <c:v>43202</c:v>
                </c:pt>
                <c:pt idx="28">
                  <c:v>43203</c:v>
                </c:pt>
                <c:pt idx="29">
                  <c:v>43206</c:v>
                </c:pt>
                <c:pt idx="30">
                  <c:v>43207</c:v>
                </c:pt>
                <c:pt idx="31">
                  <c:v>43208</c:v>
                </c:pt>
                <c:pt idx="32">
                  <c:v>43209</c:v>
                </c:pt>
                <c:pt idx="33">
                  <c:v>43210</c:v>
                </c:pt>
                <c:pt idx="34">
                  <c:v>43213</c:v>
                </c:pt>
                <c:pt idx="35">
                  <c:v>43214</c:v>
                </c:pt>
                <c:pt idx="36">
                  <c:v>43215</c:v>
                </c:pt>
                <c:pt idx="37">
                  <c:v>43216</c:v>
                </c:pt>
                <c:pt idx="38">
                  <c:v>43217</c:v>
                </c:pt>
                <c:pt idx="39">
                  <c:v>43220</c:v>
                </c:pt>
                <c:pt idx="40">
                  <c:v>43222</c:v>
                </c:pt>
                <c:pt idx="41">
                  <c:v>43223</c:v>
                </c:pt>
                <c:pt idx="42">
                  <c:v>43224</c:v>
                </c:pt>
                <c:pt idx="43">
                  <c:v>43227</c:v>
                </c:pt>
                <c:pt idx="44">
                  <c:v>43228</c:v>
                </c:pt>
                <c:pt idx="45">
                  <c:v>43229</c:v>
                </c:pt>
                <c:pt idx="46">
                  <c:v>43230</c:v>
                </c:pt>
                <c:pt idx="47">
                  <c:v>43231</c:v>
                </c:pt>
                <c:pt idx="48">
                  <c:v>43234</c:v>
                </c:pt>
                <c:pt idx="49">
                  <c:v>43235</c:v>
                </c:pt>
                <c:pt idx="50">
                  <c:v>43236</c:v>
                </c:pt>
                <c:pt idx="51">
                  <c:v>43237</c:v>
                </c:pt>
                <c:pt idx="52">
                  <c:v>43238</c:v>
                </c:pt>
                <c:pt idx="53">
                  <c:v>43241</c:v>
                </c:pt>
                <c:pt idx="54">
                  <c:v>43242</c:v>
                </c:pt>
                <c:pt idx="55">
                  <c:v>43243</c:v>
                </c:pt>
                <c:pt idx="56">
                  <c:v>43244</c:v>
                </c:pt>
                <c:pt idx="57">
                  <c:v>43245</c:v>
                </c:pt>
                <c:pt idx="58">
                  <c:v>43248</c:v>
                </c:pt>
                <c:pt idx="59">
                  <c:v>43249</c:v>
                </c:pt>
                <c:pt idx="60">
                  <c:v>43250</c:v>
                </c:pt>
                <c:pt idx="61">
                  <c:v>43251</c:v>
                </c:pt>
                <c:pt idx="62">
                  <c:v>43252</c:v>
                </c:pt>
                <c:pt idx="63">
                  <c:v>43255</c:v>
                </c:pt>
                <c:pt idx="64">
                  <c:v>43256</c:v>
                </c:pt>
                <c:pt idx="65">
                  <c:v>43257</c:v>
                </c:pt>
                <c:pt idx="66">
                  <c:v>43258</c:v>
                </c:pt>
                <c:pt idx="67">
                  <c:v>43259</c:v>
                </c:pt>
                <c:pt idx="68">
                  <c:v>43262</c:v>
                </c:pt>
                <c:pt idx="69">
                  <c:v>43263</c:v>
                </c:pt>
                <c:pt idx="70">
                  <c:v>43264</c:v>
                </c:pt>
                <c:pt idx="71">
                  <c:v>43265</c:v>
                </c:pt>
                <c:pt idx="72">
                  <c:v>43266</c:v>
                </c:pt>
                <c:pt idx="73">
                  <c:v>43269</c:v>
                </c:pt>
                <c:pt idx="74">
                  <c:v>43270</c:v>
                </c:pt>
                <c:pt idx="75">
                  <c:v>43271</c:v>
                </c:pt>
                <c:pt idx="76">
                  <c:v>43272</c:v>
                </c:pt>
                <c:pt idx="77">
                  <c:v>43273</c:v>
                </c:pt>
                <c:pt idx="78">
                  <c:v>43276</c:v>
                </c:pt>
                <c:pt idx="79">
                  <c:v>43277</c:v>
                </c:pt>
                <c:pt idx="80">
                  <c:v>43278</c:v>
                </c:pt>
                <c:pt idx="81">
                  <c:v>43279</c:v>
                </c:pt>
                <c:pt idx="82">
                  <c:v>43280</c:v>
                </c:pt>
                <c:pt idx="83">
                  <c:v>43283</c:v>
                </c:pt>
                <c:pt idx="84">
                  <c:v>43284</c:v>
                </c:pt>
                <c:pt idx="85">
                  <c:v>43285</c:v>
                </c:pt>
                <c:pt idx="86">
                  <c:v>43286</c:v>
                </c:pt>
                <c:pt idx="87">
                  <c:v>43287</c:v>
                </c:pt>
                <c:pt idx="88">
                  <c:v>43290</c:v>
                </c:pt>
                <c:pt idx="89">
                  <c:v>43291</c:v>
                </c:pt>
                <c:pt idx="90">
                  <c:v>43292</c:v>
                </c:pt>
                <c:pt idx="91">
                  <c:v>43293</c:v>
                </c:pt>
                <c:pt idx="92">
                  <c:v>43294</c:v>
                </c:pt>
                <c:pt idx="93">
                  <c:v>43297</c:v>
                </c:pt>
                <c:pt idx="94">
                  <c:v>43298</c:v>
                </c:pt>
                <c:pt idx="95">
                  <c:v>43299</c:v>
                </c:pt>
                <c:pt idx="96">
                  <c:v>43300</c:v>
                </c:pt>
                <c:pt idx="97">
                  <c:v>43301</c:v>
                </c:pt>
                <c:pt idx="98">
                  <c:v>43304</c:v>
                </c:pt>
                <c:pt idx="99">
                  <c:v>43305</c:v>
                </c:pt>
                <c:pt idx="100">
                  <c:v>43306</c:v>
                </c:pt>
                <c:pt idx="101">
                  <c:v>43307</c:v>
                </c:pt>
                <c:pt idx="102">
                  <c:v>43308</c:v>
                </c:pt>
                <c:pt idx="103">
                  <c:v>43311</c:v>
                </c:pt>
                <c:pt idx="104">
                  <c:v>43312</c:v>
                </c:pt>
                <c:pt idx="105">
                  <c:v>43313</c:v>
                </c:pt>
                <c:pt idx="106">
                  <c:v>43314</c:v>
                </c:pt>
                <c:pt idx="107">
                  <c:v>43315</c:v>
                </c:pt>
                <c:pt idx="108">
                  <c:v>43318</c:v>
                </c:pt>
                <c:pt idx="109">
                  <c:v>43319</c:v>
                </c:pt>
                <c:pt idx="110">
                  <c:v>43320</c:v>
                </c:pt>
                <c:pt idx="111">
                  <c:v>43321</c:v>
                </c:pt>
                <c:pt idx="112">
                  <c:v>43322</c:v>
                </c:pt>
                <c:pt idx="113">
                  <c:v>43325</c:v>
                </c:pt>
                <c:pt idx="114">
                  <c:v>43326</c:v>
                </c:pt>
                <c:pt idx="115">
                  <c:v>43328</c:v>
                </c:pt>
                <c:pt idx="116">
                  <c:v>43329</c:v>
                </c:pt>
                <c:pt idx="117">
                  <c:v>43332</c:v>
                </c:pt>
                <c:pt idx="118">
                  <c:v>43333</c:v>
                </c:pt>
                <c:pt idx="119">
                  <c:v>43335</c:v>
                </c:pt>
                <c:pt idx="120">
                  <c:v>43336</c:v>
                </c:pt>
                <c:pt idx="121">
                  <c:v>43339</c:v>
                </c:pt>
                <c:pt idx="122">
                  <c:v>43340</c:v>
                </c:pt>
                <c:pt idx="123">
                  <c:v>43341</c:v>
                </c:pt>
                <c:pt idx="124">
                  <c:v>43342</c:v>
                </c:pt>
                <c:pt idx="125">
                  <c:v>43343</c:v>
                </c:pt>
                <c:pt idx="126">
                  <c:v>43346</c:v>
                </c:pt>
                <c:pt idx="127">
                  <c:v>43347</c:v>
                </c:pt>
                <c:pt idx="128">
                  <c:v>43348</c:v>
                </c:pt>
                <c:pt idx="129">
                  <c:v>43349</c:v>
                </c:pt>
                <c:pt idx="130">
                  <c:v>43350</c:v>
                </c:pt>
                <c:pt idx="131">
                  <c:v>43353</c:v>
                </c:pt>
                <c:pt idx="132">
                  <c:v>43354</c:v>
                </c:pt>
                <c:pt idx="133">
                  <c:v>43355</c:v>
                </c:pt>
                <c:pt idx="134">
                  <c:v>43357</c:v>
                </c:pt>
                <c:pt idx="135">
                  <c:v>43360</c:v>
                </c:pt>
                <c:pt idx="136">
                  <c:v>43361</c:v>
                </c:pt>
                <c:pt idx="137">
                  <c:v>43362</c:v>
                </c:pt>
                <c:pt idx="138">
                  <c:v>43364</c:v>
                </c:pt>
                <c:pt idx="139">
                  <c:v>43367</c:v>
                </c:pt>
                <c:pt idx="140">
                  <c:v>43368</c:v>
                </c:pt>
                <c:pt idx="141">
                  <c:v>43369</c:v>
                </c:pt>
                <c:pt idx="142">
                  <c:v>43370</c:v>
                </c:pt>
                <c:pt idx="143">
                  <c:v>43371</c:v>
                </c:pt>
                <c:pt idx="144">
                  <c:v>43374</c:v>
                </c:pt>
                <c:pt idx="145">
                  <c:v>43376</c:v>
                </c:pt>
                <c:pt idx="146">
                  <c:v>43377</c:v>
                </c:pt>
                <c:pt idx="147">
                  <c:v>43378</c:v>
                </c:pt>
                <c:pt idx="148">
                  <c:v>43381</c:v>
                </c:pt>
                <c:pt idx="149">
                  <c:v>43382</c:v>
                </c:pt>
                <c:pt idx="150">
                  <c:v>43383</c:v>
                </c:pt>
                <c:pt idx="151">
                  <c:v>43384</c:v>
                </c:pt>
                <c:pt idx="152">
                  <c:v>43385</c:v>
                </c:pt>
                <c:pt idx="153">
                  <c:v>43388</c:v>
                </c:pt>
                <c:pt idx="154">
                  <c:v>43389</c:v>
                </c:pt>
                <c:pt idx="155">
                  <c:v>43390</c:v>
                </c:pt>
                <c:pt idx="156">
                  <c:v>43392</c:v>
                </c:pt>
                <c:pt idx="157">
                  <c:v>43395</c:v>
                </c:pt>
                <c:pt idx="158">
                  <c:v>43396</c:v>
                </c:pt>
                <c:pt idx="159">
                  <c:v>43397</c:v>
                </c:pt>
                <c:pt idx="160">
                  <c:v>43398</c:v>
                </c:pt>
                <c:pt idx="161">
                  <c:v>43399</c:v>
                </c:pt>
                <c:pt idx="162">
                  <c:v>43402</c:v>
                </c:pt>
                <c:pt idx="163">
                  <c:v>43403</c:v>
                </c:pt>
                <c:pt idx="164">
                  <c:v>43404</c:v>
                </c:pt>
                <c:pt idx="165">
                  <c:v>43405</c:v>
                </c:pt>
                <c:pt idx="166">
                  <c:v>43406</c:v>
                </c:pt>
                <c:pt idx="167">
                  <c:v>43409</c:v>
                </c:pt>
                <c:pt idx="168">
                  <c:v>43410</c:v>
                </c:pt>
                <c:pt idx="169">
                  <c:v>43411</c:v>
                </c:pt>
                <c:pt idx="170">
                  <c:v>43413</c:v>
                </c:pt>
                <c:pt idx="171">
                  <c:v>43416</c:v>
                </c:pt>
                <c:pt idx="172">
                  <c:v>43417</c:v>
                </c:pt>
                <c:pt idx="173">
                  <c:v>43418</c:v>
                </c:pt>
                <c:pt idx="174">
                  <c:v>43419</c:v>
                </c:pt>
                <c:pt idx="175">
                  <c:v>43420</c:v>
                </c:pt>
                <c:pt idx="176">
                  <c:v>43423</c:v>
                </c:pt>
                <c:pt idx="177">
                  <c:v>43424</c:v>
                </c:pt>
                <c:pt idx="178">
                  <c:v>43425</c:v>
                </c:pt>
                <c:pt idx="179">
                  <c:v>43426</c:v>
                </c:pt>
                <c:pt idx="180">
                  <c:v>43430</c:v>
                </c:pt>
                <c:pt idx="181">
                  <c:v>43431</c:v>
                </c:pt>
                <c:pt idx="182">
                  <c:v>43432</c:v>
                </c:pt>
                <c:pt idx="183">
                  <c:v>43433</c:v>
                </c:pt>
                <c:pt idx="184">
                  <c:v>43434</c:v>
                </c:pt>
                <c:pt idx="185">
                  <c:v>43437</c:v>
                </c:pt>
                <c:pt idx="186">
                  <c:v>43438</c:v>
                </c:pt>
                <c:pt idx="187">
                  <c:v>43439</c:v>
                </c:pt>
                <c:pt idx="188">
                  <c:v>43440</c:v>
                </c:pt>
                <c:pt idx="189">
                  <c:v>43441</c:v>
                </c:pt>
                <c:pt idx="190">
                  <c:v>43444</c:v>
                </c:pt>
                <c:pt idx="191">
                  <c:v>43445</c:v>
                </c:pt>
                <c:pt idx="192">
                  <c:v>43446</c:v>
                </c:pt>
                <c:pt idx="193">
                  <c:v>43447</c:v>
                </c:pt>
                <c:pt idx="194">
                  <c:v>43448</c:v>
                </c:pt>
                <c:pt idx="195">
                  <c:v>43451</c:v>
                </c:pt>
                <c:pt idx="196">
                  <c:v>43452</c:v>
                </c:pt>
                <c:pt idx="197">
                  <c:v>43453</c:v>
                </c:pt>
                <c:pt idx="198">
                  <c:v>43454</c:v>
                </c:pt>
                <c:pt idx="199">
                  <c:v>43455</c:v>
                </c:pt>
                <c:pt idx="200">
                  <c:v>43458</c:v>
                </c:pt>
                <c:pt idx="201">
                  <c:v>43460</c:v>
                </c:pt>
                <c:pt idx="202">
                  <c:v>43461</c:v>
                </c:pt>
                <c:pt idx="203">
                  <c:v>43462</c:v>
                </c:pt>
                <c:pt idx="204">
                  <c:v>43465</c:v>
                </c:pt>
                <c:pt idx="205">
                  <c:v>43466</c:v>
                </c:pt>
                <c:pt idx="206">
                  <c:v>43467</c:v>
                </c:pt>
                <c:pt idx="207">
                  <c:v>43468</c:v>
                </c:pt>
                <c:pt idx="208">
                  <c:v>43469</c:v>
                </c:pt>
                <c:pt idx="209">
                  <c:v>43472</c:v>
                </c:pt>
                <c:pt idx="210">
                  <c:v>43473</c:v>
                </c:pt>
                <c:pt idx="211">
                  <c:v>43474</c:v>
                </c:pt>
                <c:pt idx="212">
                  <c:v>43475</c:v>
                </c:pt>
                <c:pt idx="213">
                  <c:v>43476</c:v>
                </c:pt>
                <c:pt idx="214">
                  <c:v>43479</c:v>
                </c:pt>
                <c:pt idx="215">
                  <c:v>43480</c:v>
                </c:pt>
                <c:pt idx="216">
                  <c:v>43481</c:v>
                </c:pt>
                <c:pt idx="217">
                  <c:v>43482</c:v>
                </c:pt>
                <c:pt idx="218">
                  <c:v>43483</c:v>
                </c:pt>
                <c:pt idx="219">
                  <c:v>43486</c:v>
                </c:pt>
                <c:pt idx="220">
                  <c:v>43487</c:v>
                </c:pt>
                <c:pt idx="221">
                  <c:v>43488</c:v>
                </c:pt>
                <c:pt idx="222">
                  <c:v>43489</c:v>
                </c:pt>
                <c:pt idx="223">
                  <c:v>43490</c:v>
                </c:pt>
                <c:pt idx="224">
                  <c:v>43493</c:v>
                </c:pt>
                <c:pt idx="225">
                  <c:v>43494</c:v>
                </c:pt>
                <c:pt idx="226">
                  <c:v>43495</c:v>
                </c:pt>
                <c:pt idx="227">
                  <c:v>43496</c:v>
                </c:pt>
                <c:pt idx="228">
                  <c:v>43497</c:v>
                </c:pt>
                <c:pt idx="229">
                  <c:v>43500</c:v>
                </c:pt>
                <c:pt idx="230">
                  <c:v>43501</c:v>
                </c:pt>
                <c:pt idx="231">
                  <c:v>43502</c:v>
                </c:pt>
                <c:pt idx="232">
                  <c:v>43503</c:v>
                </c:pt>
                <c:pt idx="233">
                  <c:v>43504</c:v>
                </c:pt>
                <c:pt idx="234">
                  <c:v>43507</c:v>
                </c:pt>
                <c:pt idx="235">
                  <c:v>43508</c:v>
                </c:pt>
                <c:pt idx="236">
                  <c:v>43509</c:v>
                </c:pt>
                <c:pt idx="237">
                  <c:v>43510</c:v>
                </c:pt>
                <c:pt idx="238">
                  <c:v>43511</c:v>
                </c:pt>
                <c:pt idx="239">
                  <c:v>43514</c:v>
                </c:pt>
                <c:pt idx="240">
                  <c:v>43515</c:v>
                </c:pt>
                <c:pt idx="241">
                  <c:v>43516</c:v>
                </c:pt>
                <c:pt idx="242">
                  <c:v>43517</c:v>
                </c:pt>
                <c:pt idx="243">
                  <c:v>43518</c:v>
                </c:pt>
                <c:pt idx="244">
                  <c:v>43521</c:v>
                </c:pt>
                <c:pt idx="245">
                  <c:v>43522</c:v>
                </c:pt>
                <c:pt idx="246">
                  <c:v>43523</c:v>
                </c:pt>
                <c:pt idx="247">
                  <c:v>43524</c:v>
                </c:pt>
              </c:numCache>
            </c:numRef>
          </c:cat>
          <c:val>
            <c:numRef>
              <c:f>'F1'!$C$126:$C$373</c:f>
              <c:numCache>
                <c:formatCode>0</c:formatCode>
                <c:ptCount val="248"/>
                <c:pt idx="0">
                  <c:v>10458.35</c:v>
                </c:pt>
                <c:pt idx="1">
                  <c:v>10358.85</c:v>
                </c:pt>
                <c:pt idx="2">
                  <c:v>10249.25</c:v>
                </c:pt>
                <c:pt idx="3">
                  <c:v>10154.200000000001</c:v>
                </c:pt>
                <c:pt idx="4">
                  <c:v>10242.65</c:v>
                </c:pt>
                <c:pt idx="5">
                  <c:v>10226.85</c:v>
                </c:pt>
                <c:pt idx="6">
                  <c:v>10421.4</c:v>
                </c:pt>
                <c:pt idx="7">
                  <c:v>10426.85</c:v>
                </c:pt>
                <c:pt idx="8">
                  <c:v>10410.9</c:v>
                </c:pt>
                <c:pt idx="9">
                  <c:v>10360.15</c:v>
                </c:pt>
                <c:pt idx="10">
                  <c:v>10195.15</c:v>
                </c:pt>
                <c:pt idx="11">
                  <c:v>10094.25</c:v>
                </c:pt>
                <c:pt idx="12">
                  <c:v>10124.35</c:v>
                </c:pt>
                <c:pt idx="13">
                  <c:v>10155.25</c:v>
                </c:pt>
                <c:pt idx="14">
                  <c:v>10114.75</c:v>
                </c:pt>
                <c:pt idx="15">
                  <c:v>9998.0499999999993</c:v>
                </c:pt>
                <c:pt idx="16">
                  <c:v>10130.65</c:v>
                </c:pt>
                <c:pt idx="17">
                  <c:v>10184.15</c:v>
                </c:pt>
                <c:pt idx="18">
                  <c:v>10113.700000000001</c:v>
                </c:pt>
                <c:pt idx="19">
                  <c:v>10211.799999999999</c:v>
                </c:pt>
                <c:pt idx="20">
                  <c:v>10245</c:v>
                </c:pt>
                <c:pt idx="21">
                  <c:v>10128.4</c:v>
                </c:pt>
                <c:pt idx="22">
                  <c:v>10325.15</c:v>
                </c:pt>
                <c:pt idx="23">
                  <c:v>10331.6</c:v>
                </c:pt>
                <c:pt idx="24">
                  <c:v>10379.35</c:v>
                </c:pt>
                <c:pt idx="25">
                  <c:v>10402.25</c:v>
                </c:pt>
                <c:pt idx="26">
                  <c:v>10417.15</c:v>
                </c:pt>
                <c:pt idx="27">
                  <c:v>10458.65</c:v>
                </c:pt>
                <c:pt idx="28">
                  <c:v>10480.6</c:v>
                </c:pt>
                <c:pt idx="29">
                  <c:v>10528.35</c:v>
                </c:pt>
                <c:pt idx="30">
                  <c:v>10548.7</c:v>
                </c:pt>
                <c:pt idx="31">
                  <c:v>10526.2</c:v>
                </c:pt>
                <c:pt idx="32">
                  <c:v>10565.3</c:v>
                </c:pt>
                <c:pt idx="33">
                  <c:v>10564.05</c:v>
                </c:pt>
                <c:pt idx="34">
                  <c:v>10584.7</c:v>
                </c:pt>
                <c:pt idx="35">
                  <c:v>10614.35</c:v>
                </c:pt>
                <c:pt idx="36">
                  <c:v>10570.55</c:v>
                </c:pt>
                <c:pt idx="37">
                  <c:v>10617.8</c:v>
                </c:pt>
                <c:pt idx="38">
                  <c:v>10692.3</c:v>
                </c:pt>
                <c:pt idx="39">
                  <c:v>10739.35</c:v>
                </c:pt>
                <c:pt idx="40" formatCode="General">
                  <c:v>10718.05</c:v>
                </c:pt>
                <c:pt idx="41" formatCode="General">
                  <c:v>10679.65</c:v>
                </c:pt>
                <c:pt idx="42" formatCode="General">
                  <c:v>10618.25</c:v>
                </c:pt>
                <c:pt idx="43" formatCode="General">
                  <c:v>10715.5</c:v>
                </c:pt>
                <c:pt idx="44" formatCode="General">
                  <c:v>10717.8</c:v>
                </c:pt>
                <c:pt idx="45" formatCode="General">
                  <c:v>10741.7</c:v>
                </c:pt>
                <c:pt idx="46" formatCode="General">
                  <c:v>10716.55</c:v>
                </c:pt>
                <c:pt idx="47" formatCode="General">
                  <c:v>10806.5</c:v>
                </c:pt>
                <c:pt idx="48" formatCode="General">
                  <c:v>10806.6</c:v>
                </c:pt>
                <c:pt idx="49" formatCode="General">
                  <c:v>10801.85</c:v>
                </c:pt>
                <c:pt idx="50" formatCode="General">
                  <c:v>10741.1</c:v>
                </c:pt>
                <c:pt idx="51" formatCode="General">
                  <c:v>10682.7</c:v>
                </c:pt>
                <c:pt idx="52" formatCode="General">
                  <c:v>10596.4</c:v>
                </c:pt>
                <c:pt idx="53" formatCode="General">
                  <c:v>10516.7</c:v>
                </c:pt>
                <c:pt idx="54" formatCode="General">
                  <c:v>10536.7</c:v>
                </c:pt>
                <c:pt idx="55" formatCode="General">
                  <c:v>10430.35</c:v>
                </c:pt>
                <c:pt idx="56" formatCode="General">
                  <c:v>10513.85</c:v>
                </c:pt>
                <c:pt idx="57" formatCode="General">
                  <c:v>10605.15</c:v>
                </c:pt>
                <c:pt idx="58" formatCode="General">
                  <c:v>10688.65</c:v>
                </c:pt>
                <c:pt idx="59" formatCode="General">
                  <c:v>10633.3</c:v>
                </c:pt>
                <c:pt idx="60" formatCode="General">
                  <c:v>10614.35</c:v>
                </c:pt>
                <c:pt idx="61" formatCode="General">
                  <c:v>10736.15</c:v>
                </c:pt>
                <c:pt idx="62" formatCode="#,##0.00">
                  <c:v>10696.2</c:v>
                </c:pt>
                <c:pt idx="63" formatCode="#,##0.00">
                  <c:v>10628.5</c:v>
                </c:pt>
                <c:pt idx="64" formatCode="#,##0.00">
                  <c:v>10593.15</c:v>
                </c:pt>
                <c:pt idx="65" formatCode="#,##0.00">
                  <c:v>10684.65</c:v>
                </c:pt>
                <c:pt idx="66" formatCode="#,##0.00">
                  <c:v>10768.35</c:v>
                </c:pt>
                <c:pt idx="67" formatCode="#,##0.00">
                  <c:v>10767.65</c:v>
                </c:pt>
                <c:pt idx="68" formatCode="#,##0.00">
                  <c:v>10786.95</c:v>
                </c:pt>
                <c:pt idx="69" formatCode="#,##0.00">
                  <c:v>10842.85</c:v>
                </c:pt>
                <c:pt idx="70" formatCode="#,##0.00">
                  <c:v>10856.7</c:v>
                </c:pt>
                <c:pt idx="71" formatCode="#,##0.00">
                  <c:v>10808.05</c:v>
                </c:pt>
                <c:pt idx="72" formatCode="#,##0.00">
                  <c:v>10817.7</c:v>
                </c:pt>
                <c:pt idx="73" formatCode="#,##0.00">
                  <c:v>10799.85</c:v>
                </c:pt>
                <c:pt idx="74" formatCode="#,##0.00">
                  <c:v>10710.45</c:v>
                </c:pt>
                <c:pt idx="75" formatCode="#,##0.00">
                  <c:v>10772.05</c:v>
                </c:pt>
                <c:pt idx="76" formatCode="#,##0.00">
                  <c:v>10741.1</c:v>
                </c:pt>
                <c:pt idx="77" formatCode="#,##0.00">
                  <c:v>10821.85</c:v>
                </c:pt>
                <c:pt idx="78" formatCode="#,##0.00">
                  <c:v>10762.45</c:v>
                </c:pt>
                <c:pt idx="79" formatCode="#,##0.00">
                  <c:v>10769.15</c:v>
                </c:pt>
                <c:pt idx="80" formatCode="#,##0.00">
                  <c:v>10671.4</c:v>
                </c:pt>
                <c:pt idx="81" formatCode="#,##0.00">
                  <c:v>10589.1</c:v>
                </c:pt>
                <c:pt idx="82" formatCode="#,##0.00">
                  <c:v>10714.3</c:v>
                </c:pt>
                <c:pt idx="83" formatCode="#,##0.00">
                  <c:v>10657.3</c:v>
                </c:pt>
                <c:pt idx="84" formatCode="#,##0.00">
                  <c:v>10699.9</c:v>
                </c:pt>
                <c:pt idx="85" formatCode="#,##0.00">
                  <c:v>10769.9</c:v>
                </c:pt>
                <c:pt idx="86" formatCode="#,##0.00">
                  <c:v>10749.75</c:v>
                </c:pt>
                <c:pt idx="87" formatCode="#,##0.00">
                  <c:v>10772.65</c:v>
                </c:pt>
                <c:pt idx="88" formatCode="#,##0.00">
                  <c:v>10852.9</c:v>
                </c:pt>
                <c:pt idx="89" formatCode="#,##0.00">
                  <c:v>10947.25</c:v>
                </c:pt>
                <c:pt idx="90" formatCode="#,##0.00">
                  <c:v>10948.3</c:v>
                </c:pt>
                <c:pt idx="91" formatCode="#,##0.00">
                  <c:v>11023.2</c:v>
                </c:pt>
                <c:pt idx="92" formatCode="#,##0.00">
                  <c:v>11018.9</c:v>
                </c:pt>
                <c:pt idx="93" formatCode="#,##0.00">
                  <c:v>10936.85</c:v>
                </c:pt>
                <c:pt idx="94" formatCode="#,##0.00">
                  <c:v>11008.05</c:v>
                </c:pt>
                <c:pt idx="95" formatCode="#,##0.00">
                  <c:v>10980.45</c:v>
                </c:pt>
                <c:pt idx="96" formatCode="#,##0.00">
                  <c:v>10957.1</c:v>
                </c:pt>
                <c:pt idx="97" formatCode="#,##0.00">
                  <c:v>11010.2</c:v>
                </c:pt>
                <c:pt idx="98" formatCode="#,##0.00">
                  <c:v>11084.75</c:v>
                </c:pt>
                <c:pt idx="99" formatCode="#,##0.00">
                  <c:v>11134.3</c:v>
                </c:pt>
                <c:pt idx="100" formatCode="#,##0.00">
                  <c:v>11132</c:v>
                </c:pt>
                <c:pt idx="101" formatCode="#,##0.00">
                  <c:v>11167.3</c:v>
                </c:pt>
                <c:pt idx="102" formatCode="#,##0.00">
                  <c:v>11278.35</c:v>
                </c:pt>
                <c:pt idx="103" formatCode="#,##0.00">
                  <c:v>11319.55</c:v>
                </c:pt>
                <c:pt idx="104" formatCode="#,##0.00">
                  <c:v>11356.5</c:v>
                </c:pt>
                <c:pt idx="105" formatCode="General">
                  <c:v>11346.2</c:v>
                </c:pt>
                <c:pt idx="106" formatCode="General">
                  <c:v>11244.7</c:v>
                </c:pt>
                <c:pt idx="107" formatCode="General">
                  <c:v>11360.8</c:v>
                </c:pt>
                <c:pt idx="108" formatCode="General">
                  <c:v>11387.1</c:v>
                </c:pt>
                <c:pt idx="109" formatCode="General">
                  <c:v>11389.45</c:v>
                </c:pt>
                <c:pt idx="110" formatCode="General">
                  <c:v>11450</c:v>
                </c:pt>
                <c:pt idx="111" formatCode="General">
                  <c:v>11470.7</c:v>
                </c:pt>
                <c:pt idx="112" formatCode="General">
                  <c:v>11429.5</c:v>
                </c:pt>
                <c:pt idx="113" formatCode="General">
                  <c:v>11355.75</c:v>
                </c:pt>
                <c:pt idx="114" formatCode="General">
                  <c:v>11435.1</c:v>
                </c:pt>
                <c:pt idx="115" formatCode="General">
                  <c:v>11385.05</c:v>
                </c:pt>
                <c:pt idx="116" formatCode="General">
                  <c:v>11470.75</c:v>
                </c:pt>
                <c:pt idx="117" formatCode="General">
                  <c:v>11551.75</c:v>
                </c:pt>
                <c:pt idx="118" formatCode="General">
                  <c:v>11570.9</c:v>
                </c:pt>
                <c:pt idx="119" formatCode="General">
                  <c:v>11582.75</c:v>
                </c:pt>
                <c:pt idx="120" formatCode="General">
                  <c:v>11557.1</c:v>
                </c:pt>
                <c:pt idx="121" formatCode="General">
                  <c:v>11691.95</c:v>
                </c:pt>
                <c:pt idx="122" formatCode="General">
                  <c:v>11738.5</c:v>
                </c:pt>
                <c:pt idx="123" formatCode="General">
                  <c:v>11691.9</c:v>
                </c:pt>
                <c:pt idx="124" formatCode="General">
                  <c:v>11676.8</c:v>
                </c:pt>
                <c:pt idx="125" formatCode="General">
                  <c:v>11680.5</c:v>
                </c:pt>
                <c:pt idx="126">
                  <c:v>11582.35</c:v>
                </c:pt>
                <c:pt idx="127">
                  <c:v>11520.3</c:v>
                </c:pt>
                <c:pt idx="128">
                  <c:v>11476.95</c:v>
                </c:pt>
                <c:pt idx="129">
                  <c:v>11536.9</c:v>
                </c:pt>
                <c:pt idx="130">
                  <c:v>11589.1</c:v>
                </c:pt>
                <c:pt idx="131">
                  <c:v>11438.1</c:v>
                </c:pt>
                <c:pt idx="132">
                  <c:v>11287.5</c:v>
                </c:pt>
                <c:pt idx="133">
                  <c:v>11369.9</c:v>
                </c:pt>
                <c:pt idx="134">
                  <c:v>11515.2</c:v>
                </c:pt>
                <c:pt idx="135">
                  <c:v>11377.75</c:v>
                </c:pt>
                <c:pt idx="136">
                  <c:v>11278.9</c:v>
                </c:pt>
                <c:pt idx="137">
                  <c:v>11234.35</c:v>
                </c:pt>
                <c:pt idx="138">
                  <c:v>11143.1</c:v>
                </c:pt>
                <c:pt idx="139">
                  <c:v>10967.4</c:v>
                </c:pt>
                <c:pt idx="140">
                  <c:v>11067.45</c:v>
                </c:pt>
                <c:pt idx="141">
                  <c:v>11053.8</c:v>
                </c:pt>
                <c:pt idx="142">
                  <c:v>10977.55</c:v>
                </c:pt>
                <c:pt idx="143">
                  <c:v>10930.45</c:v>
                </c:pt>
                <c:pt idx="144">
                  <c:v>11008.3</c:v>
                </c:pt>
                <c:pt idx="145">
                  <c:v>10858.25</c:v>
                </c:pt>
                <c:pt idx="146">
                  <c:v>10599.25</c:v>
                </c:pt>
                <c:pt idx="147">
                  <c:v>10316.450000000001</c:v>
                </c:pt>
                <c:pt idx="148">
                  <c:v>10348.049999999999</c:v>
                </c:pt>
                <c:pt idx="149">
                  <c:v>10301.049999999999</c:v>
                </c:pt>
                <c:pt idx="150">
                  <c:v>10460.1</c:v>
                </c:pt>
                <c:pt idx="151">
                  <c:v>10234.65</c:v>
                </c:pt>
                <c:pt idx="152">
                  <c:v>10472.5</c:v>
                </c:pt>
                <c:pt idx="153">
                  <c:v>10512.5</c:v>
                </c:pt>
                <c:pt idx="154">
                  <c:v>10584.75</c:v>
                </c:pt>
                <c:pt idx="155">
                  <c:v>10453.049999999999</c:v>
                </c:pt>
                <c:pt idx="156">
                  <c:v>10303.549999999999</c:v>
                </c:pt>
                <c:pt idx="157">
                  <c:v>10245.25</c:v>
                </c:pt>
                <c:pt idx="158">
                  <c:v>10146.799999999999</c:v>
                </c:pt>
                <c:pt idx="159">
                  <c:v>10224.75</c:v>
                </c:pt>
                <c:pt idx="160">
                  <c:v>10124.9</c:v>
                </c:pt>
                <c:pt idx="161">
                  <c:v>10030</c:v>
                </c:pt>
                <c:pt idx="162">
                  <c:v>10250.85</c:v>
                </c:pt>
                <c:pt idx="163">
                  <c:v>10198.4</c:v>
                </c:pt>
                <c:pt idx="164">
                  <c:v>10386.6</c:v>
                </c:pt>
                <c:pt idx="165">
                  <c:v>10380.450000000001</c:v>
                </c:pt>
                <c:pt idx="166">
                  <c:v>10553</c:v>
                </c:pt>
                <c:pt idx="167">
                  <c:v>10524</c:v>
                </c:pt>
                <c:pt idx="168">
                  <c:v>10530</c:v>
                </c:pt>
                <c:pt idx="169">
                  <c:v>10598.4</c:v>
                </c:pt>
                <c:pt idx="170">
                  <c:v>10585.2</c:v>
                </c:pt>
                <c:pt idx="171">
                  <c:v>10482.200000000001</c:v>
                </c:pt>
                <c:pt idx="172">
                  <c:v>10582.5</c:v>
                </c:pt>
                <c:pt idx="173">
                  <c:v>10576.3</c:v>
                </c:pt>
                <c:pt idx="174">
                  <c:v>10616.7</c:v>
                </c:pt>
                <c:pt idx="175">
                  <c:v>10682.2</c:v>
                </c:pt>
                <c:pt idx="176">
                  <c:v>10763.4</c:v>
                </c:pt>
                <c:pt idx="177">
                  <c:v>10656.2</c:v>
                </c:pt>
                <c:pt idx="178">
                  <c:v>10600.05</c:v>
                </c:pt>
                <c:pt idx="179">
                  <c:v>10526.75</c:v>
                </c:pt>
                <c:pt idx="180">
                  <c:v>10628.6</c:v>
                </c:pt>
                <c:pt idx="181">
                  <c:v>10685.6</c:v>
                </c:pt>
                <c:pt idx="182">
                  <c:v>10728.85</c:v>
                </c:pt>
                <c:pt idx="183">
                  <c:v>10858.7</c:v>
                </c:pt>
                <c:pt idx="184">
                  <c:v>10876.75</c:v>
                </c:pt>
                <c:pt idx="185">
                  <c:v>10883.75</c:v>
                </c:pt>
                <c:pt idx="186">
                  <c:v>10869.5</c:v>
                </c:pt>
                <c:pt idx="187">
                  <c:v>10782.9</c:v>
                </c:pt>
                <c:pt idx="188">
                  <c:v>10601.15</c:v>
                </c:pt>
                <c:pt idx="189">
                  <c:v>10693.7</c:v>
                </c:pt>
                <c:pt idx="190">
                  <c:v>10488.45</c:v>
                </c:pt>
                <c:pt idx="191">
                  <c:v>10549.15</c:v>
                </c:pt>
                <c:pt idx="192">
                  <c:v>10737.6</c:v>
                </c:pt>
                <c:pt idx="193">
                  <c:v>10791.55</c:v>
                </c:pt>
                <c:pt idx="194">
                  <c:v>10805.45</c:v>
                </c:pt>
                <c:pt idx="195">
                  <c:v>10888.35</c:v>
                </c:pt>
                <c:pt idx="196">
                  <c:v>10908.7</c:v>
                </c:pt>
                <c:pt idx="197">
                  <c:v>10967.3</c:v>
                </c:pt>
                <c:pt idx="198">
                  <c:v>10951.7</c:v>
                </c:pt>
                <c:pt idx="199">
                  <c:v>10754</c:v>
                </c:pt>
                <c:pt idx="200">
                  <c:v>10663.5</c:v>
                </c:pt>
                <c:pt idx="201">
                  <c:v>10729.85</c:v>
                </c:pt>
                <c:pt idx="202">
                  <c:v>10779.8</c:v>
                </c:pt>
                <c:pt idx="203">
                  <c:v>10859.9</c:v>
                </c:pt>
                <c:pt idx="204">
                  <c:v>10862.55</c:v>
                </c:pt>
                <c:pt idx="205">
                  <c:v>10910.1</c:v>
                </c:pt>
                <c:pt idx="206">
                  <c:v>10792.5</c:v>
                </c:pt>
                <c:pt idx="207">
                  <c:v>10672.25</c:v>
                </c:pt>
                <c:pt idx="208">
                  <c:v>10727.35</c:v>
                </c:pt>
                <c:pt idx="209">
                  <c:v>10771.8</c:v>
                </c:pt>
                <c:pt idx="210">
                  <c:v>10802.15</c:v>
                </c:pt>
                <c:pt idx="211">
                  <c:v>10855.15</c:v>
                </c:pt>
                <c:pt idx="212">
                  <c:v>10821.6</c:v>
                </c:pt>
                <c:pt idx="213">
                  <c:v>10794.95</c:v>
                </c:pt>
                <c:pt idx="214">
                  <c:v>10737.6</c:v>
                </c:pt>
                <c:pt idx="215">
                  <c:v>10886.8</c:v>
                </c:pt>
                <c:pt idx="216">
                  <c:v>10890.3</c:v>
                </c:pt>
                <c:pt idx="217">
                  <c:v>10905.2</c:v>
                </c:pt>
                <c:pt idx="218">
                  <c:v>10906.95</c:v>
                </c:pt>
                <c:pt idx="219">
                  <c:v>10961.85</c:v>
                </c:pt>
                <c:pt idx="220">
                  <c:v>10922.75</c:v>
                </c:pt>
                <c:pt idx="221">
                  <c:v>10831.5</c:v>
                </c:pt>
                <c:pt idx="222">
                  <c:v>10849.8</c:v>
                </c:pt>
                <c:pt idx="223">
                  <c:v>10780.55</c:v>
                </c:pt>
                <c:pt idx="224">
                  <c:v>10661.55</c:v>
                </c:pt>
                <c:pt idx="225">
                  <c:v>10652.2</c:v>
                </c:pt>
                <c:pt idx="226">
                  <c:v>10651.8</c:v>
                </c:pt>
                <c:pt idx="227">
                  <c:v>10830.95</c:v>
                </c:pt>
                <c:pt idx="228">
                  <c:v>10893.65</c:v>
                </c:pt>
                <c:pt idx="229">
                  <c:v>10912.25</c:v>
                </c:pt>
                <c:pt idx="230">
                  <c:v>10934.35</c:v>
                </c:pt>
                <c:pt idx="231">
                  <c:v>11062.45</c:v>
                </c:pt>
                <c:pt idx="232">
                  <c:v>11069.4</c:v>
                </c:pt>
                <c:pt idx="233">
                  <c:v>10943.6</c:v>
                </c:pt>
                <c:pt idx="234">
                  <c:v>10888.8</c:v>
                </c:pt>
                <c:pt idx="235">
                  <c:v>10831.4</c:v>
                </c:pt>
                <c:pt idx="236">
                  <c:v>10793.65</c:v>
                </c:pt>
                <c:pt idx="237">
                  <c:v>10746.05</c:v>
                </c:pt>
                <c:pt idx="238">
                  <c:v>10724.4</c:v>
                </c:pt>
                <c:pt idx="239">
                  <c:v>10640.95</c:v>
                </c:pt>
                <c:pt idx="240">
                  <c:v>10604.35</c:v>
                </c:pt>
                <c:pt idx="241">
                  <c:v>10735.45</c:v>
                </c:pt>
                <c:pt idx="242">
                  <c:v>10789.85</c:v>
                </c:pt>
                <c:pt idx="243">
                  <c:v>10791.65</c:v>
                </c:pt>
                <c:pt idx="244">
                  <c:v>10880.1</c:v>
                </c:pt>
                <c:pt idx="245">
                  <c:v>10835.3</c:v>
                </c:pt>
                <c:pt idx="246">
                  <c:v>10806.65</c:v>
                </c:pt>
                <c:pt idx="247">
                  <c:v>10792.5</c:v>
                </c:pt>
              </c:numCache>
            </c:numRef>
          </c:val>
          <c:smooth val="0"/>
        </c:ser>
        <c:dLbls>
          <c:showLegendKey val="0"/>
          <c:showVal val="0"/>
          <c:showCatName val="0"/>
          <c:showSerName val="0"/>
          <c:showPercent val="0"/>
          <c:showBubbleSize val="0"/>
        </c:dLbls>
        <c:marker val="1"/>
        <c:smooth val="0"/>
        <c:axId val="492621200"/>
        <c:axId val="492620808"/>
      </c:lineChart>
      <c:dateAx>
        <c:axId val="492625512"/>
        <c:scaling>
          <c:orientation val="minMax"/>
        </c:scaling>
        <c:delete val="0"/>
        <c:axPos val="b"/>
        <c:numFmt formatCode="[$-409]mmm\-yy;@" sourceLinked="0"/>
        <c:majorTickMark val="none"/>
        <c:minorTickMark val="none"/>
        <c:tickLblPos val="nextTo"/>
        <c:txPr>
          <a:bodyPr rot="-5400000" vert="horz"/>
          <a:lstStyle/>
          <a:p>
            <a:pPr>
              <a:defRPr lang="en-IN" sz="1000" cap="none" baseline="0"/>
            </a:pPr>
            <a:endParaRPr lang="en-US"/>
          </a:p>
        </c:txPr>
        <c:crossAx val="492620416"/>
        <c:crosses val="autoZero"/>
        <c:auto val="1"/>
        <c:lblOffset val="100"/>
        <c:baseTimeUnit val="days"/>
        <c:majorUnit val="1"/>
        <c:majorTimeUnit val="months"/>
        <c:minorUnit val="20"/>
        <c:minorTimeUnit val="months"/>
      </c:dateAx>
      <c:valAx>
        <c:axId val="492620416"/>
        <c:scaling>
          <c:orientation val="minMax"/>
          <c:min val="30000"/>
        </c:scaling>
        <c:delete val="0"/>
        <c:axPos val="l"/>
        <c:numFmt formatCode="0" sourceLinked="1"/>
        <c:majorTickMark val="none"/>
        <c:minorTickMark val="none"/>
        <c:tickLblPos val="nextTo"/>
        <c:txPr>
          <a:bodyPr/>
          <a:lstStyle/>
          <a:p>
            <a:pPr>
              <a:defRPr lang="en-IN"/>
            </a:pPr>
            <a:endParaRPr lang="en-US"/>
          </a:p>
        </c:txPr>
        <c:crossAx val="492625512"/>
        <c:crossesAt val="20"/>
        <c:crossBetween val="between"/>
      </c:valAx>
      <c:valAx>
        <c:axId val="492620808"/>
        <c:scaling>
          <c:orientation val="minMax"/>
          <c:min val="10000"/>
        </c:scaling>
        <c:delete val="0"/>
        <c:axPos val="r"/>
        <c:numFmt formatCode="0" sourceLinked="1"/>
        <c:majorTickMark val="out"/>
        <c:minorTickMark val="none"/>
        <c:tickLblPos val="nextTo"/>
        <c:crossAx val="492621200"/>
        <c:crosses val="max"/>
        <c:crossBetween val="between"/>
      </c:valAx>
      <c:catAx>
        <c:axId val="492621200"/>
        <c:scaling>
          <c:orientation val="minMax"/>
        </c:scaling>
        <c:delete val="1"/>
        <c:axPos val="b"/>
        <c:numFmt formatCode="[$-409]d\-mmm\-yy;@" sourceLinked="1"/>
        <c:majorTickMark val="out"/>
        <c:minorTickMark val="none"/>
        <c:tickLblPos val="nextTo"/>
        <c:crossAx val="492620808"/>
        <c:crosses val="autoZero"/>
        <c:auto val="0"/>
        <c:lblAlgn val="ctr"/>
        <c:lblOffset val="100"/>
        <c:noMultiLvlLbl val="0"/>
      </c:catAx>
    </c:plotArea>
    <c:legend>
      <c:legendPos val="b"/>
      <c:layout>
        <c:manualLayout>
          <c:xMode val="edge"/>
          <c:yMode val="edge"/>
          <c:x val="0.23978970133716379"/>
          <c:y val="0.89545254415727482"/>
          <c:w val="0.41301948620058854"/>
          <c:h val="6.9216045198414955E-2"/>
        </c:manualLayout>
      </c:layout>
      <c:overlay val="0"/>
      <c:spPr>
        <a:ln w="3175">
          <a:solidFill>
            <a:srgbClr val="EEECE1">
              <a:lumMod val="10000"/>
            </a:srgbClr>
          </a:solidFill>
        </a:ln>
      </c:spPr>
      <c:txPr>
        <a:bodyPr/>
        <a:lstStyle/>
        <a:p>
          <a:pPr>
            <a:defRPr lang="en-IN" sz="1100" cap="none" baseline="0"/>
          </a:pPr>
          <a:endParaRPr lang="en-US"/>
        </a:p>
      </c:txPr>
    </c:legend>
    <c:plotVisOnly val="1"/>
    <c:dispBlanksAs val="gap"/>
    <c:showDLblsOverMax val="0"/>
  </c:chart>
  <c:spPr>
    <a:ln>
      <a:solidFill>
        <a:schemeClr val="accent6">
          <a:lumMod val="50000"/>
        </a:schemeClr>
      </a:solidFill>
    </a:ln>
  </c:spPr>
  <c:txPr>
    <a:bodyPr/>
    <a:lstStyle/>
    <a:p>
      <a:pPr>
        <a:defRPr sz="900" b="1" i="0" cap="all" baseline="0">
          <a:latin typeface="Garamond" pitchFamily="18"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540880084525498"/>
          <c:y val="9.6109905642183024E-2"/>
          <c:w val="0.70358192632314165"/>
          <c:h val="0.63989881426628503"/>
        </c:manualLayout>
      </c:layout>
      <c:barChart>
        <c:barDir val="col"/>
        <c:grouping val="clustered"/>
        <c:varyColors val="0"/>
        <c:ser>
          <c:idx val="0"/>
          <c:order val="0"/>
          <c:tx>
            <c:strRef>
              <c:f>'F2&amp;F3'!$D$3</c:f>
              <c:strCache>
                <c:ptCount val="1"/>
                <c:pt idx="0">
                  <c:v>Average Daily Turnover at NSE (LHS)</c:v>
                </c:pt>
              </c:strCache>
            </c:strRef>
          </c:tx>
          <c:spPr>
            <a:solidFill>
              <a:srgbClr val="FFC000"/>
            </a:solidFill>
          </c:spPr>
          <c:invertIfNegative val="0"/>
          <c:cat>
            <c:numRef>
              <c:f>'F2&amp;F3'!$A$10:$A$21</c:f>
              <c:numCache>
                <c:formatCode>[$-409]mmm\-yy;@</c:formatCode>
                <c:ptCount val="12"/>
                <c:pt idx="0">
                  <c:v>43163</c:v>
                </c:pt>
                <c:pt idx="1">
                  <c:v>43194</c:v>
                </c:pt>
                <c:pt idx="2">
                  <c:v>43224</c:v>
                </c:pt>
                <c:pt idx="3">
                  <c:v>43255</c:v>
                </c:pt>
                <c:pt idx="4">
                  <c:v>43285</c:v>
                </c:pt>
                <c:pt idx="5">
                  <c:v>43316</c:v>
                </c:pt>
                <c:pt idx="6">
                  <c:v>43347</c:v>
                </c:pt>
                <c:pt idx="7">
                  <c:v>43377</c:v>
                </c:pt>
                <c:pt idx="8">
                  <c:v>43408</c:v>
                </c:pt>
                <c:pt idx="9">
                  <c:v>43438</c:v>
                </c:pt>
                <c:pt idx="10">
                  <c:v>43469</c:v>
                </c:pt>
                <c:pt idx="11">
                  <c:v>43500</c:v>
                </c:pt>
              </c:numCache>
            </c:numRef>
          </c:cat>
          <c:val>
            <c:numRef>
              <c:f>'F2&amp;F3'!$D$10:$D$21</c:f>
              <c:numCache>
                <c:formatCode>#,##0</c:formatCode>
                <c:ptCount val="12"/>
                <c:pt idx="0">
                  <c:v>31307.981266976371</c:v>
                </c:pt>
                <c:pt idx="1">
                  <c:v>30544.778501987712</c:v>
                </c:pt>
                <c:pt idx="2">
                  <c:v>31818.755186087099</c:v>
                </c:pt>
                <c:pt idx="3">
                  <c:v>28176.011094716916</c:v>
                </c:pt>
                <c:pt idx="4">
                  <c:v>30130.337449489183</c:v>
                </c:pt>
                <c:pt idx="5">
                  <c:v>33612.830013761144</c:v>
                </c:pt>
                <c:pt idx="6">
                  <c:v>38239.938282278003</c:v>
                </c:pt>
                <c:pt idx="7">
                  <c:v>35504.011831545002</c:v>
                </c:pt>
                <c:pt idx="8">
                  <c:v>30545.684760111999</c:v>
                </c:pt>
                <c:pt idx="9">
                  <c:v>29995.870999999999</c:v>
                </c:pt>
                <c:pt idx="10">
                  <c:v>28951.701026940998</c:v>
                </c:pt>
                <c:pt idx="11">
                  <c:v>31963.520280000001</c:v>
                </c:pt>
              </c:numCache>
            </c:numRef>
          </c:val>
        </c:ser>
        <c:dLbls>
          <c:showLegendKey val="0"/>
          <c:showVal val="0"/>
          <c:showCatName val="0"/>
          <c:showSerName val="0"/>
          <c:showPercent val="0"/>
          <c:showBubbleSize val="0"/>
        </c:dLbls>
        <c:gapWidth val="200"/>
        <c:overlap val="-100"/>
        <c:axId val="492623552"/>
        <c:axId val="492631392"/>
      </c:barChart>
      <c:lineChart>
        <c:grouping val="standard"/>
        <c:varyColors val="0"/>
        <c:ser>
          <c:idx val="1"/>
          <c:order val="1"/>
          <c:tx>
            <c:strRef>
              <c:f>'F2&amp;F3'!$E$3</c:f>
              <c:strCache>
                <c:ptCount val="1"/>
                <c:pt idx="0">
                  <c:v>Average Daily Value of Nifty (RHS)</c:v>
                </c:pt>
              </c:strCache>
            </c:strRef>
          </c:tx>
          <c:spPr>
            <a:ln w="19050">
              <a:solidFill>
                <a:schemeClr val="accent2">
                  <a:lumMod val="50000"/>
                </a:schemeClr>
              </a:solidFill>
            </a:ln>
          </c:spPr>
          <c:marker>
            <c:symbol val="star"/>
            <c:size val="7"/>
            <c:spPr>
              <a:noFill/>
              <a:ln>
                <a:solidFill>
                  <a:schemeClr val="accent2">
                    <a:lumMod val="50000"/>
                  </a:schemeClr>
                </a:solidFill>
              </a:ln>
            </c:spPr>
          </c:marker>
          <c:cat>
            <c:numRef>
              <c:f>'F2&amp;F3'!$A$10:$A$21</c:f>
              <c:numCache>
                <c:formatCode>[$-409]mmm\-yy;@</c:formatCode>
                <c:ptCount val="12"/>
                <c:pt idx="0">
                  <c:v>43163</c:v>
                </c:pt>
                <c:pt idx="1">
                  <c:v>43194</c:v>
                </c:pt>
                <c:pt idx="2">
                  <c:v>43224</c:v>
                </c:pt>
                <c:pt idx="3">
                  <c:v>43255</c:v>
                </c:pt>
                <c:pt idx="4">
                  <c:v>43285</c:v>
                </c:pt>
                <c:pt idx="5">
                  <c:v>43316</c:v>
                </c:pt>
                <c:pt idx="6">
                  <c:v>43347</c:v>
                </c:pt>
                <c:pt idx="7">
                  <c:v>43377</c:v>
                </c:pt>
                <c:pt idx="8">
                  <c:v>43408</c:v>
                </c:pt>
                <c:pt idx="9">
                  <c:v>43438</c:v>
                </c:pt>
                <c:pt idx="10">
                  <c:v>43469</c:v>
                </c:pt>
                <c:pt idx="11">
                  <c:v>43500</c:v>
                </c:pt>
              </c:numCache>
            </c:numRef>
          </c:cat>
          <c:val>
            <c:numRef>
              <c:f>'F2&amp;F3'!$E$10:$E$21</c:f>
              <c:numCache>
                <c:formatCode>#,##0</c:formatCode>
                <c:ptCount val="12"/>
                <c:pt idx="0">
                  <c:v>10232.61842105263</c:v>
                </c:pt>
                <c:pt idx="1">
                  <c:v>10472.933333333331</c:v>
                </c:pt>
                <c:pt idx="2">
                  <c:v>10664.447727272729</c:v>
                </c:pt>
                <c:pt idx="3">
                  <c:v>10742.97380952381</c:v>
                </c:pt>
                <c:pt idx="4">
                  <c:v>10991.156818181817</c:v>
                </c:pt>
                <c:pt idx="5">
                  <c:v>11498.440476190477</c:v>
                </c:pt>
                <c:pt idx="6">
                  <c:v>11251.16</c:v>
                </c:pt>
                <c:pt idx="7">
                  <c:v>10383.81</c:v>
                </c:pt>
                <c:pt idx="8">
                  <c:v>10841</c:v>
                </c:pt>
                <c:pt idx="9">
                  <c:v>10778.442499999999</c:v>
                </c:pt>
                <c:pt idx="10">
                  <c:v>10809.46</c:v>
                </c:pt>
                <c:pt idx="11">
                  <c:v>10833.84</c:v>
                </c:pt>
              </c:numCache>
            </c:numRef>
          </c:val>
          <c:smooth val="0"/>
        </c:ser>
        <c:dLbls>
          <c:showLegendKey val="0"/>
          <c:showVal val="0"/>
          <c:showCatName val="0"/>
          <c:showSerName val="0"/>
          <c:showPercent val="0"/>
          <c:showBubbleSize val="0"/>
        </c:dLbls>
        <c:marker val="1"/>
        <c:smooth val="0"/>
        <c:axId val="492631784"/>
        <c:axId val="492629432"/>
      </c:lineChart>
      <c:dateAx>
        <c:axId val="492623552"/>
        <c:scaling>
          <c:orientation val="minMax"/>
        </c:scaling>
        <c:delete val="0"/>
        <c:axPos val="b"/>
        <c:numFmt formatCode="[$-409]mmm\-yy;@" sourceLinked="0"/>
        <c:majorTickMark val="none"/>
        <c:minorTickMark val="none"/>
        <c:tickLblPos val="nextTo"/>
        <c:txPr>
          <a:bodyPr rot="-5400000" vert="horz" anchor="ctr" anchorCtr="1"/>
          <a:lstStyle/>
          <a:p>
            <a:pPr algn="ctr">
              <a:defRPr lang="en-US" sz="1000" b="1" i="0" u="none" strike="noStrike" kern="1200" cap="none" baseline="0">
                <a:solidFill>
                  <a:schemeClr val="tx1"/>
                </a:solidFill>
                <a:latin typeface="Garamond" pitchFamily="18" charset="0"/>
                <a:ea typeface="+mn-ea"/>
                <a:cs typeface="+mn-cs"/>
              </a:defRPr>
            </a:pPr>
            <a:endParaRPr lang="en-US"/>
          </a:p>
        </c:txPr>
        <c:crossAx val="492631392"/>
        <c:crosses val="autoZero"/>
        <c:auto val="1"/>
        <c:lblOffset val="100"/>
        <c:baseTimeUnit val="months"/>
      </c:dateAx>
      <c:valAx>
        <c:axId val="492631392"/>
        <c:scaling>
          <c:orientation val="minMax"/>
        </c:scaling>
        <c:delete val="0"/>
        <c:axPos val="l"/>
        <c:numFmt formatCode="#,##0" sourceLinked="1"/>
        <c:majorTickMark val="none"/>
        <c:minorTickMark val="none"/>
        <c:tickLblPos val="nextTo"/>
        <c:txPr>
          <a:bodyPr/>
          <a:lstStyle/>
          <a:p>
            <a:pPr>
              <a:defRPr lang="en-IN"/>
            </a:pPr>
            <a:endParaRPr lang="en-US"/>
          </a:p>
        </c:txPr>
        <c:crossAx val="492623552"/>
        <c:crosses val="autoZero"/>
        <c:crossBetween val="between"/>
        <c:majorUnit val="3000"/>
      </c:valAx>
      <c:valAx>
        <c:axId val="492629432"/>
        <c:scaling>
          <c:orientation val="minMax"/>
        </c:scaling>
        <c:delete val="0"/>
        <c:axPos val="r"/>
        <c:numFmt formatCode="#,##0" sourceLinked="1"/>
        <c:majorTickMark val="none"/>
        <c:minorTickMark val="none"/>
        <c:tickLblPos val="nextTo"/>
        <c:txPr>
          <a:bodyPr/>
          <a:lstStyle/>
          <a:p>
            <a:pPr>
              <a:defRPr lang="en-IN"/>
            </a:pPr>
            <a:endParaRPr lang="en-US"/>
          </a:p>
        </c:txPr>
        <c:crossAx val="492631784"/>
        <c:crosses val="max"/>
        <c:crossBetween val="between"/>
      </c:valAx>
      <c:dateAx>
        <c:axId val="492631784"/>
        <c:scaling>
          <c:orientation val="minMax"/>
        </c:scaling>
        <c:delete val="1"/>
        <c:axPos val="b"/>
        <c:numFmt formatCode="[$-409]mmm\-yy;@" sourceLinked="1"/>
        <c:majorTickMark val="out"/>
        <c:minorTickMark val="none"/>
        <c:tickLblPos val="none"/>
        <c:crossAx val="492629432"/>
        <c:crosses val="autoZero"/>
        <c:auto val="1"/>
        <c:lblOffset val="100"/>
        <c:baseTimeUnit val="months"/>
      </c:dateAx>
      <c:spPr>
        <a:ln>
          <a:solidFill>
            <a:schemeClr val="accent2">
              <a:lumMod val="75000"/>
            </a:schemeClr>
          </a:solidFill>
        </a:ln>
      </c:spPr>
    </c:plotArea>
    <c:legend>
      <c:legendPos val="b"/>
      <c:layout>
        <c:manualLayout>
          <c:xMode val="edge"/>
          <c:yMode val="edge"/>
          <c:x val="8.1572412195751925E-2"/>
          <c:y val="0.89301346029051154"/>
          <c:w val="0.86648142958545427"/>
          <c:h val="7.2640792155546904E-2"/>
        </c:manualLayout>
      </c:layout>
      <c:overlay val="0"/>
      <c:spPr>
        <a:ln w="3175">
          <a:solidFill>
            <a:srgbClr val="EEECE1">
              <a:lumMod val="10000"/>
            </a:srgbClr>
          </a:solidFill>
        </a:ln>
      </c:spPr>
      <c:txPr>
        <a:bodyPr/>
        <a:lstStyle/>
        <a:p>
          <a:pPr>
            <a:defRPr lang="en-US" sz="1000" b="1" i="0" u="none" strike="noStrike" kern="1200" cap="none" baseline="0">
              <a:solidFill>
                <a:schemeClr val="tx1"/>
              </a:solidFill>
              <a:latin typeface="Garamond" pitchFamily="18" charset="0"/>
              <a:ea typeface="+mn-ea"/>
              <a:cs typeface="+mn-cs"/>
            </a:defRPr>
          </a:pPr>
          <a:endParaRPr lang="en-US"/>
        </a:p>
      </c:txPr>
    </c:legend>
    <c:plotVisOnly val="1"/>
    <c:dispBlanksAs val="gap"/>
    <c:showDLblsOverMax val="0"/>
  </c:chart>
  <c:spPr>
    <a:ln>
      <a:solidFill>
        <a:schemeClr val="accent6">
          <a:lumMod val="50000"/>
        </a:schemeClr>
      </a:solidFill>
    </a:ln>
  </c:spPr>
  <c:txPr>
    <a:bodyPr/>
    <a:lstStyle/>
    <a:p>
      <a:pPr>
        <a:defRPr sz="1000" b="1" i="0" cap="all" baseline="0">
          <a:latin typeface="Garamond"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897282386584132"/>
          <c:y val="9.1488447691526295E-2"/>
          <c:w val="0.76008327803796716"/>
          <c:h val="0.61406304847039828"/>
        </c:manualLayout>
      </c:layout>
      <c:barChart>
        <c:barDir val="col"/>
        <c:grouping val="clustered"/>
        <c:varyColors val="0"/>
        <c:ser>
          <c:idx val="0"/>
          <c:order val="0"/>
          <c:tx>
            <c:strRef>
              <c:f>'F2&amp;F3'!$B$3</c:f>
              <c:strCache>
                <c:ptCount val="1"/>
                <c:pt idx="0">
                  <c:v>Average Daily Turnover at BSE (LHS)</c:v>
                </c:pt>
              </c:strCache>
            </c:strRef>
          </c:tx>
          <c:spPr>
            <a:solidFill>
              <a:srgbClr val="FFC000"/>
            </a:solidFill>
          </c:spPr>
          <c:invertIfNegative val="0"/>
          <c:cat>
            <c:numRef>
              <c:f>'F2&amp;F3'!$A$10:$A$21</c:f>
              <c:numCache>
                <c:formatCode>[$-409]mmm\-yy;@</c:formatCode>
                <c:ptCount val="12"/>
                <c:pt idx="0">
                  <c:v>43163</c:v>
                </c:pt>
                <c:pt idx="1">
                  <c:v>43194</c:v>
                </c:pt>
                <c:pt idx="2">
                  <c:v>43224</c:v>
                </c:pt>
                <c:pt idx="3">
                  <c:v>43255</c:v>
                </c:pt>
                <c:pt idx="4">
                  <c:v>43285</c:v>
                </c:pt>
                <c:pt idx="5">
                  <c:v>43316</c:v>
                </c:pt>
                <c:pt idx="6">
                  <c:v>43347</c:v>
                </c:pt>
                <c:pt idx="7">
                  <c:v>43377</c:v>
                </c:pt>
                <c:pt idx="8">
                  <c:v>43408</c:v>
                </c:pt>
                <c:pt idx="9">
                  <c:v>43438</c:v>
                </c:pt>
                <c:pt idx="10">
                  <c:v>43469</c:v>
                </c:pt>
                <c:pt idx="11">
                  <c:v>43500</c:v>
                </c:pt>
              </c:numCache>
            </c:numRef>
          </c:cat>
          <c:val>
            <c:numRef>
              <c:f>'F2&amp;F3'!$B$10:$B$21</c:f>
              <c:numCache>
                <c:formatCode>#,##0</c:formatCode>
                <c:ptCount val="12"/>
                <c:pt idx="0">
                  <c:v>4124.136315789473</c:v>
                </c:pt>
                <c:pt idx="1">
                  <c:v>3410.9361904761909</c:v>
                </c:pt>
                <c:pt idx="2">
                  <c:v>3425.4772727272725</c:v>
                </c:pt>
                <c:pt idx="3">
                  <c:v>3055.3614285714293</c:v>
                </c:pt>
                <c:pt idx="4">
                  <c:v>2962.2036363636366</c:v>
                </c:pt>
                <c:pt idx="5">
                  <c:v>3233.12380952381</c:v>
                </c:pt>
                <c:pt idx="6">
                  <c:v>3470.9283333333333</c:v>
                </c:pt>
                <c:pt idx="7">
                  <c:v>3161.1766666666663</c:v>
                </c:pt>
                <c:pt idx="8">
                  <c:v>2953.192</c:v>
                </c:pt>
                <c:pt idx="9">
                  <c:v>2524.1455000000001</c:v>
                </c:pt>
                <c:pt idx="10">
                  <c:v>2666.623043478</c:v>
                </c:pt>
                <c:pt idx="11">
                  <c:v>2532.7845000000002</c:v>
                </c:pt>
              </c:numCache>
            </c:numRef>
          </c:val>
        </c:ser>
        <c:dLbls>
          <c:showLegendKey val="0"/>
          <c:showVal val="0"/>
          <c:showCatName val="0"/>
          <c:showSerName val="0"/>
          <c:showPercent val="0"/>
          <c:showBubbleSize val="0"/>
        </c:dLbls>
        <c:gapWidth val="200"/>
        <c:overlap val="-100"/>
        <c:axId val="492631000"/>
        <c:axId val="492632176"/>
      </c:barChart>
      <c:lineChart>
        <c:grouping val="standard"/>
        <c:varyColors val="0"/>
        <c:ser>
          <c:idx val="1"/>
          <c:order val="1"/>
          <c:tx>
            <c:strRef>
              <c:f>'F2&amp;F3'!$C$3</c:f>
              <c:strCache>
                <c:ptCount val="1"/>
                <c:pt idx="0">
                  <c:v>Average Daily Value of Sensex (RHS)</c:v>
                </c:pt>
              </c:strCache>
            </c:strRef>
          </c:tx>
          <c:spPr>
            <a:ln w="19050">
              <a:solidFill>
                <a:schemeClr val="accent2">
                  <a:lumMod val="50000"/>
                </a:schemeClr>
              </a:solidFill>
            </a:ln>
          </c:spPr>
          <c:marker>
            <c:symbol val="star"/>
            <c:size val="7"/>
            <c:spPr>
              <a:noFill/>
              <a:ln>
                <a:solidFill>
                  <a:schemeClr val="accent2">
                    <a:lumMod val="50000"/>
                  </a:schemeClr>
                </a:solidFill>
              </a:ln>
            </c:spPr>
          </c:marker>
          <c:cat>
            <c:numRef>
              <c:f>'F2&amp;F3'!$A$10:$A$21</c:f>
              <c:numCache>
                <c:formatCode>[$-409]mmm\-yy;@</c:formatCode>
                <c:ptCount val="12"/>
                <c:pt idx="0">
                  <c:v>43163</c:v>
                </c:pt>
                <c:pt idx="1">
                  <c:v>43194</c:v>
                </c:pt>
                <c:pt idx="2">
                  <c:v>43224</c:v>
                </c:pt>
                <c:pt idx="3">
                  <c:v>43255</c:v>
                </c:pt>
                <c:pt idx="4">
                  <c:v>43285</c:v>
                </c:pt>
                <c:pt idx="5">
                  <c:v>43316</c:v>
                </c:pt>
                <c:pt idx="6">
                  <c:v>43347</c:v>
                </c:pt>
                <c:pt idx="7">
                  <c:v>43377</c:v>
                </c:pt>
                <c:pt idx="8">
                  <c:v>43408</c:v>
                </c:pt>
                <c:pt idx="9">
                  <c:v>43438</c:v>
                </c:pt>
                <c:pt idx="10">
                  <c:v>43469</c:v>
                </c:pt>
                <c:pt idx="11">
                  <c:v>43500</c:v>
                </c:pt>
              </c:numCache>
            </c:numRef>
          </c:cat>
          <c:val>
            <c:numRef>
              <c:f>'F2&amp;F3'!$C$10:$C$21</c:f>
              <c:numCache>
                <c:formatCode>#,##0</c:formatCode>
                <c:ptCount val="12"/>
                <c:pt idx="0">
                  <c:v>33323.31947368422</c:v>
                </c:pt>
                <c:pt idx="1">
                  <c:v>34145.677142857145</c:v>
                </c:pt>
                <c:pt idx="2">
                  <c:v>35079.555909090908</c:v>
                </c:pt>
                <c:pt idx="3">
                  <c:v>35405.144761904761</c:v>
                </c:pt>
                <c:pt idx="4">
                  <c:v>36406.377272727266</c:v>
                </c:pt>
                <c:pt idx="5">
                  <c:v>38061.525238095237</c:v>
                </c:pt>
                <c:pt idx="6">
                  <c:v>37397.5</c:v>
                </c:pt>
                <c:pt idx="7">
                  <c:v>34518.839999999997</c:v>
                </c:pt>
                <c:pt idx="8">
                  <c:v>35818</c:v>
                </c:pt>
                <c:pt idx="9">
                  <c:v>35868.705499999996</c:v>
                </c:pt>
                <c:pt idx="10">
                  <c:v>36053.99</c:v>
                </c:pt>
                <c:pt idx="11">
                  <c:v>36138</c:v>
                </c:pt>
              </c:numCache>
            </c:numRef>
          </c:val>
          <c:smooth val="0"/>
        </c:ser>
        <c:dLbls>
          <c:showLegendKey val="0"/>
          <c:showVal val="0"/>
          <c:showCatName val="0"/>
          <c:showSerName val="0"/>
          <c:showPercent val="0"/>
          <c:showBubbleSize val="0"/>
        </c:dLbls>
        <c:marker val="1"/>
        <c:smooth val="0"/>
        <c:axId val="491664584"/>
        <c:axId val="492629824"/>
      </c:lineChart>
      <c:catAx>
        <c:axId val="492631000"/>
        <c:scaling>
          <c:orientation val="minMax"/>
        </c:scaling>
        <c:delete val="0"/>
        <c:axPos val="b"/>
        <c:numFmt formatCode="[$-409]mmm\-yy;@" sourceLinked="1"/>
        <c:majorTickMark val="none"/>
        <c:minorTickMark val="none"/>
        <c:tickLblPos val="nextTo"/>
        <c:txPr>
          <a:bodyPr rot="-5400000" vert="horz"/>
          <a:lstStyle/>
          <a:p>
            <a:pPr>
              <a:defRPr lang="en-IN" sz="1000" cap="none" baseline="0"/>
            </a:pPr>
            <a:endParaRPr lang="en-US"/>
          </a:p>
        </c:txPr>
        <c:crossAx val="492632176"/>
        <c:crosses val="autoZero"/>
        <c:auto val="0"/>
        <c:lblAlgn val="ctr"/>
        <c:lblOffset val="100"/>
        <c:noMultiLvlLbl val="0"/>
      </c:catAx>
      <c:valAx>
        <c:axId val="492632176"/>
        <c:scaling>
          <c:orientation val="minMax"/>
        </c:scaling>
        <c:delete val="0"/>
        <c:axPos val="l"/>
        <c:numFmt formatCode="#,##0" sourceLinked="1"/>
        <c:majorTickMark val="none"/>
        <c:minorTickMark val="none"/>
        <c:tickLblPos val="nextTo"/>
        <c:txPr>
          <a:bodyPr/>
          <a:lstStyle/>
          <a:p>
            <a:pPr>
              <a:defRPr lang="en-IN"/>
            </a:pPr>
            <a:endParaRPr lang="en-US"/>
          </a:p>
        </c:txPr>
        <c:crossAx val="492631000"/>
        <c:crosses val="autoZero"/>
        <c:crossBetween val="between"/>
        <c:majorUnit val="1000"/>
      </c:valAx>
      <c:valAx>
        <c:axId val="492629824"/>
        <c:scaling>
          <c:orientation val="minMax"/>
        </c:scaling>
        <c:delete val="0"/>
        <c:axPos val="r"/>
        <c:numFmt formatCode="#,##0" sourceLinked="1"/>
        <c:majorTickMark val="none"/>
        <c:minorTickMark val="none"/>
        <c:tickLblPos val="nextTo"/>
        <c:txPr>
          <a:bodyPr/>
          <a:lstStyle/>
          <a:p>
            <a:pPr>
              <a:defRPr lang="en-IN"/>
            </a:pPr>
            <a:endParaRPr lang="en-US"/>
          </a:p>
        </c:txPr>
        <c:crossAx val="491664584"/>
        <c:crosses val="max"/>
        <c:crossBetween val="between"/>
      </c:valAx>
      <c:catAx>
        <c:axId val="491664584"/>
        <c:scaling>
          <c:orientation val="minMax"/>
        </c:scaling>
        <c:delete val="1"/>
        <c:axPos val="b"/>
        <c:numFmt formatCode="[$-409]mmm\-yy;@" sourceLinked="1"/>
        <c:majorTickMark val="out"/>
        <c:minorTickMark val="none"/>
        <c:tickLblPos val="none"/>
        <c:crossAx val="492629824"/>
        <c:crosses val="autoZero"/>
        <c:auto val="0"/>
        <c:lblAlgn val="ctr"/>
        <c:lblOffset val="100"/>
        <c:noMultiLvlLbl val="1"/>
      </c:catAx>
    </c:plotArea>
    <c:legend>
      <c:legendPos val="b"/>
      <c:layout>
        <c:manualLayout>
          <c:xMode val="edge"/>
          <c:yMode val="edge"/>
          <c:x val="2.790189901720808E-3"/>
          <c:y val="0.89545254029024135"/>
          <c:w val="0.98361208104572051"/>
          <c:h val="8.1036158673992248E-2"/>
        </c:manualLayout>
      </c:layout>
      <c:overlay val="0"/>
      <c:spPr>
        <a:ln w="3175">
          <a:solidFill>
            <a:srgbClr val="EEECE1">
              <a:lumMod val="10000"/>
            </a:srgbClr>
          </a:solidFill>
        </a:ln>
      </c:spPr>
      <c:txPr>
        <a:bodyPr/>
        <a:lstStyle/>
        <a:p>
          <a:pPr>
            <a:defRPr lang="en-IN" sz="1100" cap="none" baseline="0"/>
          </a:pPr>
          <a:endParaRPr lang="en-US"/>
        </a:p>
      </c:txPr>
    </c:legend>
    <c:plotVisOnly val="1"/>
    <c:dispBlanksAs val="gap"/>
    <c:showDLblsOverMax val="0"/>
  </c:chart>
  <c:spPr>
    <a:ln>
      <a:solidFill>
        <a:schemeClr val="accent6">
          <a:lumMod val="50000"/>
        </a:schemeClr>
      </a:solidFill>
    </a:ln>
  </c:spPr>
  <c:txPr>
    <a:bodyPr/>
    <a:lstStyle/>
    <a:p>
      <a:pPr>
        <a:defRPr sz="900" b="1" i="0" cap="all" baseline="0">
          <a:latin typeface="Garamond" pitchFamily="18"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82239720034995"/>
          <c:y val="5.4726368159203981E-2"/>
          <c:w val="0.7774407146475113"/>
          <c:h val="0.43410467348297882"/>
        </c:manualLayout>
      </c:layout>
      <c:barChart>
        <c:barDir val="col"/>
        <c:grouping val="clustered"/>
        <c:varyColors val="0"/>
        <c:ser>
          <c:idx val="0"/>
          <c:order val="0"/>
          <c:tx>
            <c:strRef>
              <c:f>'F4&amp;5 '!$B$4</c:f>
              <c:strCache>
                <c:ptCount val="1"/>
                <c:pt idx="0">
                  <c:v>Return</c:v>
                </c:pt>
              </c:strCache>
            </c:strRef>
          </c:tx>
          <c:spPr>
            <a:solidFill>
              <a:schemeClr val="accent1"/>
            </a:solidFill>
            <a:ln>
              <a:noFill/>
            </a:ln>
            <a:effectLst/>
          </c:spPr>
          <c:invertIfNegative val="0"/>
          <c:cat>
            <c:strRef>
              <c:f>'F4&amp;5 '!$A$5:$A$19</c:f>
              <c:strCache>
                <c:ptCount val="15"/>
                <c:pt idx="0">
                  <c:v>S&amp;P BSE Sensex</c:v>
                </c:pt>
                <c:pt idx="1">
                  <c:v>S&amp;P BSE 100</c:v>
                </c:pt>
                <c:pt idx="2">
                  <c:v>S&amp;P BSE 200</c:v>
                </c:pt>
                <c:pt idx="3">
                  <c:v>S&amp;P BSE 500</c:v>
                </c:pt>
                <c:pt idx="4">
                  <c:v>S&amp;P BSE Large Cap</c:v>
                </c:pt>
                <c:pt idx="5">
                  <c:v>S&amp;P BSE Small Cap</c:v>
                </c:pt>
                <c:pt idx="6">
                  <c:v>S&amp;P BSE Consumer Durables</c:v>
                </c:pt>
                <c:pt idx="7">
                  <c:v>S&amp;P BSE Capital Goods</c:v>
                </c:pt>
                <c:pt idx="8">
                  <c:v>S&amp;P BSE Bankex</c:v>
                </c:pt>
                <c:pt idx="9">
                  <c:v>S&amp;P BSE Teck</c:v>
                </c:pt>
                <c:pt idx="10">
                  <c:v>S&amp;P BSE FMCG</c:v>
                </c:pt>
                <c:pt idx="11">
                  <c:v>S&amp;P BSE Metal </c:v>
                </c:pt>
                <c:pt idx="12">
                  <c:v>S&amp;P BSE PSU</c:v>
                </c:pt>
                <c:pt idx="13">
                  <c:v>S&amp;P BSE Power</c:v>
                </c:pt>
                <c:pt idx="14">
                  <c:v>S&amp;P BSE Healthcare</c:v>
                </c:pt>
              </c:strCache>
            </c:strRef>
          </c:cat>
          <c:val>
            <c:numRef>
              <c:f>'F4&amp;5 '!$B$5:$B$19</c:f>
              <c:numCache>
                <c:formatCode>0.00</c:formatCode>
                <c:ptCount val="15"/>
                <c:pt idx="0">
                  <c:v>-1.073594969645602</c:v>
                </c:pt>
                <c:pt idx="1">
                  <c:v>-0.59820060389946828</c:v>
                </c:pt>
                <c:pt idx="2">
                  <c:v>-0.54516760470662573</c:v>
                </c:pt>
                <c:pt idx="3">
                  <c:v>-0.61819614969714132</c:v>
                </c:pt>
                <c:pt idx="4">
                  <c:v>-0.40786798995576445</c:v>
                </c:pt>
                <c:pt idx="5">
                  <c:v>-1.6973737309908878</c:v>
                </c:pt>
                <c:pt idx="6">
                  <c:v>0.72686214318478526</c:v>
                </c:pt>
                <c:pt idx="7">
                  <c:v>-1.2906740237916592</c:v>
                </c:pt>
                <c:pt idx="8">
                  <c:v>-2.2906886350982698</c:v>
                </c:pt>
                <c:pt idx="9">
                  <c:v>0.93172492108195126</c:v>
                </c:pt>
                <c:pt idx="10">
                  <c:v>-2.2565698966757584</c:v>
                </c:pt>
                <c:pt idx="11">
                  <c:v>-1.7525048820104856</c:v>
                </c:pt>
                <c:pt idx="12">
                  <c:v>-2.4337891739542261</c:v>
                </c:pt>
                <c:pt idx="13">
                  <c:v>-2.7763600017013323</c:v>
                </c:pt>
                <c:pt idx="14">
                  <c:v>-0.86951197109791711</c:v>
                </c:pt>
              </c:numCache>
            </c:numRef>
          </c:val>
        </c:ser>
        <c:dLbls>
          <c:showLegendKey val="0"/>
          <c:showVal val="0"/>
          <c:showCatName val="0"/>
          <c:showSerName val="0"/>
          <c:showPercent val="0"/>
          <c:showBubbleSize val="0"/>
        </c:dLbls>
        <c:gapWidth val="219"/>
        <c:axId val="498595120"/>
        <c:axId val="498599040"/>
      </c:barChart>
      <c:lineChart>
        <c:grouping val="standard"/>
        <c:varyColors val="0"/>
        <c:ser>
          <c:idx val="1"/>
          <c:order val="1"/>
          <c:tx>
            <c:strRef>
              <c:f>'F4&amp;5 '!$C$4</c:f>
              <c:strCache>
                <c:ptCount val="1"/>
                <c:pt idx="0">
                  <c:v>Volatility</c:v>
                </c:pt>
              </c:strCache>
            </c:strRef>
          </c:tx>
          <c:spPr>
            <a:ln w="28575" cap="rnd">
              <a:solidFill>
                <a:schemeClr val="accent2"/>
              </a:solidFill>
              <a:round/>
            </a:ln>
            <a:effectLst/>
          </c:spPr>
          <c:marker>
            <c:symbol val="none"/>
          </c:marker>
          <c:cat>
            <c:strRef>
              <c:f>'F4&amp;5 '!$A$5:$A$19</c:f>
              <c:strCache>
                <c:ptCount val="15"/>
                <c:pt idx="0">
                  <c:v>S&amp;P BSE Sensex</c:v>
                </c:pt>
                <c:pt idx="1">
                  <c:v>S&amp;P BSE 100</c:v>
                </c:pt>
                <c:pt idx="2">
                  <c:v>S&amp;P BSE 200</c:v>
                </c:pt>
                <c:pt idx="3">
                  <c:v>S&amp;P BSE 500</c:v>
                </c:pt>
                <c:pt idx="4">
                  <c:v>S&amp;P BSE Large Cap</c:v>
                </c:pt>
                <c:pt idx="5">
                  <c:v>S&amp;P BSE Small Cap</c:v>
                </c:pt>
                <c:pt idx="6">
                  <c:v>S&amp;P BSE Consumer Durables</c:v>
                </c:pt>
                <c:pt idx="7">
                  <c:v>S&amp;P BSE Capital Goods</c:v>
                </c:pt>
                <c:pt idx="8">
                  <c:v>S&amp;P BSE Bankex</c:v>
                </c:pt>
                <c:pt idx="9">
                  <c:v>S&amp;P BSE Teck</c:v>
                </c:pt>
                <c:pt idx="10">
                  <c:v>S&amp;P BSE FMCG</c:v>
                </c:pt>
                <c:pt idx="11">
                  <c:v>S&amp;P BSE Metal </c:v>
                </c:pt>
                <c:pt idx="12">
                  <c:v>S&amp;P BSE PSU</c:v>
                </c:pt>
                <c:pt idx="13">
                  <c:v>S&amp;P BSE Power</c:v>
                </c:pt>
                <c:pt idx="14">
                  <c:v>S&amp;P BSE Healthcare</c:v>
                </c:pt>
              </c:strCache>
            </c:strRef>
          </c:cat>
          <c:val>
            <c:numRef>
              <c:f>'F4&amp;5 '!$C$5:$C$19</c:f>
              <c:numCache>
                <c:formatCode>0.00</c:formatCode>
                <c:ptCount val="15"/>
                <c:pt idx="0">
                  <c:v>0.62378925414994701</c:v>
                </c:pt>
                <c:pt idx="1">
                  <c:v>0.63968296354517629</c:v>
                </c:pt>
                <c:pt idx="2">
                  <c:v>0.62308894161254791</c:v>
                </c:pt>
                <c:pt idx="3">
                  <c:v>0.61909495037051121</c:v>
                </c:pt>
                <c:pt idx="4">
                  <c:v>0.63472727447344168</c:v>
                </c:pt>
                <c:pt idx="5">
                  <c:v>0.79625920797573801</c:v>
                </c:pt>
                <c:pt idx="6">
                  <c:v>0.85459018635705331</c:v>
                </c:pt>
                <c:pt idx="7">
                  <c:v>0.99491393185259702</c:v>
                </c:pt>
                <c:pt idx="8">
                  <c:v>0.60218758148011864</c:v>
                </c:pt>
                <c:pt idx="9">
                  <c:v>0.95178741261310595</c:v>
                </c:pt>
                <c:pt idx="10">
                  <c:v>0.68405988198960299</c:v>
                </c:pt>
                <c:pt idx="11">
                  <c:v>1.774960186312742</c:v>
                </c:pt>
                <c:pt idx="12">
                  <c:v>1.0757446641432193</c:v>
                </c:pt>
                <c:pt idx="13">
                  <c:v>1.0831695394735368</c:v>
                </c:pt>
                <c:pt idx="14">
                  <c:v>0.96712713717213605</c:v>
                </c:pt>
              </c:numCache>
            </c:numRef>
          </c:val>
          <c:smooth val="0"/>
        </c:ser>
        <c:dLbls>
          <c:showLegendKey val="0"/>
          <c:showVal val="0"/>
          <c:showCatName val="0"/>
          <c:showSerName val="0"/>
          <c:showPercent val="0"/>
          <c:showBubbleSize val="0"/>
        </c:dLbls>
        <c:marker val="1"/>
        <c:smooth val="0"/>
        <c:axId val="498598256"/>
        <c:axId val="498597864"/>
      </c:lineChart>
      <c:catAx>
        <c:axId val="49859512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98599040"/>
        <c:crosses val="autoZero"/>
        <c:auto val="1"/>
        <c:lblAlgn val="ctr"/>
        <c:lblOffset val="100"/>
        <c:noMultiLvlLbl val="0"/>
      </c:catAx>
      <c:valAx>
        <c:axId val="498599040"/>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98595120"/>
        <c:crosses val="autoZero"/>
        <c:crossBetween val="between"/>
      </c:valAx>
      <c:valAx>
        <c:axId val="498597864"/>
        <c:scaling>
          <c:orientation val="minMax"/>
          <c:min val="0.30000000000000004"/>
        </c:scaling>
        <c:delete val="0"/>
        <c:axPos val="r"/>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Volatility</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98598256"/>
        <c:crosses val="max"/>
        <c:crossBetween val="between"/>
      </c:valAx>
      <c:catAx>
        <c:axId val="498598256"/>
        <c:scaling>
          <c:orientation val="minMax"/>
        </c:scaling>
        <c:delete val="1"/>
        <c:axPos val="b"/>
        <c:numFmt formatCode="General" sourceLinked="1"/>
        <c:majorTickMark val="out"/>
        <c:minorTickMark val="none"/>
        <c:tickLblPos val="nextTo"/>
        <c:crossAx val="498597864"/>
        <c:crosses val="autoZero"/>
        <c:auto val="1"/>
        <c:lblAlgn val="ctr"/>
        <c:lblOffset val="100"/>
        <c:noMultiLvlLbl val="0"/>
      </c:catAx>
      <c:spPr>
        <a:noFill/>
        <a:ln>
          <a:noFill/>
        </a:ln>
        <a:effectLst/>
      </c:spPr>
    </c:plotArea>
    <c:legend>
      <c:legendPos val="b"/>
      <c:layout>
        <c:manualLayout>
          <c:xMode val="edge"/>
          <c:yMode val="edge"/>
          <c:x val="0.32878543891246692"/>
          <c:y val="0.92262193054918884"/>
          <c:w val="0.36313385826771655"/>
          <c:h val="7.4744780036823708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a:latin typeface="Garamond" panose="02020404030301010803"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'F4&amp;5 '!$E$4</c:f>
              <c:strCache>
                <c:ptCount val="1"/>
                <c:pt idx="0">
                  <c:v>Return</c:v>
                </c:pt>
              </c:strCache>
            </c:strRef>
          </c:tx>
          <c:spPr>
            <a:solidFill>
              <a:schemeClr val="accent1"/>
            </a:solidFill>
            <a:ln>
              <a:noFill/>
            </a:ln>
            <a:effectLst/>
          </c:spPr>
          <c:invertIfNegative val="0"/>
          <c:cat>
            <c:strRef>
              <c:f>'F4&amp;5 '!$D$5:$D$19</c:f>
              <c:strCache>
                <c:ptCount val="15"/>
                <c:pt idx="0">
                  <c:v>Nifty 50</c:v>
                </c:pt>
                <c:pt idx="1">
                  <c:v>Nifty Next 50</c:v>
                </c:pt>
                <c:pt idx="2">
                  <c:v>Nifty 100</c:v>
                </c:pt>
                <c:pt idx="3">
                  <c:v>Nifty 200</c:v>
                </c:pt>
                <c:pt idx="4">
                  <c:v>Nifty 500</c:v>
                </c:pt>
                <c:pt idx="5">
                  <c:v>Nifty Midcap 50</c:v>
                </c:pt>
                <c:pt idx="6">
                  <c:v>Nifty Midcap 100</c:v>
                </c:pt>
                <c:pt idx="7">
                  <c:v>Nifty Small 100</c:v>
                </c:pt>
                <c:pt idx="8">
                  <c:v>Nifty Bank</c:v>
                </c:pt>
                <c:pt idx="9">
                  <c:v>Nifty IT</c:v>
                </c:pt>
                <c:pt idx="10">
                  <c:v>Nifty FMCG</c:v>
                </c:pt>
                <c:pt idx="11">
                  <c:v>Nifty Pharma</c:v>
                </c:pt>
                <c:pt idx="12">
                  <c:v>Nifty PSU Bank</c:v>
                </c:pt>
                <c:pt idx="13">
                  <c:v>Nifty Media</c:v>
                </c:pt>
                <c:pt idx="14">
                  <c:v>Nifty MNC</c:v>
                </c:pt>
              </c:strCache>
            </c:strRef>
          </c:cat>
          <c:val>
            <c:numRef>
              <c:f>'F4&amp;5 '!$E$5:$E$19</c:f>
              <c:numCache>
                <c:formatCode>0.00</c:formatCode>
                <c:ptCount val="15"/>
                <c:pt idx="0">
                  <c:v>-0.35500117718206364</c:v>
                </c:pt>
                <c:pt idx="1">
                  <c:v>-0.1549578996520426</c:v>
                </c:pt>
                <c:pt idx="2">
                  <c:v>-0.33555216062854321</c:v>
                </c:pt>
                <c:pt idx="3">
                  <c:v>-0.42178083279654172</c:v>
                </c:pt>
                <c:pt idx="4">
                  <c:v>-0.53199464673444841</c:v>
                </c:pt>
                <c:pt idx="5">
                  <c:v>-1.7103495340257346</c:v>
                </c:pt>
                <c:pt idx="6">
                  <c:v>-1.0863810467472246</c:v>
                </c:pt>
                <c:pt idx="7">
                  <c:v>-3.2382458686276498</c:v>
                </c:pt>
                <c:pt idx="8">
                  <c:v>-1.8521401918634766</c:v>
                </c:pt>
                <c:pt idx="9">
                  <c:v>1.5013581258508495</c:v>
                </c:pt>
                <c:pt idx="10">
                  <c:v>-1.8043291147311065</c:v>
                </c:pt>
                <c:pt idx="11">
                  <c:v>0.67419422459165923</c:v>
                </c:pt>
                <c:pt idx="12">
                  <c:v>-8.758014409412386</c:v>
                </c:pt>
                <c:pt idx="13">
                  <c:v>13.437471243213386</c:v>
                </c:pt>
                <c:pt idx="14">
                  <c:v>-1.8156020914895321</c:v>
                </c:pt>
              </c:numCache>
            </c:numRef>
          </c:val>
        </c:ser>
        <c:dLbls>
          <c:showLegendKey val="0"/>
          <c:showVal val="0"/>
          <c:showCatName val="0"/>
          <c:showSerName val="0"/>
          <c:showPercent val="0"/>
          <c:showBubbleSize val="0"/>
        </c:dLbls>
        <c:gapWidth val="219"/>
        <c:axId val="498592768"/>
        <c:axId val="498603744"/>
      </c:barChart>
      <c:lineChart>
        <c:grouping val="standard"/>
        <c:varyColors val="0"/>
        <c:ser>
          <c:idx val="1"/>
          <c:order val="1"/>
          <c:tx>
            <c:strRef>
              <c:f>'F4&amp;5 '!$F$4</c:f>
              <c:strCache>
                <c:ptCount val="1"/>
                <c:pt idx="0">
                  <c:v>Volatility</c:v>
                </c:pt>
              </c:strCache>
            </c:strRef>
          </c:tx>
          <c:spPr>
            <a:ln w="28575" cap="rnd">
              <a:solidFill>
                <a:schemeClr val="accent2"/>
              </a:solidFill>
              <a:round/>
            </a:ln>
            <a:effectLst/>
          </c:spPr>
          <c:marker>
            <c:symbol val="none"/>
          </c:marker>
          <c:cat>
            <c:strRef>
              <c:f>'F4&amp;5 '!$D$5:$D$19</c:f>
              <c:strCache>
                <c:ptCount val="15"/>
                <c:pt idx="0">
                  <c:v>Nifty 50</c:v>
                </c:pt>
                <c:pt idx="1">
                  <c:v>Nifty Next 50</c:v>
                </c:pt>
                <c:pt idx="2">
                  <c:v>Nifty 100</c:v>
                </c:pt>
                <c:pt idx="3">
                  <c:v>Nifty 200</c:v>
                </c:pt>
                <c:pt idx="4">
                  <c:v>Nifty 500</c:v>
                </c:pt>
                <c:pt idx="5">
                  <c:v>Nifty Midcap 50</c:v>
                </c:pt>
                <c:pt idx="6">
                  <c:v>Nifty Midcap 100</c:v>
                </c:pt>
                <c:pt idx="7">
                  <c:v>Nifty Small 100</c:v>
                </c:pt>
                <c:pt idx="8">
                  <c:v>Nifty Bank</c:v>
                </c:pt>
                <c:pt idx="9">
                  <c:v>Nifty IT</c:v>
                </c:pt>
                <c:pt idx="10">
                  <c:v>Nifty FMCG</c:v>
                </c:pt>
                <c:pt idx="11">
                  <c:v>Nifty Pharma</c:v>
                </c:pt>
                <c:pt idx="12">
                  <c:v>Nifty PSU Bank</c:v>
                </c:pt>
                <c:pt idx="13">
                  <c:v>Nifty Media</c:v>
                </c:pt>
                <c:pt idx="14">
                  <c:v>Nifty MNC</c:v>
                </c:pt>
              </c:strCache>
            </c:strRef>
          </c:cat>
          <c:val>
            <c:numRef>
              <c:f>'F4&amp;5 '!$F$5:$F$19</c:f>
              <c:numCache>
                <c:formatCode>0.00</c:formatCode>
                <c:ptCount val="15"/>
                <c:pt idx="0">
                  <c:v>0.62286890850288379</c:v>
                </c:pt>
                <c:pt idx="1">
                  <c:v>0.96328046041275506</c:v>
                </c:pt>
                <c:pt idx="2">
                  <c:v>0.63103057052605516</c:v>
                </c:pt>
                <c:pt idx="3">
                  <c:v>0.62283348740086053</c:v>
                </c:pt>
                <c:pt idx="4">
                  <c:v>0.61548392513961714</c:v>
                </c:pt>
                <c:pt idx="5">
                  <c:v>0.92060174299894093</c:v>
                </c:pt>
                <c:pt idx="6">
                  <c:v>0.81296538932588058</c:v>
                </c:pt>
                <c:pt idx="7">
                  <c:v>1.024209781761195</c:v>
                </c:pt>
                <c:pt idx="8">
                  <c:v>0.58165688116528735</c:v>
                </c:pt>
                <c:pt idx="9">
                  <c:v>1.1170453998614891</c:v>
                </c:pt>
                <c:pt idx="10">
                  <c:v>0.71352857382576007</c:v>
                </c:pt>
                <c:pt idx="11">
                  <c:v>1.2299419922451225</c:v>
                </c:pt>
                <c:pt idx="12">
                  <c:v>1.3559884153577804</c:v>
                </c:pt>
                <c:pt idx="13">
                  <c:v>1.9654896121948675</c:v>
                </c:pt>
                <c:pt idx="14">
                  <c:v>0.83359206191173341</c:v>
                </c:pt>
              </c:numCache>
            </c:numRef>
          </c:val>
          <c:smooth val="0"/>
        </c:ser>
        <c:dLbls>
          <c:showLegendKey val="0"/>
          <c:showVal val="0"/>
          <c:showCatName val="0"/>
          <c:showSerName val="0"/>
          <c:showPercent val="0"/>
          <c:showBubbleSize val="0"/>
        </c:dLbls>
        <c:marker val="1"/>
        <c:smooth val="0"/>
        <c:axId val="498604136"/>
        <c:axId val="498599432"/>
      </c:lineChart>
      <c:catAx>
        <c:axId val="498592768"/>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98603744"/>
        <c:crosses val="autoZero"/>
        <c:auto val="1"/>
        <c:lblAlgn val="ctr"/>
        <c:lblOffset val="100"/>
        <c:noMultiLvlLbl val="0"/>
      </c:catAx>
      <c:valAx>
        <c:axId val="498603744"/>
        <c:scaling>
          <c:orientation val="minMax"/>
        </c:scaling>
        <c:delete val="0"/>
        <c:axPos val="l"/>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98592768"/>
        <c:crosses val="autoZero"/>
        <c:crossBetween val="between"/>
      </c:valAx>
      <c:valAx>
        <c:axId val="498599432"/>
        <c:scaling>
          <c:orientation val="minMax"/>
          <c:min val="0.30000000000000004"/>
        </c:scaling>
        <c:delete val="0"/>
        <c:axPos val="r"/>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Volatility</a:t>
                </a:r>
              </a:p>
            </c:rich>
          </c:tx>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98604136"/>
        <c:crosses val="max"/>
        <c:crossBetween val="between"/>
      </c:valAx>
      <c:catAx>
        <c:axId val="498604136"/>
        <c:scaling>
          <c:orientation val="minMax"/>
        </c:scaling>
        <c:delete val="1"/>
        <c:axPos val="b"/>
        <c:numFmt formatCode="General" sourceLinked="1"/>
        <c:majorTickMark val="out"/>
        <c:minorTickMark val="none"/>
        <c:tickLblPos val="nextTo"/>
        <c:crossAx val="498599432"/>
        <c:crosses val="autoZero"/>
        <c:auto val="1"/>
        <c:lblAlgn val="ctr"/>
        <c:lblOffset val="100"/>
        <c:noMultiLvlLbl val="0"/>
      </c:catAx>
      <c:spPr>
        <a:noFill/>
        <a:ln w="25400">
          <a:noFill/>
        </a:ln>
        <a:effectLst/>
      </c:spPr>
    </c:plotArea>
    <c:legend>
      <c:legendPos val="b"/>
      <c:layout>
        <c:manualLayout>
          <c:xMode val="edge"/>
          <c:yMode val="edge"/>
          <c:x val="0.33200880828044604"/>
          <c:y val="0.90591875400747135"/>
          <c:w val="0.32390682414698163"/>
          <c:h val="9.036847666768931E-2"/>
        </c:manualLayout>
      </c:layout>
      <c:overlay val="0"/>
      <c:spPr>
        <a:noFill/>
        <a:ln>
          <a:noFill/>
        </a:ln>
        <a:effectLst/>
      </c:spPr>
      <c:txPr>
        <a:bodyPr rot="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i="1">
          <a:latin typeface="Garamond" panose="02020404030301010803"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6041362530413628"/>
          <c:y val="7.3126249127115975E-2"/>
          <c:w val="0.66420200148778197"/>
          <c:h val="0.64835819275310091"/>
        </c:manualLayout>
      </c:layout>
      <c:barChart>
        <c:barDir val="col"/>
        <c:grouping val="clustered"/>
        <c:varyColors val="0"/>
        <c:ser>
          <c:idx val="0"/>
          <c:order val="0"/>
          <c:tx>
            <c:strRef>
              <c:f>'F4 '!$B$1</c:f>
              <c:strCache>
                <c:ptCount val="1"/>
                <c:pt idx="0">
                  <c:v>Average Daily Turnover (LHS)</c:v>
                </c:pt>
              </c:strCache>
            </c:strRef>
          </c:tx>
          <c:spPr>
            <a:solidFill>
              <a:srgbClr val="8064A2">
                <a:lumMod val="60000"/>
                <a:lumOff val="40000"/>
              </a:srgbClr>
            </a:solidFill>
          </c:spPr>
          <c:invertIfNegative val="0"/>
          <c:cat>
            <c:numRef>
              <c:f>'F4 '!$A$8:$A$19</c:f>
              <c:numCache>
                <c:formatCode>[$-409]mmm\-yy;@</c:formatCode>
                <c:ptCount val="12"/>
                <c:pt idx="0">
                  <c:v>43163</c:v>
                </c:pt>
                <c:pt idx="1">
                  <c:v>43220</c:v>
                </c:pt>
                <c:pt idx="2">
                  <c:v>43221</c:v>
                </c:pt>
                <c:pt idx="3">
                  <c:v>43252</c:v>
                </c:pt>
                <c:pt idx="4">
                  <c:v>43282</c:v>
                </c:pt>
                <c:pt idx="5">
                  <c:v>43313</c:v>
                </c:pt>
                <c:pt idx="6">
                  <c:v>43344</c:v>
                </c:pt>
                <c:pt idx="7">
                  <c:v>43374</c:v>
                </c:pt>
                <c:pt idx="8">
                  <c:v>43405</c:v>
                </c:pt>
                <c:pt idx="9">
                  <c:v>43435</c:v>
                </c:pt>
                <c:pt idx="10">
                  <c:v>43466</c:v>
                </c:pt>
                <c:pt idx="11">
                  <c:v>43497</c:v>
                </c:pt>
              </c:numCache>
            </c:numRef>
          </c:cat>
          <c:val>
            <c:numRef>
              <c:f>'F4 '!$B$8:$B$19</c:f>
              <c:numCache>
                <c:formatCode>[&gt;=10000000]#\,##\,##\,##0;[&gt;=100000]#\,##\,##0;##,##0</c:formatCode>
                <c:ptCount val="12"/>
                <c:pt idx="0">
                  <c:v>918780.29609696532</c:v>
                </c:pt>
                <c:pt idx="1">
                  <c:v>743820.35165617149</c:v>
                </c:pt>
                <c:pt idx="2">
                  <c:v>879185.130065709</c:v>
                </c:pt>
                <c:pt idx="3">
                  <c:v>886219.84038245713</c:v>
                </c:pt>
                <c:pt idx="4">
                  <c:v>848048.939767309</c:v>
                </c:pt>
                <c:pt idx="5">
                  <c:v>954577.72960199043</c:v>
                </c:pt>
                <c:pt idx="6">
                  <c:v>1247702.2777777778</c:v>
                </c:pt>
                <c:pt idx="7">
                  <c:v>1068250.9523809524</c:v>
                </c:pt>
                <c:pt idx="8">
                  <c:v>920726.9</c:v>
                </c:pt>
                <c:pt idx="9">
                  <c:v>959188.14303402882</c:v>
                </c:pt>
                <c:pt idx="10">
                  <c:v>960210.23575282516</c:v>
                </c:pt>
                <c:pt idx="11">
                  <c:v>947811.2300000001</c:v>
                </c:pt>
              </c:numCache>
            </c:numRef>
          </c:val>
        </c:ser>
        <c:dLbls>
          <c:showLegendKey val="0"/>
          <c:showVal val="0"/>
          <c:showCatName val="0"/>
          <c:showSerName val="0"/>
          <c:showPercent val="0"/>
          <c:showBubbleSize val="0"/>
        </c:dLbls>
        <c:gapWidth val="351"/>
        <c:overlap val="78"/>
        <c:axId val="498600216"/>
        <c:axId val="498600608"/>
      </c:barChart>
      <c:lineChart>
        <c:grouping val="standard"/>
        <c:varyColors val="0"/>
        <c:ser>
          <c:idx val="1"/>
          <c:order val="1"/>
          <c:tx>
            <c:strRef>
              <c:f>'F4 '!$C$1</c:f>
              <c:strCache>
                <c:ptCount val="1"/>
                <c:pt idx="0">
                  <c:v>Monthly Turnover (RHS)</c:v>
                </c:pt>
              </c:strCache>
            </c:strRef>
          </c:tx>
          <c:spPr>
            <a:ln w="22225">
              <a:solidFill>
                <a:srgbClr val="002060"/>
              </a:solidFill>
            </a:ln>
          </c:spPr>
          <c:marker>
            <c:symbol val="star"/>
            <c:size val="5"/>
            <c:spPr>
              <a:noFill/>
              <a:ln>
                <a:solidFill>
                  <a:srgbClr val="002060"/>
                </a:solidFill>
              </a:ln>
            </c:spPr>
          </c:marker>
          <c:cat>
            <c:numRef>
              <c:f>'F4 '!$A$8:$A$19</c:f>
              <c:numCache>
                <c:formatCode>[$-409]mmm\-yy;@</c:formatCode>
                <c:ptCount val="12"/>
                <c:pt idx="0">
                  <c:v>43163</c:v>
                </c:pt>
                <c:pt idx="1">
                  <c:v>43220</c:v>
                </c:pt>
                <c:pt idx="2">
                  <c:v>43221</c:v>
                </c:pt>
                <c:pt idx="3">
                  <c:v>43252</c:v>
                </c:pt>
                <c:pt idx="4">
                  <c:v>43282</c:v>
                </c:pt>
                <c:pt idx="5">
                  <c:v>43313</c:v>
                </c:pt>
                <c:pt idx="6">
                  <c:v>43344</c:v>
                </c:pt>
                <c:pt idx="7">
                  <c:v>43374</c:v>
                </c:pt>
                <c:pt idx="8">
                  <c:v>43405</c:v>
                </c:pt>
                <c:pt idx="9">
                  <c:v>43435</c:v>
                </c:pt>
                <c:pt idx="10">
                  <c:v>43466</c:v>
                </c:pt>
                <c:pt idx="11">
                  <c:v>43497</c:v>
                </c:pt>
              </c:numCache>
            </c:numRef>
          </c:cat>
          <c:val>
            <c:numRef>
              <c:f>'F4 '!$C$8:$C$19</c:f>
              <c:numCache>
                <c:formatCode>[&gt;=10000000]#\,##\,##\,##0;[&gt;=100000]#\,##\,##0;##,##0</c:formatCode>
                <c:ptCount val="12"/>
                <c:pt idx="0">
                  <c:v>17456825.62584234</c:v>
                </c:pt>
                <c:pt idx="1">
                  <c:v>15620227.3847796</c:v>
                </c:pt>
                <c:pt idx="2">
                  <c:v>19342072.861445598</c:v>
                </c:pt>
                <c:pt idx="3">
                  <c:v>18610616.6480316</c:v>
                </c:pt>
                <c:pt idx="4">
                  <c:v>18657076.674880799</c:v>
                </c:pt>
                <c:pt idx="5">
                  <c:v>20046132.321641799</c:v>
                </c:pt>
                <c:pt idx="6">
                  <c:v>22458641</c:v>
                </c:pt>
                <c:pt idx="7">
                  <c:v>22433270</c:v>
                </c:pt>
                <c:pt idx="8">
                  <c:v>18414538</c:v>
                </c:pt>
                <c:pt idx="9">
                  <c:v>19183762.860680576</c:v>
                </c:pt>
                <c:pt idx="10">
                  <c:v>22084835.422314979</c:v>
                </c:pt>
                <c:pt idx="11">
                  <c:v>18956224.600000001</c:v>
                </c:pt>
              </c:numCache>
            </c:numRef>
          </c:val>
          <c:smooth val="0"/>
        </c:ser>
        <c:dLbls>
          <c:showLegendKey val="0"/>
          <c:showVal val="0"/>
          <c:showCatName val="0"/>
          <c:showSerName val="0"/>
          <c:showPercent val="0"/>
          <c:showBubbleSize val="0"/>
        </c:dLbls>
        <c:marker val="1"/>
        <c:smooth val="0"/>
        <c:axId val="498594336"/>
        <c:axId val="498604528"/>
      </c:lineChart>
      <c:dateAx>
        <c:axId val="498600216"/>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498600608"/>
        <c:crosses val="autoZero"/>
        <c:auto val="1"/>
        <c:lblOffset val="100"/>
        <c:baseTimeUnit val="months"/>
      </c:dateAx>
      <c:valAx>
        <c:axId val="498600608"/>
        <c:scaling>
          <c:orientation val="minMax"/>
          <c:min val="600000"/>
        </c:scaling>
        <c:delete val="0"/>
        <c:axPos val="l"/>
        <c:numFmt formatCode="[&gt;=10000000]#\,##\,##\,##0;[&gt;=100000]#\,##\,##0;##,##0" sourceLinked="1"/>
        <c:majorTickMark val="none"/>
        <c:minorTickMark val="none"/>
        <c:tickLblPos val="nextTo"/>
        <c:txPr>
          <a:bodyPr/>
          <a:lstStyle/>
          <a:p>
            <a:pPr>
              <a:defRPr lang="en-IN"/>
            </a:pPr>
            <a:endParaRPr lang="en-US"/>
          </a:p>
        </c:txPr>
        <c:crossAx val="498600216"/>
        <c:crosses val="autoZero"/>
        <c:crossBetween val="between"/>
      </c:valAx>
      <c:valAx>
        <c:axId val="498604528"/>
        <c:scaling>
          <c:orientation val="minMax"/>
          <c:min val="10000000"/>
        </c:scaling>
        <c:delete val="0"/>
        <c:axPos val="r"/>
        <c:numFmt formatCode="[&gt;=10000000]#\,##\,##\,##0;[&gt;=100000]#\,##\,##0;##,##0" sourceLinked="1"/>
        <c:majorTickMark val="none"/>
        <c:minorTickMark val="none"/>
        <c:tickLblPos val="nextTo"/>
        <c:spPr>
          <a:ln w="9525">
            <a:solidFill>
              <a:srgbClr val="EEECE1">
                <a:lumMod val="10000"/>
              </a:srgbClr>
            </a:solidFill>
          </a:ln>
        </c:spPr>
        <c:txPr>
          <a:bodyPr/>
          <a:lstStyle/>
          <a:p>
            <a:pPr>
              <a:defRPr lang="en-IN"/>
            </a:pPr>
            <a:endParaRPr lang="en-US"/>
          </a:p>
        </c:txPr>
        <c:crossAx val="498594336"/>
        <c:crosses val="max"/>
        <c:crossBetween val="between"/>
      </c:valAx>
      <c:dateAx>
        <c:axId val="498594336"/>
        <c:scaling>
          <c:orientation val="minMax"/>
        </c:scaling>
        <c:delete val="1"/>
        <c:axPos val="b"/>
        <c:numFmt formatCode="[$-409]mmm\-yy;@" sourceLinked="1"/>
        <c:majorTickMark val="out"/>
        <c:minorTickMark val="none"/>
        <c:tickLblPos val="none"/>
        <c:crossAx val="498604528"/>
        <c:crosses val="autoZero"/>
        <c:auto val="1"/>
        <c:lblOffset val="100"/>
        <c:baseTimeUnit val="days"/>
      </c:dateAx>
    </c:plotArea>
    <c:legend>
      <c:legendPos val="b"/>
      <c:overlay val="0"/>
      <c:spPr>
        <a:ln w="3175">
          <a:solidFill>
            <a:srgbClr val="F79646">
              <a:lumMod val="50000"/>
            </a:srgbClr>
          </a:solidFill>
        </a:ln>
      </c:spPr>
      <c:txPr>
        <a:bodyPr/>
        <a:lstStyle/>
        <a:p>
          <a:pPr>
            <a:defRPr lang="en-IN"/>
          </a:pPr>
          <a:endParaRPr lang="en-US"/>
        </a:p>
      </c:txPr>
    </c:legend>
    <c:plotVisOnly val="1"/>
    <c:dispBlanksAs val="gap"/>
    <c:showDLblsOverMax val="0"/>
  </c:chart>
  <c:spPr>
    <a:ln w="3175">
      <a:solidFill>
        <a:schemeClr val="accent6">
          <a:lumMod val="50000"/>
        </a:schemeClr>
      </a:solidFill>
    </a:ln>
  </c:spPr>
  <c:txPr>
    <a:bodyPr/>
    <a:lstStyle/>
    <a:p>
      <a:pPr>
        <a:defRPr sz="900" b="1" i="0" baseline="0">
          <a:latin typeface="Garamond"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90978687535105"/>
          <c:y val="4.4029382311638186E-2"/>
          <c:w val="0.82410353878179021"/>
          <c:h val="0.63384646686606039"/>
        </c:manualLayout>
      </c:layout>
      <c:lineChart>
        <c:grouping val="standard"/>
        <c:varyColors val="0"/>
        <c:ser>
          <c:idx val="0"/>
          <c:order val="0"/>
          <c:tx>
            <c:strRef>
              <c:f>'F6'!$B$2</c:f>
              <c:strCache>
                <c:ptCount val="1"/>
                <c:pt idx="0">
                  <c:v>NSE (LHS)</c:v>
                </c:pt>
              </c:strCache>
            </c:strRef>
          </c:tx>
          <c:spPr>
            <a:ln w="22225">
              <a:solidFill>
                <a:srgbClr val="C45CB8"/>
              </a:solidFill>
            </a:ln>
            <a:effectLst/>
          </c:spPr>
          <c:marker>
            <c:symbol val="none"/>
          </c:marker>
          <c:cat>
            <c:numRef>
              <c:f>'F6'!$A$9:$A$20</c:f>
              <c:numCache>
                <c:formatCode>[$-409]mmm\-yy;@</c:formatCode>
                <c:ptCount val="12"/>
                <c:pt idx="0">
                  <c:v>43162</c:v>
                </c:pt>
                <c:pt idx="1">
                  <c:v>43220</c:v>
                </c:pt>
                <c:pt idx="2">
                  <c:v>43221</c:v>
                </c:pt>
                <c:pt idx="3">
                  <c:v>43252</c:v>
                </c:pt>
                <c:pt idx="4">
                  <c:v>43282</c:v>
                </c:pt>
                <c:pt idx="5">
                  <c:v>43313</c:v>
                </c:pt>
                <c:pt idx="6">
                  <c:v>43344</c:v>
                </c:pt>
                <c:pt idx="7">
                  <c:v>43374</c:v>
                </c:pt>
                <c:pt idx="8">
                  <c:v>43405</c:v>
                </c:pt>
                <c:pt idx="9">
                  <c:v>43435</c:v>
                </c:pt>
                <c:pt idx="10">
                  <c:v>43466</c:v>
                </c:pt>
                <c:pt idx="11">
                  <c:v>43497</c:v>
                </c:pt>
              </c:numCache>
            </c:numRef>
          </c:cat>
          <c:val>
            <c:numRef>
              <c:f>'F6'!$B$9:$B$20</c:f>
              <c:numCache>
                <c:formatCode>[&gt;=10000000]#\,##\,##\,##0;[&gt;=100000]#\,##\,##0;##,##0</c:formatCode>
                <c:ptCount val="12"/>
                <c:pt idx="0">
                  <c:v>376612.26844481501</c:v>
                </c:pt>
                <c:pt idx="1">
                  <c:v>502657.175281259</c:v>
                </c:pt>
                <c:pt idx="2">
                  <c:v>689451.58313687996</c:v>
                </c:pt>
                <c:pt idx="3">
                  <c:v>612388.62365967</c:v>
                </c:pt>
                <c:pt idx="4">
                  <c:v>558865.96280513296</c:v>
                </c:pt>
                <c:pt idx="5">
                  <c:v>748881.50530931598</c:v>
                </c:pt>
                <c:pt idx="6">
                  <c:v>680354.48930000002</c:v>
                </c:pt>
                <c:pt idx="7">
                  <c:v>777528.51319401199</c:v>
                </c:pt>
                <c:pt idx="8">
                  <c:v>681660.28855165804</c:v>
                </c:pt>
                <c:pt idx="9">
                  <c:v>741803.95882429404</c:v>
                </c:pt>
                <c:pt idx="10">
                  <c:v>749482.59087492898</c:v>
                </c:pt>
                <c:pt idx="11" formatCode="0\,00\,000;\-0\,00\,000;0">
                  <c:v>680354.48930000002</c:v>
                </c:pt>
              </c:numCache>
            </c:numRef>
          </c:val>
          <c:smooth val="0"/>
        </c:ser>
        <c:ser>
          <c:idx val="3"/>
          <c:order val="2"/>
          <c:tx>
            <c:strRef>
              <c:f>'F6'!$D$2</c:f>
              <c:strCache>
                <c:ptCount val="1"/>
                <c:pt idx="0">
                  <c:v>BSE  (LHS)</c:v>
                </c:pt>
              </c:strCache>
            </c:strRef>
          </c:tx>
          <c:spPr>
            <a:ln>
              <a:solidFill>
                <a:schemeClr val="accent2">
                  <a:lumMod val="75000"/>
                </a:schemeClr>
              </a:solidFill>
            </a:ln>
          </c:spPr>
          <c:marker>
            <c:symbol val="none"/>
          </c:marker>
          <c:cat>
            <c:numRef>
              <c:f>'F6'!$A$9:$A$20</c:f>
              <c:numCache>
                <c:formatCode>[$-409]mmm\-yy;@</c:formatCode>
                <c:ptCount val="12"/>
                <c:pt idx="0">
                  <c:v>43162</c:v>
                </c:pt>
                <c:pt idx="1">
                  <c:v>43220</c:v>
                </c:pt>
                <c:pt idx="2">
                  <c:v>43221</c:v>
                </c:pt>
                <c:pt idx="3">
                  <c:v>43252</c:v>
                </c:pt>
                <c:pt idx="4">
                  <c:v>43282</c:v>
                </c:pt>
                <c:pt idx="5">
                  <c:v>43313</c:v>
                </c:pt>
                <c:pt idx="6">
                  <c:v>43344</c:v>
                </c:pt>
                <c:pt idx="7">
                  <c:v>43374</c:v>
                </c:pt>
                <c:pt idx="8">
                  <c:v>43405</c:v>
                </c:pt>
                <c:pt idx="9">
                  <c:v>43435</c:v>
                </c:pt>
                <c:pt idx="10">
                  <c:v>43466</c:v>
                </c:pt>
                <c:pt idx="11">
                  <c:v>43497</c:v>
                </c:pt>
              </c:numCache>
            </c:numRef>
          </c:cat>
          <c:val>
            <c:numRef>
              <c:f>'F6'!$D$9:$D$20</c:f>
              <c:numCache>
                <c:formatCode>[&gt;=10000000]#\,##\,##\,##0;[&gt;=100000]#\,##\,##0;##,##0</c:formatCode>
                <c:ptCount val="12"/>
                <c:pt idx="0">
                  <c:v>314170.48449999996</c:v>
                </c:pt>
                <c:pt idx="1">
                  <c:v>509961.57419999986</c:v>
                </c:pt>
                <c:pt idx="2">
                  <c:v>728468.46439999994</c:v>
                </c:pt>
                <c:pt idx="3">
                  <c:v>713685.12680000009</c:v>
                </c:pt>
                <c:pt idx="4">
                  <c:v>645180.13820000016</c:v>
                </c:pt>
                <c:pt idx="5">
                  <c:v>708157.43030000001</c:v>
                </c:pt>
                <c:pt idx="6">
                  <c:v>510834.71059999999</c:v>
                </c:pt>
                <c:pt idx="7">
                  <c:v>641295.16209999996</c:v>
                </c:pt>
                <c:pt idx="8">
                  <c:v>573746.2696</c:v>
                </c:pt>
                <c:pt idx="9">
                  <c:v>515673.06469999999</c:v>
                </c:pt>
                <c:pt idx="10">
                  <c:v>568203.1666</c:v>
                </c:pt>
                <c:pt idx="11" formatCode="0\,00\,000;\-0\,00\,000;0">
                  <c:v>510834.71059999999</c:v>
                </c:pt>
              </c:numCache>
            </c:numRef>
          </c:val>
          <c:smooth val="0"/>
        </c:ser>
        <c:dLbls>
          <c:showLegendKey val="0"/>
          <c:showVal val="0"/>
          <c:showCatName val="0"/>
          <c:showSerName val="0"/>
          <c:showPercent val="0"/>
          <c:showBubbleSize val="0"/>
        </c:dLbls>
        <c:marker val="1"/>
        <c:smooth val="0"/>
        <c:axId val="498594728"/>
        <c:axId val="498593160"/>
      </c:lineChart>
      <c:lineChart>
        <c:grouping val="standard"/>
        <c:varyColors val="0"/>
        <c:ser>
          <c:idx val="1"/>
          <c:order val="1"/>
          <c:tx>
            <c:strRef>
              <c:f>'F6'!$C$2</c:f>
              <c:strCache>
                <c:ptCount val="1"/>
                <c:pt idx="0">
                  <c:v>MSEI (RHS)</c:v>
                </c:pt>
              </c:strCache>
            </c:strRef>
          </c:tx>
          <c:spPr>
            <a:ln w="22225">
              <a:solidFill>
                <a:srgbClr val="00B0F0"/>
              </a:solidFill>
            </a:ln>
          </c:spPr>
          <c:marker>
            <c:symbol val="none"/>
          </c:marker>
          <c:cat>
            <c:numRef>
              <c:f>'F6'!$A$9:$A$20</c:f>
              <c:numCache>
                <c:formatCode>[$-409]mmm\-yy;@</c:formatCode>
                <c:ptCount val="12"/>
                <c:pt idx="0">
                  <c:v>43162</c:v>
                </c:pt>
                <c:pt idx="1">
                  <c:v>43220</c:v>
                </c:pt>
                <c:pt idx="2">
                  <c:v>43221</c:v>
                </c:pt>
                <c:pt idx="3">
                  <c:v>43252</c:v>
                </c:pt>
                <c:pt idx="4">
                  <c:v>43282</c:v>
                </c:pt>
                <c:pt idx="5">
                  <c:v>43313</c:v>
                </c:pt>
                <c:pt idx="6">
                  <c:v>43344</c:v>
                </c:pt>
                <c:pt idx="7">
                  <c:v>43374</c:v>
                </c:pt>
                <c:pt idx="8">
                  <c:v>43405</c:v>
                </c:pt>
                <c:pt idx="9">
                  <c:v>43435</c:v>
                </c:pt>
                <c:pt idx="10">
                  <c:v>43466</c:v>
                </c:pt>
                <c:pt idx="11">
                  <c:v>43497</c:v>
                </c:pt>
              </c:numCache>
            </c:numRef>
          </c:cat>
          <c:val>
            <c:numRef>
              <c:f>'F6'!$C$9:$C$20</c:f>
              <c:numCache>
                <c:formatCode>[&gt;=10000000]#\,##\,##\,##0;[&gt;=100000]#\,##\,##0;##,##0</c:formatCode>
                <c:ptCount val="12"/>
                <c:pt idx="0">
                  <c:v>7480.7421287499992</c:v>
                </c:pt>
                <c:pt idx="1">
                  <c:v>6570.9601215000002</c:v>
                </c:pt>
                <c:pt idx="2">
                  <c:v>7236.9927849999995</c:v>
                </c:pt>
                <c:pt idx="3">
                  <c:v>5257.1648152499993</c:v>
                </c:pt>
                <c:pt idx="4">
                  <c:v>8394.2735352499985</c:v>
                </c:pt>
                <c:pt idx="5">
                  <c:v>3766.772727</c:v>
                </c:pt>
                <c:pt idx="6">
                  <c:v>1521.31375</c:v>
                </c:pt>
                <c:pt idx="7">
                  <c:v>2900.4</c:v>
                </c:pt>
                <c:pt idx="8">
                  <c:v>2050.7751377499999</c:v>
                </c:pt>
                <c:pt idx="9">
                  <c:v>1290.867150496</c:v>
                </c:pt>
                <c:pt idx="10">
                  <c:v>1556.8416970000001</c:v>
                </c:pt>
                <c:pt idx="11" formatCode="#,##0;\-#,##0;0">
                  <c:v>1521.31375</c:v>
                </c:pt>
              </c:numCache>
            </c:numRef>
          </c:val>
          <c:smooth val="0"/>
        </c:ser>
        <c:dLbls>
          <c:showLegendKey val="0"/>
          <c:showVal val="0"/>
          <c:showCatName val="0"/>
          <c:showSerName val="0"/>
          <c:showPercent val="0"/>
          <c:showBubbleSize val="0"/>
        </c:dLbls>
        <c:marker val="1"/>
        <c:smooth val="0"/>
        <c:axId val="498602568"/>
        <c:axId val="498596296"/>
      </c:lineChart>
      <c:dateAx>
        <c:axId val="498594728"/>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498593160"/>
        <c:crosses val="autoZero"/>
        <c:auto val="1"/>
        <c:lblOffset val="100"/>
        <c:baseTimeUnit val="months"/>
      </c:dateAx>
      <c:valAx>
        <c:axId val="498593160"/>
        <c:scaling>
          <c:orientation val="minMax"/>
        </c:scaling>
        <c:delete val="0"/>
        <c:axPos val="l"/>
        <c:numFmt formatCode="[&gt;=10000000]#\,##\,##\,##0;[&gt;=100000]#\,##\,##0;##,##0" sourceLinked="1"/>
        <c:majorTickMark val="none"/>
        <c:minorTickMark val="none"/>
        <c:tickLblPos val="nextTo"/>
        <c:txPr>
          <a:bodyPr/>
          <a:lstStyle/>
          <a:p>
            <a:pPr>
              <a:defRPr lang="en-IN"/>
            </a:pPr>
            <a:endParaRPr lang="en-US"/>
          </a:p>
        </c:txPr>
        <c:crossAx val="498594728"/>
        <c:crosses val="autoZero"/>
        <c:crossBetween val="between"/>
      </c:valAx>
      <c:valAx>
        <c:axId val="498596296"/>
        <c:scaling>
          <c:orientation val="minMax"/>
        </c:scaling>
        <c:delete val="0"/>
        <c:axPos val="r"/>
        <c:numFmt formatCode="[&gt;=10000000]#\,##\,##\,##0;[&gt;=100000]#\,##\,##0;##,##0" sourceLinked="1"/>
        <c:majorTickMark val="out"/>
        <c:minorTickMark val="none"/>
        <c:tickLblPos val="nextTo"/>
        <c:crossAx val="498602568"/>
        <c:crosses val="max"/>
        <c:crossBetween val="between"/>
      </c:valAx>
      <c:dateAx>
        <c:axId val="498602568"/>
        <c:scaling>
          <c:orientation val="minMax"/>
        </c:scaling>
        <c:delete val="1"/>
        <c:axPos val="b"/>
        <c:numFmt formatCode="[$-409]mmm\-yy;@" sourceLinked="1"/>
        <c:majorTickMark val="out"/>
        <c:minorTickMark val="none"/>
        <c:tickLblPos val="nextTo"/>
        <c:crossAx val="498596296"/>
        <c:crosses val="autoZero"/>
        <c:auto val="1"/>
        <c:lblOffset val="100"/>
        <c:baseTimeUnit val="days"/>
      </c:dateAx>
    </c:plotArea>
    <c:legend>
      <c:legendPos val="b"/>
      <c:layout>
        <c:manualLayout>
          <c:xMode val="edge"/>
          <c:yMode val="edge"/>
          <c:x val="0.26623978933326431"/>
          <c:y val="0.92366722924637279"/>
          <c:w val="0.48512218150949676"/>
          <c:h val="6.0352921986448482E-2"/>
        </c:manualLayout>
      </c:layout>
      <c:overlay val="0"/>
      <c:spPr>
        <a:ln w="3175">
          <a:solidFill>
            <a:schemeClr val="accent6">
              <a:lumMod val="50000"/>
            </a:scheme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84895719203932"/>
          <c:y val="6.2098086529945175E-2"/>
          <c:w val="0.89717148992739548"/>
          <c:h val="0.67256788958586677"/>
        </c:manualLayout>
      </c:layout>
      <c:lineChart>
        <c:grouping val="standard"/>
        <c:varyColors val="0"/>
        <c:ser>
          <c:idx val="0"/>
          <c:order val="0"/>
          <c:tx>
            <c:strRef>
              <c:f>'F7'!$B$2</c:f>
              <c:strCache>
                <c:ptCount val="1"/>
                <c:pt idx="0">
                  <c:v>BSE</c:v>
                </c:pt>
              </c:strCache>
            </c:strRef>
          </c:tx>
          <c:spPr>
            <a:ln w="22225">
              <a:solidFill>
                <a:srgbClr val="FF0000"/>
              </a:solidFill>
            </a:ln>
          </c:spPr>
          <c:marker>
            <c:symbol val="none"/>
          </c:marker>
          <c:cat>
            <c:numRef>
              <c:f>'F7'!$A$9:$A$20</c:f>
              <c:numCache>
                <c:formatCode>[$-409]mmm\-yy;@</c:formatCode>
                <c:ptCount val="12"/>
                <c:pt idx="0">
                  <c:v>43163</c:v>
                </c:pt>
                <c:pt idx="1">
                  <c:v>43220</c:v>
                </c:pt>
                <c:pt idx="2">
                  <c:v>43221</c:v>
                </c:pt>
                <c:pt idx="3">
                  <c:v>43252</c:v>
                </c:pt>
                <c:pt idx="4">
                  <c:v>43282</c:v>
                </c:pt>
                <c:pt idx="5">
                  <c:v>43313</c:v>
                </c:pt>
                <c:pt idx="6">
                  <c:v>43344</c:v>
                </c:pt>
                <c:pt idx="7">
                  <c:v>43374</c:v>
                </c:pt>
                <c:pt idx="8">
                  <c:v>43405</c:v>
                </c:pt>
                <c:pt idx="9">
                  <c:v>43435</c:v>
                </c:pt>
                <c:pt idx="10">
                  <c:v>43466</c:v>
                </c:pt>
                <c:pt idx="11">
                  <c:v>43497</c:v>
                </c:pt>
              </c:numCache>
            </c:numRef>
          </c:cat>
          <c:val>
            <c:numRef>
              <c:f>'F7'!$B$9:$B$20</c:f>
              <c:numCache>
                <c:formatCode>[&gt;=10000000]#\,##\,##\,##0;[&gt;=100000]#\,##\,##0;##,##0</c:formatCode>
                <c:ptCount val="12"/>
                <c:pt idx="0" formatCode="[&gt;9999999]##\,##\,##\,##0;[&gt;99999]##\,##\,##0;##,##0">
                  <c:v>28548.673699999996</c:v>
                </c:pt>
                <c:pt idx="1">
                  <c:v>8979.4696999999996</c:v>
                </c:pt>
                <c:pt idx="2">
                  <c:v>7943.6571999999987</c:v>
                </c:pt>
                <c:pt idx="3">
                  <c:v>6561.9539999999997</c:v>
                </c:pt>
                <c:pt idx="4">
                  <c:v>11056.945900000001</c:v>
                </c:pt>
                <c:pt idx="5">
                  <c:v>10591.9393</c:v>
                </c:pt>
                <c:pt idx="6">
                  <c:v>15330.400299999999</c:v>
                </c:pt>
                <c:pt idx="7">
                  <c:v>9223.2100000000009</c:v>
                </c:pt>
                <c:pt idx="8">
                  <c:v>6156.8182999999999</c:v>
                </c:pt>
                <c:pt idx="9">
                  <c:v>4245.4411</c:v>
                </c:pt>
                <c:pt idx="10">
                  <c:v>9129.2566000000006</c:v>
                </c:pt>
                <c:pt idx="11" formatCode="#,##0;\-#,##0;0">
                  <c:v>15330.400299999999</c:v>
                </c:pt>
              </c:numCache>
            </c:numRef>
          </c:val>
          <c:smooth val="0"/>
        </c:ser>
        <c:ser>
          <c:idx val="1"/>
          <c:order val="1"/>
          <c:tx>
            <c:strRef>
              <c:f>'F7'!$C$2</c:f>
              <c:strCache>
                <c:ptCount val="1"/>
                <c:pt idx="0">
                  <c:v>NSE</c:v>
                </c:pt>
              </c:strCache>
            </c:strRef>
          </c:tx>
          <c:spPr>
            <a:ln w="22225">
              <a:solidFill>
                <a:srgbClr val="0070C0"/>
              </a:solidFill>
            </a:ln>
          </c:spPr>
          <c:marker>
            <c:symbol val="none"/>
          </c:marker>
          <c:cat>
            <c:numRef>
              <c:f>'F7'!$A$9:$A$20</c:f>
              <c:numCache>
                <c:formatCode>[$-409]mmm\-yy;@</c:formatCode>
                <c:ptCount val="12"/>
                <c:pt idx="0">
                  <c:v>43163</c:v>
                </c:pt>
                <c:pt idx="1">
                  <c:v>43220</c:v>
                </c:pt>
                <c:pt idx="2">
                  <c:v>43221</c:v>
                </c:pt>
                <c:pt idx="3">
                  <c:v>43252</c:v>
                </c:pt>
                <c:pt idx="4">
                  <c:v>43282</c:v>
                </c:pt>
                <c:pt idx="5">
                  <c:v>43313</c:v>
                </c:pt>
                <c:pt idx="6">
                  <c:v>43344</c:v>
                </c:pt>
                <c:pt idx="7">
                  <c:v>43374</c:v>
                </c:pt>
                <c:pt idx="8">
                  <c:v>43405</c:v>
                </c:pt>
                <c:pt idx="9">
                  <c:v>43435</c:v>
                </c:pt>
                <c:pt idx="10">
                  <c:v>43466</c:v>
                </c:pt>
                <c:pt idx="11">
                  <c:v>43497</c:v>
                </c:pt>
              </c:numCache>
            </c:numRef>
          </c:cat>
          <c:val>
            <c:numRef>
              <c:f>'F7'!$C$9:$C$20</c:f>
              <c:numCache>
                <c:formatCode>[&gt;=10000000]#\,##\,##\,##0;[&gt;=100000]#\,##\,##0;##,##0</c:formatCode>
                <c:ptCount val="12"/>
                <c:pt idx="0" formatCode="[&gt;9999999]##\,##\,##\,##0;[&gt;99999]##\,##\,##0;##,##0">
                  <c:v>23000.089435499998</c:v>
                </c:pt>
                <c:pt idx="1">
                  <c:v>27039.272571500002</c:v>
                </c:pt>
                <c:pt idx="2">
                  <c:v>12087.967003</c:v>
                </c:pt>
                <c:pt idx="3">
                  <c:v>8623.8254785000008</c:v>
                </c:pt>
                <c:pt idx="4">
                  <c:v>13944.553620500001</c:v>
                </c:pt>
                <c:pt idx="5">
                  <c:v>18422.714456500002</c:v>
                </c:pt>
                <c:pt idx="6">
                  <c:v>23339.417590000001</c:v>
                </c:pt>
                <c:pt idx="7">
                  <c:v>22604.788316499998</c:v>
                </c:pt>
                <c:pt idx="8">
                  <c:v>20286.930477000002</c:v>
                </c:pt>
                <c:pt idx="9">
                  <c:v>39136.415907850002</c:v>
                </c:pt>
                <c:pt idx="10">
                  <c:v>28146.9453135</c:v>
                </c:pt>
                <c:pt idx="11" formatCode="#,##0;\-#,##0;0">
                  <c:v>23339.417590000001</c:v>
                </c:pt>
              </c:numCache>
            </c:numRef>
          </c:val>
          <c:smooth val="0"/>
        </c:ser>
        <c:dLbls>
          <c:showLegendKey val="0"/>
          <c:showVal val="0"/>
          <c:showCatName val="0"/>
          <c:showSerName val="0"/>
          <c:showPercent val="0"/>
          <c:showBubbleSize val="0"/>
        </c:dLbls>
        <c:smooth val="0"/>
        <c:axId val="498602960"/>
        <c:axId val="498601784"/>
      </c:lineChart>
      <c:dateAx>
        <c:axId val="498602960"/>
        <c:scaling>
          <c:orientation val="minMax"/>
        </c:scaling>
        <c:delete val="0"/>
        <c:axPos val="b"/>
        <c:numFmt formatCode="[$-409]mmm\-yy;@" sourceLinked="1"/>
        <c:majorTickMark val="none"/>
        <c:minorTickMark val="none"/>
        <c:tickLblPos val="nextTo"/>
        <c:txPr>
          <a:bodyPr rot="-5400000" vert="horz"/>
          <a:lstStyle/>
          <a:p>
            <a:pPr>
              <a:defRPr lang="en-IN" sz="800" cap="none" baseline="0"/>
            </a:pPr>
            <a:endParaRPr lang="en-US"/>
          </a:p>
        </c:txPr>
        <c:crossAx val="498601784"/>
        <c:crosses val="autoZero"/>
        <c:auto val="1"/>
        <c:lblOffset val="100"/>
        <c:baseTimeUnit val="months"/>
        <c:majorUnit val="1"/>
        <c:majorTimeUnit val="months"/>
        <c:minorUnit val="1"/>
        <c:minorTimeUnit val="months"/>
      </c:dateAx>
      <c:valAx>
        <c:axId val="498601784"/>
        <c:scaling>
          <c:orientation val="minMax"/>
          <c:min val="4000"/>
        </c:scaling>
        <c:delete val="0"/>
        <c:axPos val="l"/>
        <c:numFmt formatCode="[&gt;9999999]##\,##\,##\,##0;[&gt;99999]##\,##\,##0;##,##0" sourceLinked="1"/>
        <c:majorTickMark val="none"/>
        <c:minorTickMark val="none"/>
        <c:tickLblPos val="nextTo"/>
        <c:txPr>
          <a:bodyPr/>
          <a:lstStyle/>
          <a:p>
            <a:pPr>
              <a:defRPr lang="en-IN"/>
            </a:pPr>
            <a:endParaRPr lang="en-US"/>
          </a:p>
        </c:txPr>
        <c:crossAx val="498602960"/>
        <c:crosses val="autoZero"/>
        <c:crossBetween val="between"/>
        <c:majorUnit val="5000"/>
      </c:valAx>
    </c:plotArea>
    <c:legend>
      <c:legendPos val="b"/>
      <c:layout>
        <c:manualLayout>
          <c:xMode val="edge"/>
          <c:yMode val="edge"/>
          <c:x val="0.20624194702934862"/>
          <c:y val="0.89766517801467072"/>
          <c:w val="0.60843603580870675"/>
          <c:h val="7.2917890916804493E-2"/>
        </c:manualLayout>
      </c:layout>
      <c:overlay val="0"/>
      <c:spPr>
        <a:ln w="3175">
          <a:solidFill>
            <a:schemeClr val="accent6">
              <a:lumMod val="50000"/>
            </a:scheme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9001914253641821E-2"/>
          <c:y val="7.9804761246949393E-2"/>
          <c:w val="0.93251912442983453"/>
          <c:h val="0.6582581387852835"/>
        </c:manualLayout>
      </c:layout>
      <c:barChart>
        <c:barDir val="col"/>
        <c:grouping val="clustered"/>
        <c:varyColors val="0"/>
        <c:ser>
          <c:idx val="0"/>
          <c:order val="0"/>
          <c:tx>
            <c:strRef>
              <c:f>'F11'!$B$2</c:f>
              <c:strCache>
                <c:ptCount val="1"/>
                <c:pt idx="0">
                  <c:v>BSE</c:v>
                </c:pt>
              </c:strCache>
            </c:strRef>
          </c:tx>
          <c:spPr>
            <a:solidFill>
              <a:srgbClr val="FFC000"/>
            </a:solidFill>
          </c:spPr>
          <c:invertIfNegative val="0"/>
          <c:dLbls>
            <c:spPr>
              <a:noFill/>
              <a:ln>
                <a:noFill/>
              </a:ln>
              <a:effectLst/>
            </c:spPr>
            <c:txPr>
              <a:bodyPr rot="-5400000" vert="horz" anchor="ctr" anchorCtr="0"/>
              <a:lstStyle/>
              <a:p>
                <a:pPr>
                  <a:defRPr lang="en-IN"/>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'F11'!$A$9:$A$20</c:f>
              <c:numCache>
                <c:formatCode>[$-409]mmm\-yy;@</c:formatCode>
                <c:ptCount val="12"/>
                <c:pt idx="0">
                  <c:v>43163</c:v>
                </c:pt>
                <c:pt idx="1">
                  <c:v>43220</c:v>
                </c:pt>
                <c:pt idx="2">
                  <c:v>43221</c:v>
                </c:pt>
                <c:pt idx="3">
                  <c:v>43252</c:v>
                </c:pt>
                <c:pt idx="4">
                  <c:v>43282</c:v>
                </c:pt>
                <c:pt idx="5">
                  <c:v>43313</c:v>
                </c:pt>
                <c:pt idx="6">
                  <c:v>43344</c:v>
                </c:pt>
                <c:pt idx="7">
                  <c:v>43374</c:v>
                </c:pt>
                <c:pt idx="8">
                  <c:v>43405</c:v>
                </c:pt>
                <c:pt idx="9">
                  <c:v>43435</c:v>
                </c:pt>
                <c:pt idx="10">
                  <c:v>43466</c:v>
                </c:pt>
                <c:pt idx="11">
                  <c:v>43497</c:v>
                </c:pt>
              </c:numCache>
            </c:numRef>
          </c:cat>
          <c:val>
            <c:numRef>
              <c:f>'F11'!$B$9:$B$20</c:f>
              <c:numCache>
                <c:formatCode>_(* #,##0_);_(* \(#,##0\);_(* "-"??_);_(@_)</c:formatCode>
                <c:ptCount val="12"/>
                <c:pt idx="0">
                  <c:v>59836.7</c:v>
                </c:pt>
                <c:pt idx="1">
                  <c:v>49273.73</c:v>
                </c:pt>
                <c:pt idx="2">
                  <c:v>49383.75</c:v>
                </c:pt>
                <c:pt idx="3">
                  <c:v>53079.63</c:v>
                </c:pt>
                <c:pt idx="4">
                  <c:v>54314.01</c:v>
                </c:pt>
                <c:pt idx="5">
                  <c:v>43548.04</c:v>
                </c:pt>
                <c:pt idx="6">
                  <c:v>37395</c:v>
                </c:pt>
                <c:pt idx="7">
                  <c:v>35876.15</c:v>
                </c:pt>
                <c:pt idx="8">
                  <c:v>40772.97</c:v>
                </c:pt>
                <c:pt idx="9">
                  <c:v>56467.11</c:v>
                </c:pt>
                <c:pt idx="10">
                  <c:v>55223.13</c:v>
                </c:pt>
                <c:pt idx="11">
                  <c:v>40132.83</c:v>
                </c:pt>
              </c:numCache>
            </c:numRef>
          </c:val>
        </c:ser>
        <c:ser>
          <c:idx val="1"/>
          <c:order val="1"/>
          <c:tx>
            <c:strRef>
              <c:f>'F11'!$C$2</c:f>
              <c:strCache>
                <c:ptCount val="1"/>
                <c:pt idx="0">
                  <c:v>NSE</c:v>
                </c:pt>
              </c:strCache>
            </c:strRef>
          </c:tx>
          <c:spPr>
            <a:solidFill>
              <a:schemeClr val="accent5">
                <a:lumMod val="40000"/>
                <a:lumOff val="60000"/>
              </a:schemeClr>
            </a:solidFill>
          </c:spPr>
          <c:invertIfNegative val="0"/>
          <c:dLbls>
            <c:spPr>
              <a:noFill/>
              <a:ln>
                <a:noFill/>
              </a:ln>
              <a:effectLst/>
            </c:spPr>
            <c:txPr>
              <a:bodyPr rot="-5400000" vert="horz"/>
              <a:lstStyle/>
              <a:p>
                <a:pPr>
                  <a:defRPr lang="en-IN"/>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'F11'!$A$9:$A$20</c:f>
              <c:numCache>
                <c:formatCode>[$-409]mmm\-yy;@</c:formatCode>
                <c:ptCount val="12"/>
                <c:pt idx="0">
                  <c:v>43163</c:v>
                </c:pt>
                <c:pt idx="1">
                  <c:v>43220</c:v>
                </c:pt>
                <c:pt idx="2">
                  <c:v>43221</c:v>
                </c:pt>
                <c:pt idx="3">
                  <c:v>43252</c:v>
                </c:pt>
                <c:pt idx="4">
                  <c:v>43282</c:v>
                </c:pt>
                <c:pt idx="5">
                  <c:v>43313</c:v>
                </c:pt>
                <c:pt idx="6">
                  <c:v>43344</c:v>
                </c:pt>
                <c:pt idx="7">
                  <c:v>43374</c:v>
                </c:pt>
                <c:pt idx="8">
                  <c:v>43405</c:v>
                </c:pt>
                <c:pt idx="9">
                  <c:v>43435</c:v>
                </c:pt>
                <c:pt idx="10">
                  <c:v>43466</c:v>
                </c:pt>
                <c:pt idx="11">
                  <c:v>43497</c:v>
                </c:pt>
              </c:numCache>
            </c:numRef>
          </c:cat>
          <c:val>
            <c:numRef>
              <c:f>'F11'!$C$9:$C$20</c:f>
              <c:numCache>
                <c:formatCode>_(* #,##0_);_(* \(#,##0\);_(* "-"??_);_(@_)</c:formatCode>
                <c:ptCount val="12"/>
                <c:pt idx="0">
                  <c:v>136590.73000000001</c:v>
                </c:pt>
                <c:pt idx="1">
                  <c:v>113974.59</c:v>
                </c:pt>
                <c:pt idx="2">
                  <c:v>96401.97</c:v>
                </c:pt>
                <c:pt idx="3">
                  <c:v>103335.67</c:v>
                </c:pt>
                <c:pt idx="4">
                  <c:v>91539.73</c:v>
                </c:pt>
                <c:pt idx="5">
                  <c:v>92454.69</c:v>
                </c:pt>
                <c:pt idx="6">
                  <c:v>85624</c:v>
                </c:pt>
                <c:pt idx="7">
                  <c:v>85078.91</c:v>
                </c:pt>
                <c:pt idx="8">
                  <c:v>82928.38</c:v>
                </c:pt>
                <c:pt idx="9">
                  <c:v>123701.67</c:v>
                </c:pt>
                <c:pt idx="10">
                  <c:v>109125.49</c:v>
                </c:pt>
                <c:pt idx="11">
                  <c:v>82490.67</c:v>
                </c:pt>
              </c:numCache>
            </c:numRef>
          </c:val>
        </c:ser>
        <c:dLbls>
          <c:showLegendKey val="0"/>
          <c:showVal val="0"/>
          <c:showCatName val="0"/>
          <c:showSerName val="0"/>
          <c:showPercent val="0"/>
          <c:showBubbleSize val="0"/>
        </c:dLbls>
        <c:gapWidth val="150"/>
        <c:axId val="498602176"/>
        <c:axId val="498596688"/>
      </c:barChart>
      <c:dateAx>
        <c:axId val="498602176"/>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498596688"/>
        <c:crosses val="autoZero"/>
        <c:auto val="1"/>
        <c:lblOffset val="100"/>
        <c:baseTimeUnit val="months"/>
      </c:dateAx>
      <c:valAx>
        <c:axId val="498596688"/>
        <c:scaling>
          <c:orientation val="minMax"/>
        </c:scaling>
        <c:delete val="1"/>
        <c:axPos val="l"/>
        <c:numFmt formatCode="_(* #,##0_);_(* \(#,##0\);_(* &quot;-&quot;??_);_(@_)" sourceLinked="1"/>
        <c:majorTickMark val="out"/>
        <c:minorTickMark val="none"/>
        <c:tickLblPos val="none"/>
        <c:crossAx val="498602176"/>
        <c:crosses val="autoZero"/>
        <c:crossBetween val="between"/>
      </c:valAx>
    </c:plotArea>
    <c:legend>
      <c:legendPos val="b"/>
      <c:layout>
        <c:manualLayout>
          <c:xMode val="edge"/>
          <c:yMode val="edge"/>
          <c:x val="0.41481370554218189"/>
          <c:y val="0.9144460100382189"/>
          <c:w val="0.15087916840112744"/>
          <c:h val="6.8697515018857125E-2"/>
        </c:manualLayout>
      </c:layout>
      <c:overlay val="0"/>
      <c:spPr>
        <a:ln w="3175">
          <a:solidFill>
            <a:srgbClr val="F79646">
              <a:lumMod val="50000"/>
            </a:srgb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0049422852158805E-2"/>
          <c:y val="1.7634166896961276E-2"/>
          <c:w val="0.89820213633835411"/>
          <c:h val="0.72346847964893901"/>
        </c:manualLayout>
      </c:layout>
      <c:barChart>
        <c:barDir val="col"/>
        <c:grouping val="clustered"/>
        <c:varyColors val="0"/>
        <c:ser>
          <c:idx val="0"/>
          <c:order val="0"/>
          <c:tx>
            <c:strRef>
              <c:f>'F12'!$B$2</c:f>
              <c:strCache>
                <c:ptCount val="1"/>
                <c:pt idx="0">
                  <c:v>Equity</c:v>
                </c:pt>
              </c:strCache>
            </c:strRef>
          </c:tx>
          <c:spPr>
            <a:solidFill>
              <a:schemeClr val="accent4">
                <a:lumMod val="75000"/>
              </a:schemeClr>
            </a:solidFill>
          </c:spPr>
          <c:invertIfNegative val="0"/>
          <c:cat>
            <c:numRef>
              <c:f>'F12'!$A$9:$A$20</c:f>
              <c:numCache>
                <c:formatCode>[$-409]mmm\-yy;@</c:formatCode>
                <c:ptCount val="12"/>
                <c:pt idx="0">
                  <c:v>43160</c:v>
                </c:pt>
                <c:pt idx="1">
                  <c:v>43220</c:v>
                </c:pt>
                <c:pt idx="2">
                  <c:v>43221</c:v>
                </c:pt>
                <c:pt idx="3">
                  <c:v>43252</c:v>
                </c:pt>
                <c:pt idx="4">
                  <c:v>43282</c:v>
                </c:pt>
                <c:pt idx="5">
                  <c:v>43313</c:v>
                </c:pt>
                <c:pt idx="6">
                  <c:v>43344</c:v>
                </c:pt>
                <c:pt idx="7">
                  <c:v>43374</c:v>
                </c:pt>
                <c:pt idx="8">
                  <c:v>43405</c:v>
                </c:pt>
                <c:pt idx="9">
                  <c:v>43435</c:v>
                </c:pt>
                <c:pt idx="10">
                  <c:v>43466</c:v>
                </c:pt>
                <c:pt idx="11">
                  <c:v>43497</c:v>
                </c:pt>
              </c:numCache>
            </c:numRef>
          </c:cat>
          <c:val>
            <c:numRef>
              <c:f>'F12'!$B$9:$B$20</c:f>
              <c:numCache>
                <c:formatCode>[&gt;9999999]##\,##\,##\,##0;[&gt;99999]##\,##\,##0;##,##0</c:formatCode>
                <c:ptCount val="12"/>
                <c:pt idx="0">
                  <c:v>9255.51</c:v>
                </c:pt>
                <c:pt idx="1">
                  <c:v>11293.46</c:v>
                </c:pt>
                <c:pt idx="2">
                  <c:v>13618.82</c:v>
                </c:pt>
                <c:pt idx="3">
                  <c:v>9231.2800000000007</c:v>
                </c:pt>
                <c:pt idx="4">
                  <c:v>3995.02</c:v>
                </c:pt>
                <c:pt idx="5">
                  <c:v>4094.53</c:v>
                </c:pt>
                <c:pt idx="6">
                  <c:v>11638.18</c:v>
                </c:pt>
                <c:pt idx="7">
                  <c:v>24047.32</c:v>
                </c:pt>
                <c:pt idx="8">
                  <c:v>5236.4799999999996</c:v>
                </c:pt>
                <c:pt idx="9">
                  <c:v>2918.97</c:v>
                </c:pt>
                <c:pt idx="10">
                  <c:v>7160.61</c:v>
                </c:pt>
                <c:pt idx="11">
                  <c:v>2173.61</c:v>
                </c:pt>
              </c:numCache>
            </c:numRef>
          </c:val>
        </c:ser>
        <c:ser>
          <c:idx val="1"/>
          <c:order val="1"/>
          <c:tx>
            <c:strRef>
              <c:f>'F12'!$C$2</c:f>
              <c:strCache>
                <c:ptCount val="1"/>
                <c:pt idx="0">
                  <c:v>Debt</c:v>
                </c:pt>
              </c:strCache>
            </c:strRef>
          </c:tx>
          <c:invertIfNegative val="0"/>
          <c:cat>
            <c:numRef>
              <c:f>'F12'!$A$9:$A$20</c:f>
              <c:numCache>
                <c:formatCode>[$-409]mmm\-yy;@</c:formatCode>
                <c:ptCount val="12"/>
                <c:pt idx="0">
                  <c:v>43160</c:v>
                </c:pt>
                <c:pt idx="1">
                  <c:v>43220</c:v>
                </c:pt>
                <c:pt idx="2">
                  <c:v>43221</c:v>
                </c:pt>
                <c:pt idx="3">
                  <c:v>43252</c:v>
                </c:pt>
                <c:pt idx="4">
                  <c:v>43282</c:v>
                </c:pt>
                <c:pt idx="5">
                  <c:v>43313</c:v>
                </c:pt>
                <c:pt idx="6">
                  <c:v>43344</c:v>
                </c:pt>
                <c:pt idx="7">
                  <c:v>43374</c:v>
                </c:pt>
                <c:pt idx="8">
                  <c:v>43405</c:v>
                </c:pt>
                <c:pt idx="9">
                  <c:v>43435</c:v>
                </c:pt>
                <c:pt idx="10">
                  <c:v>43466</c:v>
                </c:pt>
                <c:pt idx="11">
                  <c:v>43497</c:v>
                </c:pt>
              </c:numCache>
            </c:numRef>
          </c:cat>
          <c:val>
            <c:numRef>
              <c:f>'F12'!$C$9:$C$20</c:f>
              <c:numCache>
                <c:formatCode>[&gt;9999999]##\,##\,##\,##0;[&gt;99999]##\,##\,##0;##,##0</c:formatCode>
                <c:ptCount val="12"/>
                <c:pt idx="0">
                  <c:v>37977.51</c:v>
                </c:pt>
                <c:pt idx="1">
                  <c:v>20164.82</c:v>
                </c:pt>
                <c:pt idx="2">
                  <c:v>-14085.55</c:v>
                </c:pt>
                <c:pt idx="3">
                  <c:v>39845.22</c:v>
                </c:pt>
                <c:pt idx="4">
                  <c:v>-3635.21</c:v>
                </c:pt>
                <c:pt idx="5">
                  <c:v>35744.36</c:v>
                </c:pt>
                <c:pt idx="6">
                  <c:v>18686.48</c:v>
                </c:pt>
                <c:pt idx="7">
                  <c:v>27364.51</c:v>
                </c:pt>
                <c:pt idx="8">
                  <c:v>51392.57</c:v>
                </c:pt>
                <c:pt idx="9">
                  <c:v>65235</c:v>
                </c:pt>
                <c:pt idx="10">
                  <c:v>47151.94</c:v>
                </c:pt>
                <c:pt idx="11">
                  <c:v>26450.21</c:v>
                </c:pt>
              </c:numCache>
            </c:numRef>
          </c:val>
        </c:ser>
        <c:dLbls>
          <c:showLegendKey val="0"/>
          <c:showVal val="0"/>
          <c:showCatName val="0"/>
          <c:showSerName val="0"/>
          <c:showPercent val="0"/>
          <c:showBubbleSize val="0"/>
        </c:dLbls>
        <c:gapWidth val="150"/>
        <c:axId val="498593944"/>
        <c:axId val="498595904"/>
      </c:barChart>
      <c:lineChart>
        <c:grouping val="standard"/>
        <c:varyColors val="0"/>
        <c:ser>
          <c:idx val="2"/>
          <c:order val="2"/>
          <c:tx>
            <c:strRef>
              <c:f>'F12'!$D$2</c:f>
              <c:strCache>
                <c:ptCount val="1"/>
                <c:pt idx="0">
                  <c:v>Total</c:v>
                </c:pt>
              </c:strCache>
            </c:strRef>
          </c:tx>
          <c:marker>
            <c:symbol val="diamond"/>
            <c:size val="4"/>
            <c:spPr>
              <a:solidFill>
                <a:schemeClr val="tx2"/>
              </a:solidFill>
              <a:ln cap="sq">
                <a:solidFill>
                  <a:schemeClr val="tx2"/>
                </a:solidFill>
                <a:bevel/>
                <a:headEnd type="diamond"/>
              </a:ln>
            </c:spPr>
          </c:marker>
          <c:cat>
            <c:numRef>
              <c:f>'F12'!$A$9:$A$20</c:f>
              <c:numCache>
                <c:formatCode>[$-409]mmm\-yy;@</c:formatCode>
                <c:ptCount val="12"/>
                <c:pt idx="0">
                  <c:v>43160</c:v>
                </c:pt>
                <c:pt idx="1">
                  <c:v>43220</c:v>
                </c:pt>
                <c:pt idx="2">
                  <c:v>43221</c:v>
                </c:pt>
                <c:pt idx="3">
                  <c:v>43252</c:v>
                </c:pt>
                <c:pt idx="4">
                  <c:v>43282</c:v>
                </c:pt>
                <c:pt idx="5">
                  <c:v>43313</c:v>
                </c:pt>
                <c:pt idx="6">
                  <c:v>43344</c:v>
                </c:pt>
                <c:pt idx="7">
                  <c:v>43374</c:v>
                </c:pt>
                <c:pt idx="8">
                  <c:v>43405</c:v>
                </c:pt>
                <c:pt idx="9">
                  <c:v>43435</c:v>
                </c:pt>
                <c:pt idx="10">
                  <c:v>43466</c:v>
                </c:pt>
                <c:pt idx="11">
                  <c:v>43497</c:v>
                </c:pt>
              </c:numCache>
            </c:numRef>
          </c:cat>
          <c:val>
            <c:numRef>
              <c:f>'F12'!$D$9:$D$20</c:f>
              <c:numCache>
                <c:formatCode>[&gt;9999999]##\,##\,##\,##0;[&gt;99999]##\,##\,##0;##,##0</c:formatCode>
                <c:ptCount val="12"/>
                <c:pt idx="0">
                  <c:v>47233.020000000004</c:v>
                </c:pt>
                <c:pt idx="1">
                  <c:v>31458.28</c:v>
                </c:pt>
                <c:pt idx="2">
                  <c:v>-466.72999999999956</c:v>
                </c:pt>
                <c:pt idx="3">
                  <c:v>49076.5</c:v>
                </c:pt>
                <c:pt idx="4">
                  <c:v>359.80999999999995</c:v>
                </c:pt>
                <c:pt idx="5">
                  <c:v>39838.89</c:v>
                </c:pt>
                <c:pt idx="6">
                  <c:v>30324.66</c:v>
                </c:pt>
                <c:pt idx="7">
                  <c:v>51411.83</c:v>
                </c:pt>
                <c:pt idx="8">
                  <c:v>56629.05</c:v>
                </c:pt>
                <c:pt idx="9">
                  <c:v>68153.97</c:v>
                </c:pt>
                <c:pt idx="10">
                  <c:v>54312.55</c:v>
                </c:pt>
                <c:pt idx="11">
                  <c:v>28623.82</c:v>
                </c:pt>
              </c:numCache>
            </c:numRef>
          </c:val>
          <c:smooth val="0"/>
        </c:ser>
        <c:dLbls>
          <c:showLegendKey val="0"/>
          <c:showVal val="0"/>
          <c:showCatName val="0"/>
          <c:showSerName val="0"/>
          <c:showPercent val="0"/>
          <c:showBubbleSize val="0"/>
        </c:dLbls>
        <c:marker val="1"/>
        <c:smooth val="0"/>
        <c:axId val="498593944"/>
        <c:axId val="498595904"/>
      </c:lineChart>
      <c:catAx>
        <c:axId val="498593944"/>
        <c:scaling>
          <c:orientation val="minMax"/>
        </c:scaling>
        <c:delete val="0"/>
        <c:axPos val="b"/>
        <c:numFmt formatCode="[$-409]mmm\-yy;@" sourceLinked="1"/>
        <c:majorTickMark val="none"/>
        <c:minorTickMark val="none"/>
        <c:tickLblPos val="low"/>
        <c:txPr>
          <a:bodyPr rot="-5400000" vert="horz" anchor="ctr" anchorCtr="0"/>
          <a:lstStyle/>
          <a:p>
            <a:pPr>
              <a:defRPr lang="en-IN"/>
            </a:pPr>
            <a:endParaRPr lang="en-US"/>
          </a:p>
        </c:txPr>
        <c:crossAx val="498595904"/>
        <c:crosses val="autoZero"/>
        <c:auto val="0"/>
        <c:lblAlgn val="ctr"/>
        <c:lblOffset val="1"/>
        <c:noMultiLvlLbl val="0"/>
      </c:catAx>
      <c:valAx>
        <c:axId val="498595904"/>
        <c:scaling>
          <c:orientation val="minMax"/>
        </c:scaling>
        <c:delete val="0"/>
        <c:axPos val="l"/>
        <c:numFmt formatCode="[&gt;9999999]##\,##\,##\,##0;[&gt;99999]##\,##\,##0;##,##0" sourceLinked="1"/>
        <c:majorTickMark val="out"/>
        <c:minorTickMark val="none"/>
        <c:tickLblPos val="nextTo"/>
        <c:crossAx val="498593944"/>
        <c:crosses val="autoZero"/>
        <c:crossBetween val="between"/>
      </c:valAx>
    </c:plotArea>
    <c:legend>
      <c:legendPos val="b"/>
      <c:layout>
        <c:manualLayout>
          <c:xMode val="edge"/>
          <c:yMode val="edge"/>
          <c:x val="0.33867459868601063"/>
          <c:y val="0.89266853845790795"/>
          <c:w val="0.40687883116570267"/>
          <c:h val="6.9774466716542874E-2"/>
        </c:manualLayout>
      </c:layout>
      <c:overlay val="0"/>
      <c:spPr>
        <a:noFill/>
        <a:ln w="3175">
          <a:noFill/>
        </a:ln>
      </c:spPr>
      <c:txPr>
        <a:bodyPr/>
        <a:lstStyle/>
        <a:p>
          <a:pPr>
            <a:defRPr lang="en-IN"/>
          </a:pPr>
          <a:endParaRPr lang="en-US"/>
        </a:p>
      </c:txPr>
    </c:legend>
    <c:plotVisOnly val="1"/>
    <c:dispBlanksAs val="gap"/>
    <c:showDLblsOverMax val="0"/>
  </c:chart>
  <c:spPr>
    <a:solidFill>
      <a:schemeClr val="bg1"/>
    </a:solidFill>
    <a:ln w="3175">
      <a:solidFill>
        <a:schemeClr val="accent6"/>
      </a:solidFill>
    </a:ln>
  </c:spPr>
  <c:txPr>
    <a:bodyPr/>
    <a:lstStyle/>
    <a:p>
      <a:pPr>
        <a:defRPr sz="900" b="1" i="0" baseline="0">
          <a:latin typeface="Garamond" pitchFamily="18" charset="0"/>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 13'!$B$3</c:f>
              <c:strCache>
                <c:ptCount val="1"/>
                <c:pt idx="0">
                  <c:v>Equity (LHS)</c:v>
                </c:pt>
              </c:strCache>
            </c:strRef>
          </c:tx>
          <c:spPr>
            <a:solidFill>
              <a:schemeClr val="accent1"/>
            </a:solidFill>
            <a:ln>
              <a:noFill/>
            </a:ln>
            <a:effectLst/>
          </c:spPr>
          <c:invertIfNegative val="0"/>
          <c:cat>
            <c:numRef>
              <c:f>'F 13'!$A$10:$A$21</c:f>
              <c:numCache>
                <c:formatCode>[$-409]mmm\-yy;@</c:formatCode>
                <c:ptCount val="12"/>
                <c:pt idx="0">
                  <c:v>43163</c:v>
                </c:pt>
                <c:pt idx="1">
                  <c:v>43220</c:v>
                </c:pt>
                <c:pt idx="2">
                  <c:v>43221</c:v>
                </c:pt>
                <c:pt idx="3">
                  <c:v>43252</c:v>
                </c:pt>
                <c:pt idx="4">
                  <c:v>43282</c:v>
                </c:pt>
                <c:pt idx="5">
                  <c:v>43313</c:v>
                </c:pt>
                <c:pt idx="6">
                  <c:v>43344</c:v>
                </c:pt>
                <c:pt idx="7">
                  <c:v>43374</c:v>
                </c:pt>
                <c:pt idx="8">
                  <c:v>43405</c:v>
                </c:pt>
                <c:pt idx="9">
                  <c:v>43435</c:v>
                </c:pt>
                <c:pt idx="10">
                  <c:v>43466</c:v>
                </c:pt>
                <c:pt idx="11">
                  <c:v>43497</c:v>
                </c:pt>
              </c:numCache>
            </c:numRef>
          </c:cat>
          <c:val>
            <c:numRef>
              <c:f>'F 13'!$B$10:$B$21</c:f>
              <c:numCache>
                <c:formatCode>#,##0</c:formatCode>
                <c:ptCount val="12"/>
                <c:pt idx="0">
                  <c:v>11654</c:v>
                </c:pt>
                <c:pt idx="1">
                  <c:v>-5552</c:v>
                </c:pt>
                <c:pt idx="2">
                  <c:v>-10060</c:v>
                </c:pt>
                <c:pt idx="3">
                  <c:v>-4831</c:v>
                </c:pt>
                <c:pt idx="4">
                  <c:v>2264</c:v>
                </c:pt>
                <c:pt idx="5">
                  <c:v>1775.41</c:v>
                </c:pt>
                <c:pt idx="6">
                  <c:v>-10824.7</c:v>
                </c:pt>
                <c:pt idx="7">
                  <c:v>-28921</c:v>
                </c:pt>
                <c:pt idx="8">
                  <c:v>5980.89</c:v>
                </c:pt>
                <c:pt idx="9">
                  <c:v>3143.22</c:v>
                </c:pt>
                <c:pt idx="10">
                  <c:v>-4262.01</c:v>
                </c:pt>
                <c:pt idx="11">
                  <c:v>17219.62</c:v>
                </c:pt>
              </c:numCache>
            </c:numRef>
          </c:val>
        </c:ser>
        <c:ser>
          <c:idx val="1"/>
          <c:order val="1"/>
          <c:tx>
            <c:strRef>
              <c:f>'F 13'!$C$3</c:f>
              <c:strCache>
                <c:ptCount val="1"/>
                <c:pt idx="0">
                  <c:v>Debt (LHS)</c:v>
                </c:pt>
              </c:strCache>
            </c:strRef>
          </c:tx>
          <c:spPr>
            <a:solidFill>
              <a:schemeClr val="accent2"/>
            </a:solidFill>
            <a:ln>
              <a:noFill/>
            </a:ln>
            <a:effectLst/>
          </c:spPr>
          <c:invertIfNegative val="0"/>
          <c:cat>
            <c:numRef>
              <c:f>'F 13'!$A$10:$A$21</c:f>
              <c:numCache>
                <c:formatCode>[$-409]mmm\-yy;@</c:formatCode>
                <c:ptCount val="12"/>
                <c:pt idx="0">
                  <c:v>43163</c:v>
                </c:pt>
                <c:pt idx="1">
                  <c:v>43220</c:v>
                </c:pt>
                <c:pt idx="2">
                  <c:v>43221</c:v>
                </c:pt>
                <c:pt idx="3">
                  <c:v>43252</c:v>
                </c:pt>
                <c:pt idx="4">
                  <c:v>43282</c:v>
                </c:pt>
                <c:pt idx="5">
                  <c:v>43313</c:v>
                </c:pt>
                <c:pt idx="6">
                  <c:v>43344</c:v>
                </c:pt>
                <c:pt idx="7">
                  <c:v>43374</c:v>
                </c:pt>
                <c:pt idx="8">
                  <c:v>43405</c:v>
                </c:pt>
                <c:pt idx="9">
                  <c:v>43435</c:v>
                </c:pt>
                <c:pt idx="10">
                  <c:v>43466</c:v>
                </c:pt>
                <c:pt idx="11">
                  <c:v>43497</c:v>
                </c:pt>
              </c:numCache>
            </c:numRef>
          </c:cat>
          <c:val>
            <c:numRef>
              <c:f>'F 13'!$C$10:$C$21</c:f>
              <c:numCache>
                <c:formatCode>#,##0</c:formatCode>
                <c:ptCount val="12"/>
                <c:pt idx="0">
                  <c:v>-9044</c:v>
                </c:pt>
                <c:pt idx="1">
                  <c:v>-10036</c:v>
                </c:pt>
                <c:pt idx="2">
                  <c:v>-19654</c:v>
                </c:pt>
                <c:pt idx="3">
                  <c:v>-10970</c:v>
                </c:pt>
                <c:pt idx="4">
                  <c:v>43</c:v>
                </c:pt>
                <c:pt idx="5">
                  <c:v>3414.07</c:v>
                </c:pt>
                <c:pt idx="6">
                  <c:v>10198.469999999999</c:v>
                </c:pt>
                <c:pt idx="7">
                  <c:v>-9978</c:v>
                </c:pt>
                <c:pt idx="8">
                  <c:v>5610.37</c:v>
                </c:pt>
                <c:pt idx="9">
                  <c:v>4748.63</c:v>
                </c:pt>
                <c:pt idx="10">
                  <c:v>-1300.72</c:v>
                </c:pt>
                <c:pt idx="11">
                  <c:v>6037.29</c:v>
                </c:pt>
              </c:numCache>
            </c:numRef>
          </c:val>
        </c:ser>
        <c:dLbls>
          <c:showLegendKey val="0"/>
          <c:showVal val="0"/>
          <c:showCatName val="0"/>
          <c:showSerName val="0"/>
          <c:showPercent val="0"/>
          <c:showBubbleSize val="0"/>
        </c:dLbls>
        <c:gapWidth val="219"/>
        <c:axId val="498607272"/>
        <c:axId val="498608056"/>
      </c:barChart>
      <c:barChart>
        <c:barDir val="col"/>
        <c:grouping val="clustered"/>
        <c:varyColors val="0"/>
        <c:ser>
          <c:idx val="2"/>
          <c:order val="2"/>
          <c:tx>
            <c:strRef>
              <c:f>'F 13'!$D$3</c:f>
              <c:strCache>
                <c:ptCount val="1"/>
                <c:pt idx="0">
                  <c:v>Hybrid (RHS)</c:v>
                </c:pt>
              </c:strCache>
            </c:strRef>
          </c:tx>
          <c:spPr>
            <a:solidFill>
              <a:schemeClr val="accent3"/>
            </a:solidFill>
            <a:ln>
              <a:noFill/>
            </a:ln>
            <a:effectLst/>
          </c:spPr>
          <c:invertIfNegative val="0"/>
          <c:cat>
            <c:numRef>
              <c:f>'F 13'!$A$10:$A$21</c:f>
              <c:numCache>
                <c:formatCode>[$-409]mmm\-yy;@</c:formatCode>
                <c:ptCount val="12"/>
                <c:pt idx="0">
                  <c:v>43163</c:v>
                </c:pt>
                <c:pt idx="1">
                  <c:v>43220</c:v>
                </c:pt>
                <c:pt idx="2">
                  <c:v>43221</c:v>
                </c:pt>
                <c:pt idx="3">
                  <c:v>43252</c:v>
                </c:pt>
                <c:pt idx="4">
                  <c:v>43282</c:v>
                </c:pt>
                <c:pt idx="5">
                  <c:v>43313</c:v>
                </c:pt>
                <c:pt idx="6">
                  <c:v>43344</c:v>
                </c:pt>
                <c:pt idx="7">
                  <c:v>43374</c:v>
                </c:pt>
                <c:pt idx="8">
                  <c:v>43405</c:v>
                </c:pt>
                <c:pt idx="9">
                  <c:v>43435</c:v>
                </c:pt>
                <c:pt idx="10">
                  <c:v>43466</c:v>
                </c:pt>
                <c:pt idx="11">
                  <c:v>43497</c:v>
                </c:pt>
              </c:numCache>
            </c:numRef>
          </c:cat>
          <c:val>
            <c:numRef>
              <c:f>'F 13'!$D$10:$D$21</c:f>
              <c:numCache>
                <c:formatCode>#,##0</c:formatCode>
                <c:ptCount val="12"/>
                <c:pt idx="0">
                  <c:v>51</c:v>
                </c:pt>
                <c:pt idx="1">
                  <c:v>26</c:v>
                </c:pt>
                <c:pt idx="2">
                  <c:v>-61</c:v>
                </c:pt>
                <c:pt idx="3">
                  <c:v>7</c:v>
                </c:pt>
                <c:pt idx="4">
                  <c:v>-43</c:v>
                </c:pt>
                <c:pt idx="5">
                  <c:v>-43.94</c:v>
                </c:pt>
                <c:pt idx="6">
                  <c:v>-11.37</c:v>
                </c:pt>
                <c:pt idx="7">
                  <c:v>-6</c:v>
                </c:pt>
                <c:pt idx="8">
                  <c:v>3.8</c:v>
                </c:pt>
                <c:pt idx="9">
                  <c:v>-2.66</c:v>
                </c:pt>
                <c:pt idx="10">
                  <c:v>6.51</c:v>
                </c:pt>
                <c:pt idx="11">
                  <c:v>870.56</c:v>
                </c:pt>
              </c:numCache>
            </c:numRef>
          </c:val>
        </c:ser>
        <c:dLbls>
          <c:showLegendKey val="0"/>
          <c:showVal val="0"/>
          <c:showCatName val="0"/>
          <c:showSerName val="0"/>
          <c:showPercent val="0"/>
          <c:showBubbleSize val="0"/>
        </c:dLbls>
        <c:gapWidth val="219"/>
        <c:axId val="498606880"/>
        <c:axId val="498605704"/>
      </c:barChart>
      <c:lineChart>
        <c:grouping val="standard"/>
        <c:varyColors val="0"/>
        <c:ser>
          <c:idx val="3"/>
          <c:order val="3"/>
          <c:tx>
            <c:strRef>
              <c:f>'F 13'!$E$3</c:f>
              <c:strCache>
                <c:ptCount val="1"/>
                <c:pt idx="0">
                  <c:v>Total (LHS)</c:v>
                </c:pt>
              </c:strCache>
            </c:strRef>
          </c:tx>
          <c:spPr>
            <a:ln w="28575" cap="rnd">
              <a:solidFill>
                <a:schemeClr val="accent4"/>
              </a:solidFill>
              <a:round/>
            </a:ln>
            <a:effectLst/>
          </c:spPr>
          <c:marker>
            <c:symbol val="none"/>
          </c:marker>
          <c:cat>
            <c:numRef>
              <c:f>'F 13'!$A$10:$A$21</c:f>
              <c:numCache>
                <c:formatCode>[$-409]mmm\-yy;@</c:formatCode>
                <c:ptCount val="12"/>
                <c:pt idx="0">
                  <c:v>43163</c:v>
                </c:pt>
                <c:pt idx="1">
                  <c:v>43220</c:v>
                </c:pt>
                <c:pt idx="2">
                  <c:v>43221</c:v>
                </c:pt>
                <c:pt idx="3">
                  <c:v>43252</c:v>
                </c:pt>
                <c:pt idx="4">
                  <c:v>43282</c:v>
                </c:pt>
                <c:pt idx="5">
                  <c:v>43313</c:v>
                </c:pt>
                <c:pt idx="6">
                  <c:v>43344</c:v>
                </c:pt>
                <c:pt idx="7">
                  <c:v>43374</c:v>
                </c:pt>
                <c:pt idx="8">
                  <c:v>43405</c:v>
                </c:pt>
                <c:pt idx="9">
                  <c:v>43435</c:v>
                </c:pt>
                <c:pt idx="10">
                  <c:v>43466</c:v>
                </c:pt>
                <c:pt idx="11">
                  <c:v>43497</c:v>
                </c:pt>
              </c:numCache>
            </c:numRef>
          </c:cat>
          <c:val>
            <c:numRef>
              <c:f>'F 13'!$E$10:$E$21</c:f>
              <c:numCache>
                <c:formatCode>#,##0</c:formatCode>
                <c:ptCount val="12"/>
                <c:pt idx="0">
                  <c:v>2661</c:v>
                </c:pt>
                <c:pt idx="1">
                  <c:v>-15561</c:v>
                </c:pt>
                <c:pt idx="2">
                  <c:v>-29776</c:v>
                </c:pt>
                <c:pt idx="3">
                  <c:v>-15795</c:v>
                </c:pt>
                <c:pt idx="4">
                  <c:v>2264</c:v>
                </c:pt>
                <c:pt idx="5">
                  <c:v>5145.5400000000009</c:v>
                </c:pt>
                <c:pt idx="6">
                  <c:v>-637.60000000000139</c:v>
                </c:pt>
                <c:pt idx="7">
                  <c:v>-38905</c:v>
                </c:pt>
                <c:pt idx="8">
                  <c:v>11595.06</c:v>
                </c:pt>
                <c:pt idx="9">
                  <c:v>7889.1900000000005</c:v>
                </c:pt>
                <c:pt idx="10">
                  <c:v>-5556.22</c:v>
                </c:pt>
                <c:pt idx="11">
                  <c:v>24127.47</c:v>
                </c:pt>
              </c:numCache>
            </c:numRef>
          </c:val>
          <c:smooth val="0"/>
        </c:ser>
        <c:dLbls>
          <c:showLegendKey val="0"/>
          <c:showVal val="0"/>
          <c:showCatName val="0"/>
          <c:showSerName val="0"/>
          <c:showPercent val="0"/>
          <c:showBubbleSize val="0"/>
        </c:dLbls>
        <c:marker val="1"/>
        <c:smooth val="0"/>
        <c:axId val="498607272"/>
        <c:axId val="498608056"/>
      </c:lineChart>
      <c:dateAx>
        <c:axId val="498607272"/>
        <c:scaling>
          <c:orientation val="minMax"/>
        </c:scaling>
        <c:delete val="0"/>
        <c:axPos val="b"/>
        <c:numFmt formatCode="[$-409]mmm\-yy;@" sourceLinked="1"/>
        <c:majorTickMark val="out"/>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98608056"/>
        <c:crosses val="autoZero"/>
        <c:auto val="1"/>
        <c:lblOffset val="100"/>
        <c:baseTimeUnit val="months"/>
      </c:dateAx>
      <c:valAx>
        <c:axId val="498608056"/>
        <c:scaling>
          <c:orientation val="minMax"/>
          <c:max val="30000"/>
          <c:min val="-4000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98607272"/>
        <c:crosses val="autoZero"/>
        <c:crossBetween val="between"/>
      </c:valAx>
      <c:valAx>
        <c:axId val="498605704"/>
        <c:scaling>
          <c:orientation val="minMax"/>
          <c:max val="300"/>
          <c:min val="-300"/>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98606880"/>
        <c:crosses val="max"/>
        <c:crossBetween val="between"/>
      </c:valAx>
      <c:dateAx>
        <c:axId val="498606880"/>
        <c:scaling>
          <c:orientation val="minMax"/>
        </c:scaling>
        <c:delete val="1"/>
        <c:axPos val="b"/>
        <c:numFmt formatCode="[$-409]mmm\-yy;@" sourceLinked="1"/>
        <c:majorTickMark val="out"/>
        <c:minorTickMark val="none"/>
        <c:tickLblPos val="nextTo"/>
        <c:crossAx val="498605704"/>
        <c:crossesAt val="0"/>
        <c:auto val="1"/>
        <c:lblOffset val="100"/>
        <c:baseTimeUnit val="days"/>
        <c:majorUnit val="1"/>
        <c:minorUnit val="1"/>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a:latin typeface="Palatino Linotype" panose="02040502050505030304" pitchFamily="18" charset="0"/>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740817191440212"/>
          <c:y val="3.7422004778294632E-2"/>
          <c:w val="0.80321091036782566"/>
          <c:h val="0.65934684744964323"/>
        </c:manualLayout>
      </c:layout>
      <c:barChart>
        <c:barDir val="col"/>
        <c:grouping val="clustered"/>
        <c:varyColors val="0"/>
        <c:ser>
          <c:idx val="0"/>
          <c:order val="0"/>
          <c:tx>
            <c:strRef>
              <c:f>'F14'!$D$5</c:f>
              <c:strCache>
                <c:ptCount val="1"/>
                <c:pt idx="0">
                  <c:v>Amount (Rs. crore) - (LHS)</c:v>
                </c:pt>
              </c:strCache>
            </c:strRef>
          </c:tx>
          <c:spPr>
            <a:solidFill>
              <a:schemeClr val="accent6">
                <a:lumMod val="75000"/>
              </a:schemeClr>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'F14'!$C$12:$C$23</c:f>
              <c:numCache>
                <c:formatCode>[$-409]mmm\-yy;@</c:formatCode>
                <c:ptCount val="12"/>
                <c:pt idx="0">
                  <c:v>43160</c:v>
                </c:pt>
                <c:pt idx="1">
                  <c:v>43220</c:v>
                </c:pt>
                <c:pt idx="2">
                  <c:v>43249</c:v>
                </c:pt>
                <c:pt idx="3">
                  <c:v>43280</c:v>
                </c:pt>
                <c:pt idx="4">
                  <c:v>43310</c:v>
                </c:pt>
                <c:pt idx="5">
                  <c:v>43341</c:v>
                </c:pt>
                <c:pt idx="6">
                  <c:v>43372</c:v>
                </c:pt>
                <c:pt idx="7">
                  <c:v>43402</c:v>
                </c:pt>
                <c:pt idx="8">
                  <c:v>43433</c:v>
                </c:pt>
                <c:pt idx="9">
                  <c:v>43463</c:v>
                </c:pt>
                <c:pt idx="10">
                  <c:v>43494</c:v>
                </c:pt>
                <c:pt idx="11">
                  <c:v>43524</c:v>
                </c:pt>
              </c:numCache>
            </c:numRef>
          </c:cat>
          <c:val>
            <c:numRef>
              <c:f>'F14'!$D$12:$D$23</c:f>
              <c:numCache>
                <c:formatCode>[&gt;=10000000]#.##\,##\,##0;[&gt;=100000]#.##\,##0;##,##0</c:formatCode>
                <c:ptCount val="12"/>
                <c:pt idx="0">
                  <c:v>9</c:v>
                </c:pt>
                <c:pt idx="1">
                  <c:v>1814.5900000000001</c:v>
                </c:pt>
                <c:pt idx="2">
                  <c:v>463.49</c:v>
                </c:pt>
                <c:pt idx="3">
                  <c:v>959.65</c:v>
                </c:pt>
                <c:pt idx="4">
                  <c:v>3714.2</c:v>
                </c:pt>
                <c:pt idx="5">
                  <c:v>2.23</c:v>
                </c:pt>
                <c:pt idx="6">
                  <c:v>1319</c:v>
                </c:pt>
                <c:pt idx="7">
                  <c:v>70.56</c:v>
                </c:pt>
                <c:pt idx="8">
                  <c:v>651</c:v>
                </c:pt>
                <c:pt idx="9">
                  <c:v>43</c:v>
                </c:pt>
                <c:pt idx="10">
                  <c:v>16479</c:v>
                </c:pt>
                <c:pt idx="11">
                  <c:v>3027.97</c:v>
                </c:pt>
              </c:numCache>
            </c:numRef>
          </c:val>
        </c:ser>
        <c:dLbls>
          <c:showLegendKey val="0"/>
          <c:showVal val="0"/>
          <c:showCatName val="0"/>
          <c:showSerName val="0"/>
          <c:showPercent val="0"/>
          <c:showBubbleSize val="0"/>
        </c:dLbls>
        <c:gapWidth val="219"/>
        <c:overlap val="-27"/>
        <c:axId val="498606488"/>
        <c:axId val="498607664"/>
      </c:barChart>
      <c:lineChart>
        <c:grouping val="standard"/>
        <c:varyColors val="0"/>
        <c:ser>
          <c:idx val="1"/>
          <c:order val="1"/>
          <c:tx>
            <c:strRef>
              <c:f>'F14'!$E$5</c:f>
              <c:strCache>
                <c:ptCount val="1"/>
                <c:pt idx="0">
                  <c:v>Number of Open Offers - (RHS)</c:v>
                </c:pt>
              </c:strCache>
            </c:strRef>
          </c:tx>
          <c:spPr>
            <a:ln w="28575" cap="rnd">
              <a:solidFill>
                <a:schemeClr val="tx2">
                  <a:lumMod val="60000"/>
                  <a:lumOff val="40000"/>
                </a:schemeClr>
              </a:solidFill>
              <a:round/>
            </a:ln>
            <a:effectLst/>
          </c:spPr>
          <c:marker>
            <c:symbol val="none"/>
          </c:marker>
          <c:cat>
            <c:numRef>
              <c:f>'F14'!$C$12:$C$23</c:f>
              <c:numCache>
                <c:formatCode>[$-409]mmm\-yy;@</c:formatCode>
                <c:ptCount val="12"/>
                <c:pt idx="0">
                  <c:v>43160</c:v>
                </c:pt>
                <c:pt idx="1">
                  <c:v>43220</c:v>
                </c:pt>
                <c:pt idx="2">
                  <c:v>43249</c:v>
                </c:pt>
                <c:pt idx="3">
                  <c:v>43280</c:v>
                </c:pt>
                <c:pt idx="4">
                  <c:v>43310</c:v>
                </c:pt>
                <c:pt idx="5">
                  <c:v>43341</c:v>
                </c:pt>
                <c:pt idx="6">
                  <c:v>43372</c:v>
                </c:pt>
                <c:pt idx="7">
                  <c:v>43402</c:v>
                </c:pt>
                <c:pt idx="8">
                  <c:v>43433</c:v>
                </c:pt>
                <c:pt idx="9">
                  <c:v>43463</c:v>
                </c:pt>
                <c:pt idx="10">
                  <c:v>43494</c:v>
                </c:pt>
                <c:pt idx="11">
                  <c:v>43524</c:v>
                </c:pt>
              </c:numCache>
            </c:numRef>
          </c:cat>
          <c:val>
            <c:numRef>
              <c:f>'F14'!$E$12:$E$23</c:f>
              <c:numCache>
                <c:formatCode>[&gt;=10000000]#.##\,##\,##0;[&gt;=100000]#.##\,##0;##,##0</c:formatCode>
                <c:ptCount val="12"/>
                <c:pt idx="0">
                  <c:v>4</c:v>
                </c:pt>
                <c:pt idx="1">
                  <c:v>15</c:v>
                </c:pt>
                <c:pt idx="2">
                  <c:v>8</c:v>
                </c:pt>
                <c:pt idx="3">
                  <c:v>9</c:v>
                </c:pt>
                <c:pt idx="4">
                  <c:v>7</c:v>
                </c:pt>
                <c:pt idx="5">
                  <c:v>1</c:v>
                </c:pt>
                <c:pt idx="6">
                  <c:v>3</c:v>
                </c:pt>
                <c:pt idx="7">
                  <c:v>2</c:v>
                </c:pt>
                <c:pt idx="8">
                  <c:v>4</c:v>
                </c:pt>
                <c:pt idx="9">
                  <c:v>9</c:v>
                </c:pt>
                <c:pt idx="10">
                  <c:v>6</c:v>
                </c:pt>
                <c:pt idx="11">
                  <c:v>5</c:v>
                </c:pt>
              </c:numCache>
            </c:numRef>
          </c:val>
          <c:smooth val="0"/>
        </c:ser>
        <c:dLbls>
          <c:showLegendKey val="0"/>
          <c:showVal val="0"/>
          <c:showCatName val="0"/>
          <c:showSerName val="0"/>
          <c:showPercent val="0"/>
          <c:showBubbleSize val="0"/>
        </c:dLbls>
        <c:marker val="1"/>
        <c:smooth val="0"/>
        <c:axId val="498605312"/>
        <c:axId val="498608448"/>
      </c:lineChart>
      <c:dateAx>
        <c:axId val="498606488"/>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98607664"/>
        <c:crosses val="autoZero"/>
        <c:auto val="1"/>
        <c:lblOffset val="100"/>
        <c:baseTimeUnit val="months"/>
      </c:dateAx>
      <c:valAx>
        <c:axId val="498607664"/>
        <c:scaling>
          <c:orientation val="minMax"/>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8606488"/>
        <c:crosses val="autoZero"/>
        <c:crossBetween val="between"/>
        <c:majorUnit val="1500"/>
      </c:valAx>
      <c:valAx>
        <c:axId val="498608448"/>
        <c:scaling>
          <c:orientation val="minMax"/>
        </c:scaling>
        <c:delete val="0"/>
        <c:axPos val="r"/>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8605312"/>
        <c:crosses val="max"/>
        <c:crossBetween val="between"/>
        <c:majorUnit val="4"/>
      </c:valAx>
      <c:dateAx>
        <c:axId val="498605312"/>
        <c:scaling>
          <c:orientation val="minMax"/>
        </c:scaling>
        <c:delete val="1"/>
        <c:axPos val="b"/>
        <c:numFmt formatCode="[$-409]mmm\-yy;@" sourceLinked="1"/>
        <c:majorTickMark val="out"/>
        <c:minorTickMark val="none"/>
        <c:tickLblPos val="nextTo"/>
        <c:crossAx val="498608448"/>
        <c:crosses val="autoZero"/>
        <c:auto val="1"/>
        <c:lblOffset val="100"/>
        <c:baseTimeUnit val="months"/>
      </c:dateAx>
      <c:spPr>
        <a:noFill/>
        <a:ln>
          <a:noFill/>
        </a:ln>
        <a:effectLst/>
      </c:spPr>
    </c:plotArea>
    <c:legend>
      <c:legendPos val="b"/>
      <c:layout>
        <c:manualLayout>
          <c:xMode val="edge"/>
          <c:yMode val="edge"/>
          <c:x val="0.14888375726965436"/>
          <c:y val="0.89565617690038934"/>
          <c:w val="0.64863884821305307"/>
          <c:h val="8.1683501323041627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dk1"/>
                </a:solidFill>
                <a:latin typeface="+mn-lt"/>
                <a:ea typeface="+mn-ea"/>
                <a:cs typeface="+mn-cs"/>
              </a:defRPr>
            </a:pPr>
            <a:r>
              <a:rPr lang="en-IN" sz="1200"/>
              <a:t>MCXCOMDEX and NCDEX DHAANYA INDICES</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dk1"/>
              </a:solidFill>
              <a:latin typeface="+mn-lt"/>
              <a:ea typeface="+mn-ea"/>
              <a:cs typeface="+mn-cs"/>
            </a:defRPr>
          </a:pPr>
          <a:endParaRPr lang="en-US"/>
        </a:p>
      </c:txPr>
    </c:title>
    <c:autoTitleDeleted val="0"/>
    <c:plotArea>
      <c:layout/>
      <c:lineChart>
        <c:grouping val="standard"/>
        <c:varyColors val="0"/>
        <c:ser>
          <c:idx val="0"/>
          <c:order val="0"/>
          <c:tx>
            <c:v>MCXCOMDEX</c:v>
          </c:tx>
          <c:spPr>
            <a:ln w="31750" cap="rnd">
              <a:solidFill>
                <a:schemeClr val="accent1"/>
              </a:solidFill>
              <a:round/>
            </a:ln>
            <a:effectLst>
              <a:outerShdw blurRad="40000" dist="23000" dir="5400000" rotWithShape="0">
                <a:srgbClr val="000000">
                  <a:alpha val="35000"/>
                </a:srgbClr>
              </a:outerShdw>
            </a:effectLst>
          </c:spPr>
          <c:marker>
            <c:symbol val="none"/>
          </c:marker>
          <c:cat>
            <c:numRef>
              <c:f>'MCX- NCDEX indices'!$A$300:$A$556</c:f>
              <c:numCache>
                <c:formatCode>[$-409]dd\-mmm\-yy;@</c:formatCode>
                <c:ptCount val="257"/>
                <c:pt idx="0">
                  <c:v>43160</c:v>
                </c:pt>
                <c:pt idx="1">
                  <c:v>43161</c:v>
                </c:pt>
                <c:pt idx="2">
                  <c:v>43164</c:v>
                </c:pt>
                <c:pt idx="3">
                  <c:v>43165</c:v>
                </c:pt>
                <c:pt idx="4">
                  <c:v>43166</c:v>
                </c:pt>
                <c:pt idx="5">
                  <c:v>43167</c:v>
                </c:pt>
                <c:pt idx="6">
                  <c:v>43168</c:v>
                </c:pt>
                <c:pt idx="7">
                  <c:v>43171</c:v>
                </c:pt>
                <c:pt idx="8">
                  <c:v>43172</c:v>
                </c:pt>
                <c:pt idx="9">
                  <c:v>43173</c:v>
                </c:pt>
                <c:pt idx="10">
                  <c:v>43174</c:v>
                </c:pt>
                <c:pt idx="11">
                  <c:v>43175</c:v>
                </c:pt>
                <c:pt idx="12">
                  <c:v>43178</c:v>
                </c:pt>
                <c:pt idx="13">
                  <c:v>43179</c:v>
                </c:pt>
                <c:pt idx="14">
                  <c:v>43180</c:v>
                </c:pt>
                <c:pt idx="15">
                  <c:v>43181</c:v>
                </c:pt>
                <c:pt idx="16">
                  <c:v>43182</c:v>
                </c:pt>
                <c:pt idx="17">
                  <c:v>43185</c:v>
                </c:pt>
                <c:pt idx="18">
                  <c:v>43186</c:v>
                </c:pt>
                <c:pt idx="19">
                  <c:v>43187</c:v>
                </c:pt>
                <c:pt idx="20">
                  <c:v>43188</c:v>
                </c:pt>
                <c:pt idx="21" formatCode="d\-mmm\-yy">
                  <c:v>43192</c:v>
                </c:pt>
                <c:pt idx="22" formatCode="d\-mmm\-yy">
                  <c:v>43193</c:v>
                </c:pt>
                <c:pt idx="23" formatCode="d\-mmm\-yy">
                  <c:v>43194</c:v>
                </c:pt>
                <c:pt idx="24" formatCode="d\-mmm\-yy">
                  <c:v>43195</c:v>
                </c:pt>
                <c:pt idx="25" formatCode="d\-mmm\-yy">
                  <c:v>43196</c:v>
                </c:pt>
                <c:pt idx="26" formatCode="d\-mmm\-yy">
                  <c:v>43199</c:v>
                </c:pt>
                <c:pt idx="27" formatCode="d\-mmm\-yy">
                  <c:v>43200</c:v>
                </c:pt>
                <c:pt idx="28" formatCode="d\-mmm\-yy">
                  <c:v>43201</c:v>
                </c:pt>
                <c:pt idx="29" formatCode="d\-mmm\-yy">
                  <c:v>43202</c:v>
                </c:pt>
                <c:pt idx="30" formatCode="d\-mmm\-yy">
                  <c:v>43203</c:v>
                </c:pt>
                <c:pt idx="31" formatCode="d\-mmm\-yy">
                  <c:v>43206</c:v>
                </c:pt>
                <c:pt idx="32" formatCode="d\-mmm\-yy">
                  <c:v>43207</c:v>
                </c:pt>
                <c:pt idx="33" formatCode="d\-mmm\-yy">
                  <c:v>43208</c:v>
                </c:pt>
                <c:pt idx="34" formatCode="d\-mmm\-yy">
                  <c:v>43209</c:v>
                </c:pt>
                <c:pt idx="35" formatCode="d\-mmm\-yy">
                  <c:v>43210</c:v>
                </c:pt>
                <c:pt idx="36" formatCode="d\-mmm\-yy">
                  <c:v>43213</c:v>
                </c:pt>
                <c:pt idx="37" formatCode="d\-mmm\-yy">
                  <c:v>43214</c:v>
                </c:pt>
                <c:pt idx="38" formatCode="d\-mmm\-yy">
                  <c:v>43215</c:v>
                </c:pt>
                <c:pt idx="39" formatCode="d\-mmm\-yy">
                  <c:v>43216</c:v>
                </c:pt>
                <c:pt idx="40" formatCode="d\-mmm\-yy">
                  <c:v>43217</c:v>
                </c:pt>
                <c:pt idx="41" formatCode="d\-mmm\-yy">
                  <c:v>43220</c:v>
                </c:pt>
                <c:pt idx="42" formatCode="d\-mmm\-yy">
                  <c:v>43221</c:v>
                </c:pt>
                <c:pt idx="43" formatCode="d\-mmm\-yy">
                  <c:v>43222</c:v>
                </c:pt>
                <c:pt idx="44" formatCode="d\-mmm\-yy">
                  <c:v>43223</c:v>
                </c:pt>
                <c:pt idx="45" formatCode="d\-mmm\-yy">
                  <c:v>43224</c:v>
                </c:pt>
                <c:pt idx="46" formatCode="d\-mmm\-yy">
                  <c:v>43227</c:v>
                </c:pt>
                <c:pt idx="47" formatCode="d\-mmm\-yy">
                  <c:v>43228</c:v>
                </c:pt>
                <c:pt idx="48" formatCode="d\-mmm\-yy">
                  <c:v>43229</c:v>
                </c:pt>
                <c:pt idx="49" formatCode="d\-mmm\-yy">
                  <c:v>43230</c:v>
                </c:pt>
                <c:pt idx="50" formatCode="d\-mmm\-yy">
                  <c:v>43231</c:v>
                </c:pt>
                <c:pt idx="51" formatCode="d\-mmm\-yy">
                  <c:v>43234</c:v>
                </c:pt>
                <c:pt idx="52" formatCode="d\-mmm\-yy">
                  <c:v>43235</c:v>
                </c:pt>
                <c:pt idx="53" formatCode="d\-mmm\-yy">
                  <c:v>43236</c:v>
                </c:pt>
                <c:pt idx="54" formatCode="d\-mmm\-yy">
                  <c:v>43237</c:v>
                </c:pt>
                <c:pt idx="55" formatCode="d\-mmm\-yy">
                  <c:v>43238</c:v>
                </c:pt>
                <c:pt idx="56" formatCode="d\-mmm\-yy">
                  <c:v>43241</c:v>
                </c:pt>
                <c:pt idx="57" formatCode="d\-mmm\-yy">
                  <c:v>43242</c:v>
                </c:pt>
                <c:pt idx="58" formatCode="d\-mmm\-yy">
                  <c:v>43243</c:v>
                </c:pt>
                <c:pt idx="59" formatCode="d\-mmm\-yy">
                  <c:v>43244</c:v>
                </c:pt>
                <c:pt idx="60" formatCode="d\-mmm\-yy">
                  <c:v>43245</c:v>
                </c:pt>
                <c:pt idx="61" formatCode="d\-mmm\-yy">
                  <c:v>43248</c:v>
                </c:pt>
                <c:pt idx="62" formatCode="d\-mmm\-yy">
                  <c:v>43249</c:v>
                </c:pt>
                <c:pt idx="63" formatCode="d\-mmm\-yy">
                  <c:v>43250</c:v>
                </c:pt>
                <c:pt idx="64" formatCode="d\-mmm\-yy">
                  <c:v>43251</c:v>
                </c:pt>
                <c:pt idx="65" formatCode="d\-mmm\-yy">
                  <c:v>43252</c:v>
                </c:pt>
                <c:pt idx="66" formatCode="d\-mmm\-yy">
                  <c:v>43255</c:v>
                </c:pt>
                <c:pt idx="67" formatCode="d\-mmm\-yy">
                  <c:v>43256</c:v>
                </c:pt>
                <c:pt idx="68" formatCode="d\-mmm\-yy">
                  <c:v>43257</c:v>
                </c:pt>
                <c:pt idx="69" formatCode="d\-mmm\-yy">
                  <c:v>43258</c:v>
                </c:pt>
                <c:pt idx="70" formatCode="d\-mmm\-yy">
                  <c:v>43259</c:v>
                </c:pt>
                <c:pt idx="71" formatCode="d\-mmm\-yy">
                  <c:v>43262</c:v>
                </c:pt>
                <c:pt idx="72" formatCode="d\-mmm\-yy">
                  <c:v>43263</c:v>
                </c:pt>
                <c:pt idx="73" formatCode="d\-mmm\-yy">
                  <c:v>43264</c:v>
                </c:pt>
                <c:pt idx="74" formatCode="d\-mmm\-yy">
                  <c:v>43265</c:v>
                </c:pt>
                <c:pt idx="75" formatCode="d\-mmm\-yy">
                  <c:v>43266</c:v>
                </c:pt>
                <c:pt idx="76" formatCode="d\-mmm\-yy">
                  <c:v>43269</c:v>
                </c:pt>
                <c:pt idx="77" formatCode="d\-mmm\-yy">
                  <c:v>43270</c:v>
                </c:pt>
                <c:pt idx="78" formatCode="d\-mmm\-yy">
                  <c:v>43271</c:v>
                </c:pt>
                <c:pt idx="79" formatCode="d\-mmm\-yy">
                  <c:v>43272</c:v>
                </c:pt>
                <c:pt idx="80" formatCode="d\-mmm\-yy">
                  <c:v>43273</c:v>
                </c:pt>
                <c:pt idx="81" formatCode="d\-mmm\-yy">
                  <c:v>43276</c:v>
                </c:pt>
                <c:pt idx="82" formatCode="d\-mmm\-yy">
                  <c:v>43277</c:v>
                </c:pt>
                <c:pt idx="83" formatCode="d\-mmm\-yy">
                  <c:v>43278</c:v>
                </c:pt>
                <c:pt idx="84" formatCode="d\-mmm\-yy">
                  <c:v>43279</c:v>
                </c:pt>
                <c:pt idx="85" formatCode="d\-mmm\-yy">
                  <c:v>43280</c:v>
                </c:pt>
                <c:pt idx="86" formatCode="d\-mmm\-yy">
                  <c:v>43283</c:v>
                </c:pt>
                <c:pt idx="87" formatCode="d\-mmm\-yy">
                  <c:v>43284</c:v>
                </c:pt>
                <c:pt idx="88" formatCode="d\-mmm\-yy">
                  <c:v>43285</c:v>
                </c:pt>
                <c:pt idx="89" formatCode="d\-mmm\-yy">
                  <c:v>43286</c:v>
                </c:pt>
                <c:pt idx="90" formatCode="d\-mmm\-yy">
                  <c:v>43287</c:v>
                </c:pt>
                <c:pt idx="91" formatCode="d\-mmm\-yy">
                  <c:v>43290</c:v>
                </c:pt>
                <c:pt idx="92" formatCode="d\-mmm\-yy">
                  <c:v>43291</c:v>
                </c:pt>
                <c:pt idx="93" formatCode="d\-mmm\-yy">
                  <c:v>43292</c:v>
                </c:pt>
                <c:pt idx="94" formatCode="d\-mmm\-yy">
                  <c:v>43293</c:v>
                </c:pt>
                <c:pt idx="95" formatCode="d\-mmm\-yy">
                  <c:v>43294</c:v>
                </c:pt>
                <c:pt idx="96" formatCode="d\-mmm\-yy">
                  <c:v>43297</c:v>
                </c:pt>
                <c:pt idx="97" formatCode="d\-mmm\-yy">
                  <c:v>43298</c:v>
                </c:pt>
                <c:pt idx="98" formatCode="d\-mmm\-yy">
                  <c:v>43299</c:v>
                </c:pt>
                <c:pt idx="99" formatCode="d\-mmm\-yy">
                  <c:v>43300</c:v>
                </c:pt>
                <c:pt idx="100" formatCode="d\-mmm\-yy">
                  <c:v>43301</c:v>
                </c:pt>
                <c:pt idx="101" formatCode="d\-mmm\-yy">
                  <c:v>43304</c:v>
                </c:pt>
                <c:pt idx="102" formatCode="d\-mmm\-yy">
                  <c:v>43305</c:v>
                </c:pt>
                <c:pt idx="103" formatCode="d\-mmm\-yy">
                  <c:v>43306</c:v>
                </c:pt>
                <c:pt idx="104" formatCode="d\-mmm\-yy">
                  <c:v>43307</c:v>
                </c:pt>
                <c:pt idx="105" formatCode="d\-mmm\-yy">
                  <c:v>43308</c:v>
                </c:pt>
                <c:pt idx="106" formatCode="d\-mmm\-yy">
                  <c:v>43311</c:v>
                </c:pt>
                <c:pt idx="107" formatCode="d\-mmm\-yy">
                  <c:v>43312</c:v>
                </c:pt>
                <c:pt idx="108" formatCode="d\-mmm\-yy">
                  <c:v>43313</c:v>
                </c:pt>
                <c:pt idx="109" formatCode="d\-mmm\-yy">
                  <c:v>43314</c:v>
                </c:pt>
                <c:pt idx="110" formatCode="d\-mmm\-yy">
                  <c:v>43315</c:v>
                </c:pt>
                <c:pt idx="111" formatCode="d\-mmm\-yy">
                  <c:v>43318</c:v>
                </c:pt>
                <c:pt idx="112" formatCode="d\-mmm\-yy">
                  <c:v>43319</c:v>
                </c:pt>
                <c:pt idx="113" formatCode="d\-mmm\-yy">
                  <c:v>43320</c:v>
                </c:pt>
                <c:pt idx="114" formatCode="d\-mmm\-yy">
                  <c:v>43321</c:v>
                </c:pt>
                <c:pt idx="115" formatCode="d\-mmm\-yy">
                  <c:v>43322</c:v>
                </c:pt>
                <c:pt idx="116" formatCode="d\-mmm\-yy">
                  <c:v>43325</c:v>
                </c:pt>
                <c:pt idx="117" formatCode="d\-mmm\-yy">
                  <c:v>43326</c:v>
                </c:pt>
                <c:pt idx="118" formatCode="d\-mmm\-yy">
                  <c:v>43328</c:v>
                </c:pt>
                <c:pt idx="119" formatCode="d\-mmm\-yy">
                  <c:v>43329</c:v>
                </c:pt>
                <c:pt idx="120" formatCode="d\-mmm\-yy">
                  <c:v>43332</c:v>
                </c:pt>
                <c:pt idx="121" formatCode="d\-mmm\-yy">
                  <c:v>43333</c:v>
                </c:pt>
                <c:pt idx="122" formatCode="d\-mmm\-yy">
                  <c:v>43334</c:v>
                </c:pt>
                <c:pt idx="123" formatCode="d\-mmm\-yy">
                  <c:v>43335</c:v>
                </c:pt>
                <c:pt idx="124" formatCode="d\-mmm\-yy">
                  <c:v>43336</c:v>
                </c:pt>
                <c:pt idx="125" formatCode="d\-mmm\-yy">
                  <c:v>43339</c:v>
                </c:pt>
                <c:pt idx="126" formatCode="d\-mmm\-yy">
                  <c:v>43340</c:v>
                </c:pt>
                <c:pt idx="127" formatCode="d\-mmm\-yy">
                  <c:v>43341</c:v>
                </c:pt>
                <c:pt idx="128" formatCode="d\-mmm\-yy">
                  <c:v>43342</c:v>
                </c:pt>
                <c:pt idx="129" formatCode="d\-mmm\-yy">
                  <c:v>43343</c:v>
                </c:pt>
                <c:pt idx="130" formatCode="d\-mmm\-yy">
                  <c:v>43346</c:v>
                </c:pt>
                <c:pt idx="131" formatCode="d\-mmm\-yy">
                  <c:v>43347</c:v>
                </c:pt>
                <c:pt idx="132" formatCode="d\-mmm\-yy">
                  <c:v>43348</c:v>
                </c:pt>
                <c:pt idx="133" formatCode="d\-mmm\-yy">
                  <c:v>43349</c:v>
                </c:pt>
                <c:pt idx="134" formatCode="d\-mmm\-yy">
                  <c:v>43350</c:v>
                </c:pt>
                <c:pt idx="135" formatCode="d\-mmm\-yy">
                  <c:v>43353</c:v>
                </c:pt>
                <c:pt idx="136" formatCode="d\-mmm\-yy">
                  <c:v>43354</c:v>
                </c:pt>
                <c:pt idx="137" formatCode="d\-mmm\-yy">
                  <c:v>43355</c:v>
                </c:pt>
                <c:pt idx="138" formatCode="d\-mmm\-yy">
                  <c:v>43356</c:v>
                </c:pt>
                <c:pt idx="139" formatCode="d\-mmm\-yy">
                  <c:v>43357</c:v>
                </c:pt>
                <c:pt idx="140" formatCode="d\-mmm\-yy">
                  <c:v>43360</c:v>
                </c:pt>
                <c:pt idx="141" formatCode="d\-mmm\-yy">
                  <c:v>43361</c:v>
                </c:pt>
                <c:pt idx="142" formatCode="d\-mmm\-yy">
                  <c:v>43362</c:v>
                </c:pt>
                <c:pt idx="143" formatCode="d\-mmm\-yy">
                  <c:v>43363</c:v>
                </c:pt>
                <c:pt idx="144" formatCode="d\-mmm\-yy">
                  <c:v>43364</c:v>
                </c:pt>
                <c:pt idx="145" formatCode="d\-mmm\-yy">
                  <c:v>43367</c:v>
                </c:pt>
                <c:pt idx="146" formatCode="d\-mmm\-yy">
                  <c:v>43368</c:v>
                </c:pt>
                <c:pt idx="147" formatCode="d\-mmm\-yy">
                  <c:v>43369</c:v>
                </c:pt>
                <c:pt idx="148" formatCode="d\-mmm\-yy">
                  <c:v>43370</c:v>
                </c:pt>
                <c:pt idx="149" formatCode="d\-mmm\-yy">
                  <c:v>43371</c:v>
                </c:pt>
                <c:pt idx="150" formatCode="d\-mmm\-yy">
                  <c:v>43374</c:v>
                </c:pt>
                <c:pt idx="151" formatCode="d\-mmm\-yy">
                  <c:v>43376</c:v>
                </c:pt>
                <c:pt idx="152" formatCode="d\-mmm\-yy">
                  <c:v>43377</c:v>
                </c:pt>
                <c:pt idx="153" formatCode="d\-mmm\-yy">
                  <c:v>43378</c:v>
                </c:pt>
                <c:pt idx="154" formatCode="d\-mmm\-yy">
                  <c:v>43381</c:v>
                </c:pt>
                <c:pt idx="155" formatCode="d\-mmm\-yy">
                  <c:v>43382</c:v>
                </c:pt>
                <c:pt idx="156" formatCode="d\-mmm\-yy">
                  <c:v>43383</c:v>
                </c:pt>
                <c:pt idx="157" formatCode="d\-mmm\-yy">
                  <c:v>43384</c:v>
                </c:pt>
                <c:pt idx="158" formatCode="d\-mmm\-yy">
                  <c:v>43385</c:v>
                </c:pt>
                <c:pt idx="159" formatCode="d\-mmm\-yy">
                  <c:v>43388</c:v>
                </c:pt>
                <c:pt idx="160" formatCode="d\-mmm\-yy">
                  <c:v>43389</c:v>
                </c:pt>
                <c:pt idx="161" formatCode="d\-mmm\-yy">
                  <c:v>43390</c:v>
                </c:pt>
                <c:pt idx="162" formatCode="d\-mmm\-yy">
                  <c:v>43391</c:v>
                </c:pt>
                <c:pt idx="163" formatCode="d\-mmm\-yy">
                  <c:v>43392</c:v>
                </c:pt>
                <c:pt idx="164" formatCode="d\-mmm\-yy">
                  <c:v>43395</c:v>
                </c:pt>
                <c:pt idx="165" formatCode="d\-mmm\-yy">
                  <c:v>43396</c:v>
                </c:pt>
                <c:pt idx="166" formatCode="d\-mmm\-yy">
                  <c:v>43397</c:v>
                </c:pt>
                <c:pt idx="167" formatCode="d\-mmm\-yy">
                  <c:v>43398</c:v>
                </c:pt>
                <c:pt idx="168" formatCode="d\-mmm\-yy">
                  <c:v>43399</c:v>
                </c:pt>
                <c:pt idx="169" formatCode="d\-mmm\-yy">
                  <c:v>43402</c:v>
                </c:pt>
                <c:pt idx="170" formatCode="d\-mmm\-yy">
                  <c:v>43403</c:v>
                </c:pt>
                <c:pt idx="171" formatCode="d\-mmm\-yy">
                  <c:v>43404</c:v>
                </c:pt>
                <c:pt idx="172" formatCode="d\-mmm\-yy">
                  <c:v>43405</c:v>
                </c:pt>
                <c:pt idx="173" formatCode="d\-mmm\-yy">
                  <c:v>43406</c:v>
                </c:pt>
                <c:pt idx="174" formatCode="d\-mmm\-yy">
                  <c:v>43409</c:v>
                </c:pt>
                <c:pt idx="175" formatCode="d\-mmm\-yy">
                  <c:v>43410</c:v>
                </c:pt>
                <c:pt idx="176" formatCode="d\-mmm\-yy">
                  <c:v>43411</c:v>
                </c:pt>
                <c:pt idx="177" formatCode="d\-mmm\-yy">
                  <c:v>43412</c:v>
                </c:pt>
                <c:pt idx="178" formatCode="d\-mmm\-yy">
                  <c:v>43413</c:v>
                </c:pt>
                <c:pt idx="179" formatCode="d\-mmm\-yy">
                  <c:v>43416</c:v>
                </c:pt>
                <c:pt idx="180" formatCode="d\-mmm\-yy">
                  <c:v>43417</c:v>
                </c:pt>
                <c:pt idx="181" formatCode="d\-mmm\-yy">
                  <c:v>43418</c:v>
                </c:pt>
                <c:pt idx="182" formatCode="d\-mmm\-yy">
                  <c:v>43419</c:v>
                </c:pt>
                <c:pt idx="183" formatCode="d\-mmm\-yy">
                  <c:v>43420</c:v>
                </c:pt>
                <c:pt idx="184" formatCode="d\-mmm\-yy">
                  <c:v>43423</c:v>
                </c:pt>
                <c:pt idx="185" formatCode="d\-mmm\-yy">
                  <c:v>43424</c:v>
                </c:pt>
                <c:pt idx="186" formatCode="d\-mmm\-yy">
                  <c:v>43425</c:v>
                </c:pt>
                <c:pt idx="187" formatCode="d\-mmm\-yy">
                  <c:v>43426</c:v>
                </c:pt>
                <c:pt idx="188" formatCode="d\-mmm\-yy">
                  <c:v>43427</c:v>
                </c:pt>
                <c:pt idx="189" formatCode="d\-mmm\-yy">
                  <c:v>43430</c:v>
                </c:pt>
                <c:pt idx="190" formatCode="d\-mmm\-yy">
                  <c:v>43431</c:v>
                </c:pt>
                <c:pt idx="191" formatCode="d\-mmm\-yy">
                  <c:v>43432</c:v>
                </c:pt>
                <c:pt idx="192" formatCode="d\-mmm\-yy">
                  <c:v>43433</c:v>
                </c:pt>
                <c:pt idx="193" formatCode="d\-mmm\-yy">
                  <c:v>43434</c:v>
                </c:pt>
                <c:pt idx="194" formatCode="d\-mmm\-yy">
                  <c:v>43437</c:v>
                </c:pt>
                <c:pt idx="195" formatCode="d\-mmm\-yy">
                  <c:v>43438</c:v>
                </c:pt>
                <c:pt idx="196" formatCode="d\-mmm\-yy">
                  <c:v>43439</c:v>
                </c:pt>
                <c:pt idx="197" formatCode="d\-mmm\-yy">
                  <c:v>43440</c:v>
                </c:pt>
                <c:pt idx="198" formatCode="d\-mmm\-yy">
                  <c:v>43441</c:v>
                </c:pt>
                <c:pt idx="199" formatCode="d\-mmm\-yy">
                  <c:v>43444</c:v>
                </c:pt>
                <c:pt idx="200" formatCode="d\-mmm\-yy">
                  <c:v>43445</c:v>
                </c:pt>
                <c:pt idx="201" formatCode="d\-mmm\-yy">
                  <c:v>43446</c:v>
                </c:pt>
                <c:pt idx="202" formatCode="d\-mmm\-yy">
                  <c:v>43447</c:v>
                </c:pt>
                <c:pt idx="203" formatCode="d\-mmm\-yy">
                  <c:v>43448</c:v>
                </c:pt>
                <c:pt idx="204" formatCode="d\-mmm\-yy">
                  <c:v>43451</c:v>
                </c:pt>
                <c:pt idx="205" formatCode="d\-mmm\-yy">
                  <c:v>43452</c:v>
                </c:pt>
                <c:pt idx="206" formatCode="d\-mmm\-yy">
                  <c:v>43453</c:v>
                </c:pt>
                <c:pt idx="207" formatCode="d\-mmm\-yy">
                  <c:v>43454</c:v>
                </c:pt>
                <c:pt idx="208" formatCode="d\-mmm\-yy">
                  <c:v>43455</c:v>
                </c:pt>
                <c:pt idx="209" formatCode="d\-mmm\-yy">
                  <c:v>43458</c:v>
                </c:pt>
                <c:pt idx="210" formatCode="d\-mmm\-yy">
                  <c:v>43460</c:v>
                </c:pt>
                <c:pt idx="211" formatCode="d\-mmm\-yy">
                  <c:v>43461</c:v>
                </c:pt>
                <c:pt idx="212" formatCode="d\-mmm\-yy">
                  <c:v>43462</c:v>
                </c:pt>
                <c:pt idx="213" formatCode="d\-mmm\-yy">
                  <c:v>43465</c:v>
                </c:pt>
                <c:pt idx="214" formatCode="d\-mmm\-yy">
                  <c:v>43466</c:v>
                </c:pt>
                <c:pt idx="215" formatCode="d\-mmm\-yy">
                  <c:v>43467</c:v>
                </c:pt>
                <c:pt idx="216" formatCode="d\-mmm\-yy">
                  <c:v>43468</c:v>
                </c:pt>
                <c:pt idx="217" formatCode="d\-mmm\-yy">
                  <c:v>43469</c:v>
                </c:pt>
                <c:pt idx="218" formatCode="d\-mmm\-yy">
                  <c:v>43472</c:v>
                </c:pt>
                <c:pt idx="219" formatCode="d\-mmm\-yy">
                  <c:v>43473</c:v>
                </c:pt>
                <c:pt idx="220" formatCode="d\-mmm\-yy">
                  <c:v>43474</c:v>
                </c:pt>
                <c:pt idx="221" formatCode="d\-mmm\-yy">
                  <c:v>43475</c:v>
                </c:pt>
                <c:pt idx="222" formatCode="d\-mmm\-yy">
                  <c:v>43476</c:v>
                </c:pt>
                <c:pt idx="223" formatCode="d\-mmm\-yy">
                  <c:v>43479</c:v>
                </c:pt>
                <c:pt idx="224" formatCode="d\-mmm\-yy">
                  <c:v>43480</c:v>
                </c:pt>
                <c:pt idx="225" formatCode="d\-mmm\-yy">
                  <c:v>43481</c:v>
                </c:pt>
                <c:pt idx="226" formatCode="d\-mmm\-yy">
                  <c:v>43482</c:v>
                </c:pt>
                <c:pt idx="227" formatCode="d\-mmm\-yy">
                  <c:v>43483</c:v>
                </c:pt>
                <c:pt idx="228" formatCode="d\-mmm\-yy">
                  <c:v>43486</c:v>
                </c:pt>
                <c:pt idx="229" formatCode="d\-mmm\-yy">
                  <c:v>43487</c:v>
                </c:pt>
                <c:pt idx="230" formatCode="d\-mmm\-yy">
                  <c:v>43488</c:v>
                </c:pt>
                <c:pt idx="231" formatCode="d\-mmm\-yy">
                  <c:v>43489</c:v>
                </c:pt>
                <c:pt idx="232" formatCode="d\-mmm\-yy">
                  <c:v>43490</c:v>
                </c:pt>
                <c:pt idx="233" formatCode="d\-mmm\-yy">
                  <c:v>43493</c:v>
                </c:pt>
                <c:pt idx="234" formatCode="d\-mmm\-yy">
                  <c:v>43494</c:v>
                </c:pt>
                <c:pt idx="235" formatCode="d\-mmm\-yy">
                  <c:v>43495</c:v>
                </c:pt>
                <c:pt idx="236" formatCode="d\-mmm\-yy">
                  <c:v>43496</c:v>
                </c:pt>
                <c:pt idx="237" formatCode="d\-mmm\-yy">
                  <c:v>43497</c:v>
                </c:pt>
                <c:pt idx="238" formatCode="d\-mmm\-yy">
                  <c:v>43500</c:v>
                </c:pt>
                <c:pt idx="239" formatCode="d\-mmm\-yy">
                  <c:v>43501</c:v>
                </c:pt>
                <c:pt idx="240" formatCode="d\-mmm\-yy">
                  <c:v>43502</c:v>
                </c:pt>
                <c:pt idx="241" formatCode="d\-mmm\-yy">
                  <c:v>43503</c:v>
                </c:pt>
                <c:pt idx="242" formatCode="d\-mmm\-yy">
                  <c:v>43504</c:v>
                </c:pt>
                <c:pt idx="243" formatCode="d\-mmm\-yy">
                  <c:v>43507</c:v>
                </c:pt>
                <c:pt idx="244" formatCode="d\-mmm\-yy">
                  <c:v>43508</c:v>
                </c:pt>
                <c:pt idx="245" formatCode="d\-mmm\-yy">
                  <c:v>43509</c:v>
                </c:pt>
                <c:pt idx="246" formatCode="d\-mmm\-yy">
                  <c:v>43510</c:v>
                </c:pt>
                <c:pt idx="247" formatCode="d\-mmm\-yy">
                  <c:v>43511</c:v>
                </c:pt>
                <c:pt idx="248" formatCode="d\-mmm\-yy">
                  <c:v>43514</c:v>
                </c:pt>
                <c:pt idx="249" formatCode="d\-mmm\-yy">
                  <c:v>43515</c:v>
                </c:pt>
                <c:pt idx="250" formatCode="d\-mmm\-yy">
                  <c:v>43516</c:v>
                </c:pt>
                <c:pt idx="251" formatCode="d\-mmm\-yy">
                  <c:v>43517</c:v>
                </c:pt>
                <c:pt idx="252" formatCode="d\-mmm\-yy">
                  <c:v>43518</c:v>
                </c:pt>
                <c:pt idx="253" formatCode="d\-mmm\-yy">
                  <c:v>43521</c:v>
                </c:pt>
                <c:pt idx="254" formatCode="d\-mmm\-yy">
                  <c:v>43522</c:v>
                </c:pt>
                <c:pt idx="255" formatCode="d\-mmm\-yy">
                  <c:v>43523</c:v>
                </c:pt>
                <c:pt idx="256" formatCode="d\-mmm\-yy">
                  <c:v>43524</c:v>
                </c:pt>
              </c:numCache>
            </c:numRef>
          </c:cat>
          <c:val>
            <c:numRef>
              <c:f>'MCX- NCDEX indices'!$B$300:$B$556</c:f>
              <c:numCache>
                <c:formatCode>0.00</c:formatCode>
                <c:ptCount val="257"/>
                <c:pt idx="0">
                  <c:v>3615.42</c:v>
                </c:pt>
                <c:pt idx="1">
                  <c:v>3635.18</c:v>
                </c:pt>
                <c:pt idx="2">
                  <c:v>3649.67</c:v>
                </c:pt>
                <c:pt idx="3">
                  <c:v>3662.74</c:v>
                </c:pt>
                <c:pt idx="4">
                  <c:v>3623.51</c:v>
                </c:pt>
                <c:pt idx="5">
                  <c:v>3609.32</c:v>
                </c:pt>
                <c:pt idx="6">
                  <c:v>3642.07</c:v>
                </c:pt>
                <c:pt idx="7">
                  <c:v>3615.16</c:v>
                </c:pt>
                <c:pt idx="8">
                  <c:v>3612.42</c:v>
                </c:pt>
                <c:pt idx="9">
                  <c:v>3610.48</c:v>
                </c:pt>
                <c:pt idx="10">
                  <c:v>3608.07</c:v>
                </c:pt>
                <c:pt idx="11">
                  <c:v>3621.32</c:v>
                </c:pt>
                <c:pt idx="12">
                  <c:v>3618.58</c:v>
                </c:pt>
                <c:pt idx="13">
                  <c:v>3630.31</c:v>
                </c:pt>
                <c:pt idx="14">
                  <c:v>3669.76</c:v>
                </c:pt>
                <c:pt idx="15">
                  <c:v>3645.96</c:v>
                </c:pt>
                <c:pt idx="16">
                  <c:v>3659.06</c:v>
                </c:pt>
                <c:pt idx="17">
                  <c:v>3659.8</c:v>
                </c:pt>
                <c:pt idx="18">
                  <c:v>3658.64</c:v>
                </c:pt>
                <c:pt idx="19">
                  <c:v>3646.51</c:v>
                </c:pt>
                <c:pt idx="20">
                  <c:v>3662.7</c:v>
                </c:pt>
                <c:pt idx="21">
                  <c:v>3659.66</c:v>
                </c:pt>
                <c:pt idx="22">
                  <c:v>3653.21</c:v>
                </c:pt>
                <c:pt idx="23">
                  <c:v>3631.96</c:v>
                </c:pt>
                <c:pt idx="24">
                  <c:v>3633.8</c:v>
                </c:pt>
                <c:pt idx="25">
                  <c:v>3622.01</c:v>
                </c:pt>
                <c:pt idx="26">
                  <c:v>3648.25</c:v>
                </c:pt>
                <c:pt idx="27">
                  <c:v>3701.21</c:v>
                </c:pt>
                <c:pt idx="28">
                  <c:v>3744.29</c:v>
                </c:pt>
                <c:pt idx="29">
                  <c:v>3721.57</c:v>
                </c:pt>
                <c:pt idx="30">
                  <c:v>3737.87</c:v>
                </c:pt>
                <c:pt idx="31">
                  <c:v>3754.85</c:v>
                </c:pt>
                <c:pt idx="32">
                  <c:v>3763.15</c:v>
                </c:pt>
                <c:pt idx="33">
                  <c:v>3840.38</c:v>
                </c:pt>
                <c:pt idx="34">
                  <c:v>3838.39</c:v>
                </c:pt>
                <c:pt idx="35">
                  <c:v>3841.13</c:v>
                </c:pt>
                <c:pt idx="36" formatCode="General">
                  <c:v>3824.92</c:v>
                </c:pt>
                <c:pt idx="37" formatCode="General">
                  <c:v>3808.99</c:v>
                </c:pt>
                <c:pt idx="38" formatCode="General">
                  <c:v>3831.58</c:v>
                </c:pt>
                <c:pt idx="39">
                  <c:v>3831.81</c:v>
                </c:pt>
                <c:pt idx="40">
                  <c:v>3797.5</c:v>
                </c:pt>
                <c:pt idx="41">
                  <c:v>3789.4</c:v>
                </c:pt>
                <c:pt idx="42">
                  <c:v>3764.42</c:v>
                </c:pt>
                <c:pt idx="43">
                  <c:v>3781.78</c:v>
                </c:pt>
                <c:pt idx="44">
                  <c:v>3782.7</c:v>
                </c:pt>
                <c:pt idx="45">
                  <c:v>3825.37</c:v>
                </c:pt>
                <c:pt idx="46">
                  <c:v>3863.87</c:v>
                </c:pt>
                <c:pt idx="47">
                  <c:v>3824.33</c:v>
                </c:pt>
                <c:pt idx="48">
                  <c:v>3877.59</c:v>
                </c:pt>
                <c:pt idx="49">
                  <c:v>3873.36</c:v>
                </c:pt>
                <c:pt idx="50">
                  <c:v>3891.11</c:v>
                </c:pt>
                <c:pt idx="51">
                  <c:v>3899.83</c:v>
                </c:pt>
                <c:pt idx="52">
                  <c:v>3911.61</c:v>
                </c:pt>
                <c:pt idx="53">
                  <c:v>3891.53</c:v>
                </c:pt>
                <c:pt idx="54">
                  <c:v>3903.22</c:v>
                </c:pt>
                <c:pt idx="55">
                  <c:v>3918.9</c:v>
                </c:pt>
                <c:pt idx="56">
                  <c:v>3945.53</c:v>
                </c:pt>
                <c:pt idx="57">
                  <c:v>3949.26</c:v>
                </c:pt>
                <c:pt idx="58">
                  <c:v>3946.54</c:v>
                </c:pt>
                <c:pt idx="59">
                  <c:v>3960.81</c:v>
                </c:pt>
                <c:pt idx="60">
                  <c:v>3870.9</c:v>
                </c:pt>
                <c:pt idx="61">
                  <c:v>3841.36</c:v>
                </c:pt>
                <c:pt idx="62">
                  <c:v>3868.55</c:v>
                </c:pt>
                <c:pt idx="63">
                  <c:v>3881.71</c:v>
                </c:pt>
                <c:pt idx="64">
                  <c:v>3860.6</c:v>
                </c:pt>
                <c:pt idx="65">
                  <c:v>3833.17</c:v>
                </c:pt>
                <c:pt idx="66">
                  <c:v>3825.58</c:v>
                </c:pt>
                <c:pt idx="67">
                  <c:v>3855.92</c:v>
                </c:pt>
                <c:pt idx="68">
                  <c:v>3845</c:v>
                </c:pt>
                <c:pt idx="69">
                  <c:v>3888.93</c:v>
                </c:pt>
                <c:pt idx="70">
                  <c:v>3897.68</c:v>
                </c:pt>
                <c:pt idx="71">
                  <c:v>3896.66</c:v>
                </c:pt>
                <c:pt idx="72">
                  <c:v>3892.03</c:v>
                </c:pt>
                <c:pt idx="73">
                  <c:v>3909.13</c:v>
                </c:pt>
                <c:pt idx="74">
                  <c:v>3914.61</c:v>
                </c:pt>
                <c:pt idx="75">
                  <c:v>3865.81</c:v>
                </c:pt>
                <c:pt idx="76">
                  <c:v>3858.2</c:v>
                </c:pt>
                <c:pt idx="77">
                  <c:v>3806.24</c:v>
                </c:pt>
                <c:pt idx="78">
                  <c:v>3829.18</c:v>
                </c:pt>
                <c:pt idx="79">
                  <c:v>3817.82</c:v>
                </c:pt>
                <c:pt idx="80">
                  <c:v>3863.57</c:v>
                </c:pt>
                <c:pt idx="81">
                  <c:v>3841.52</c:v>
                </c:pt>
                <c:pt idx="82">
                  <c:v>3884.11</c:v>
                </c:pt>
                <c:pt idx="83">
                  <c:v>3948</c:v>
                </c:pt>
                <c:pt idx="84">
                  <c:v>3939.25</c:v>
                </c:pt>
                <c:pt idx="85">
                  <c:v>3933.05</c:v>
                </c:pt>
                <c:pt idx="86">
                  <c:v>3914.57</c:v>
                </c:pt>
                <c:pt idx="87">
                  <c:v>3895.99</c:v>
                </c:pt>
                <c:pt idx="88">
                  <c:v>3892.8</c:v>
                </c:pt>
                <c:pt idx="89">
                  <c:v>3882.51</c:v>
                </c:pt>
                <c:pt idx="90">
                  <c:v>3883.88</c:v>
                </c:pt>
                <c:pt idx="91">
                  <c:v>3893.65</c:v>
                </c:pt>
                <c:pt idx="92">
                  <c:v>3888.99</c:v>
                </c:pt>
                <c:pt idx="93">
                  <c:v>3818.98</c:v>
                </c:pt>
                <c:pt idx="94">
                  <c:v>3799.16</c:v>
                </c:pt>
                <c:pt idx="95">
                  <c:v>3819.42</c:v>
                </c:pt>
                <c:pt idx="96">
                  <c:v>3746.56</c:v>
                </c:pt>
                <c:pt idx="97">
                  <c:v>3739.98</c:v>
                </c:pt>
                <c:pt idx="98">
                  <c:v>3760.05</c:v>
                </c:pt>
                <c:pt idx="99">
                  <c:v>3764.45</c:v>
                </c:pt>
                <c:pt idx="100" formatCode="General">
                  <c:v>3775.35</c:v>
                </c:pt>
                <c:pt idx="101" formatCode="General">
                  <c:v>3760.24</c:v>
                </c:pt>
                <c:pt idx="102" formatCode="General">
                  <c:v>3786.29</c:v>
                </c:pt>
                <c:pt idx="103" formatCode="General">
                  <c:v>3795.97</c:v>
                </c:pt>
                <c:pt idx="104" formatCode="General">
                  <c:v>3799.34</c:v>
                </c:pt>
                <c:pt idx="105" formatCode="General">
                  <c:v>3779.57</c:v>
                </c:pt>
                <c:pt idx="106" formatCode="General">
                  <c:v>3801.61</c:v>
                </c:pt>
                <c:pt idx="107" formatCode="General">
                  <c:v>3793.01</c:v>
                </c:pt>
                <c:pt idx="108" formatCode="General">
                  <c:v>3720.74</c:v>
                </c:pt>
                <c:pt idx="109" formatCode="General">
                  <c:v>3749.12</c:v>
                </c:pt>
                <c:pt idx="110" formatCode="General">
                  <c:v>3746.46</c:v>
                </c:pt>
                <c:pt idx="111" formatCode="General">
                  <c:v>3766.15</c:v>
                </c:pt>
                <c:pt idx="112" formatCode="General">
                  <c:v>3777.66</c:v>
                </c:pt>
                <c:pt idx="113" formatCode="General">
                  <c:v>3748.87</c:v>
                </c:pt>
                <c:pt idx="114" formatCode="General">
                  <c:v>3759.06</c:v>
                </c:pt>
                <c:pt idx="115" formatCode="General">
                  <c:v>3779.59</c:v>
                </c:pt>
                <c:pt idx="116" formatCode="General">
                  <c:v>3775.05</c:v>
                </c:pt>
                <c:pt idx="117" formatCode="General">
                  <c:v>3778.97</c:v>
                </c:pt>
                <c:pt idx="118" formatCode="General">
                  <c:v>3715.02</c:v>
                </c:pt>
                <c:pt idx="119" formatCode="General">
                  <c:v>3723.91</c:v>
                </c:pt>
                <c:pt idx="120" formatCode="General">
                  <c:v>3735.06</c:v>
                </c:pt>
                <c:pt idx="121" formatCode="General">
                  <c:v>3754.97</c:v>
                </c:pt>
                <c:pt idx="122" formatCode="General">
                  <c:v>3786.35</c:v>
                </c:pt>
                <c:pt idx="123" formatCode="General">
                  <c:v>3786.01</c:v>
                </c:pt>
                <c:pt idx="124" formatCode="General">
                  <c:v>3811.53</c:v>
                </c:pt>
                <c:pt idx="125" formatCode="General">
                  <c:v>3821.86</c:v>
                </c:pt>
                <c:pt idx="126" formatCode="General">
                  <c:v>3837.84</c:v>
                </c:pt>
                <c:pt idx="127" formatCode="General">
                  <c:v>3873.03</c:v>
                </c:pt>
                <c:pt idx="128" formatCode="General">
                  <c:v>3882.25</c:v>
                </c:pt>
                <c:pt idx="129">
                  <c:v>3859.13</c:v>
                </c:pt>
                <c:pt idx="130">
                  <c:v>3876.37</c:v>
                </c:pt>
                <c:pt idx="131">
                  <c:v>3847.83</c:v>
                </c:pt>
                <c:pt idx="132">
                  <c:v>3837.63</c:v>
                </c:pt>
                <c:pt idx="133">
                  <c:v>3841.4</c:v>
                </c:pt>
                <c:pt idx="134">
                  <c:v>3838.15</c:v>
                </c:pt>
                <c:pt idx="135">
                  <c:v>3871.17</c:v>
                </c:pt>
                <c:pt idx="136">
                  <c:v>3883.19</c:v>
                </c:pt>
                <c:pt idx="137">
                  <c:v>3896.57</c:v>
                </c:pt>
                <c:pt idx="138">
                  <c:v>3842.02</c:v>
                </c:pt>
                <c:pt idx="139">
                  <c:v>3833.12</c:v>
                </c:pt>
                <c:pt idx="140">
                  <c:v>3862.57</c:v>
                </c:pt>
                <c:pt idx="141">
                  <c:v>3897.55</c:v>
                </c:pt>
                <c:pt idx="142">
                  <c:v>3894.54</c:v>
                </c:pt>
                <c:pt idx="143">
                  <c:v>3898.54</c:v>
                </c:pt>
                <c:pt idx="144">
                  <c:v>3963.5</c:v>
                </c:pt>
                <c:pt idx="145">
                  <c:v>4003.73</c:v>
                </c:pt>
                <c:pt idx="146">
                  <c:v>4012.22</c:v>
                </c:pt>
                <c:pt idx="147">
                  <c:v>3987.91</c:v>
                </c:pt>
                <c:pt idx="148">
                  <c:v>3972.13</c:v>
                </c:pt>
                <c:pt idx="149">
                  <c:v>4009.9</c:v>
                </c:pt>
                <c:pt idx="150">
                  <c:v>4070.74</c:v>
                </c:pt>
                <c:pt idx="151">
                  <c:v>4163.08</c:v>
                </c:pt>
                <c:pt idx="152">
                  <c:v>4101.91</c:v>
                </c:pt>
                <c:pt idx="153">
                  <c:v>4126.6899999999996</c:v>
                </c:pt>
                <c:pt idx="154">
                  <c:v>4101.3999999999996</c:v>
                </c:pt>
                <c:pt idx="155">
                  <c:v>4139.1000000000004</c:v>
                </c:pt>
                <c:pt idx="156">
                  <c:v>4097.8900000000003</c:v>
                </c:pt>
                <c:pt idx="157">
                  <c:v>4062.97</c:v>
                </c:pt>
                <c:pt idx="158">
                  <c:v>4060.3</c:v>
                </c:pt>
                <c:pt idx="159">
                  <c:v>4075.1</c:v>
                </c:pt>
                <c:pt idx="160">
                  <c:v>4058.44</c:v>
                </c:pt>
                <c:pt idx="161">
                  <c:v>4029.19</c:v>
                </c:pt>
                <c:pt idx="162">
                  <c:v>4012.82</c:v>
                </c:pt>
                <c:pt idx="163">
                  <c:v>4015.83</c:v>
                </c:pt>
                <c:pt idx="164">
                  <c:v>4020.08</c:v>
                </c:pt>
                <c:pt idx="165">
                  <c:v>3970.75</c:v>
                </c:pt>
                <c:pt idx="166">
                  <c:v>3970.9</c:v>
                </c:pt>
                <c:pt idx="167">
                  <c:v>3967.91</c:v>
                </c:pt>
                <c:pt idx="168">
                  <c:v>3958.15</c:v>
                </c:pt>
                <c:pt idx="169">
                  <c:v>3948.76</c:v>
                </c:pt>
                <c:pt idx="170">
                  <c:v>3918.51</c:v>
                </c:pt>
                <c:pt idx="171">
                  <c:v>3912.77</c:v>
                </c:pt>
                <c:pt idx="172">
                  <c:v>3876.48</c:v>
                </c:pt>
                <c:pt idx="173">
                  <c:v>3867.56</c:v>
                </c:pt>
                <c:pt idx="174">
                  <c:v>3865.63</c:v>
                </c:pt>
                <c:pt idx="175">
                  <c:v>3829.2</c:v>
                </c:pt>
                <c:pt idx="176">
                  <c:v>3835.16</c:v>
                </c:pt>
                <c:pt idx="177">
                  <c:v>3807.47</c:v>
                </c:pt>
                <c:pt idx="178">
                  <c:v>3768.27</c:v>
                </c:pt>
                <c:pt idx="179">
                  <c:v>3776.64</c:v>
                </c:pt>
                <c:pt idx="180">
                  <c:v>3699.78</c:v>
                </c:pt>
                <c:pt idx="181">
                  <c:v>3735.43</c:v>
                </c:pt>
                <c:pt idx="182">
                  <c:v>3699.63</c:v>
                </c:pt>
                <c:pt idx="183">
                  <c:v>3715.11</c:v>
                </c:pt>
                <c:pt idx="184">
                  <c:v>3707.96</c:v>
                </c:pt>
                <c:pt idx="185">
                  <c:v>3613.39</c:v>
                </c:pt>
                <c:pt idx="186">
                  <c:v>3655.44</c:v>
                </c:pt>
                <c:pt idx="187">
                  <c:v>3602.39</c:v>
                </c:pt>
                <c:pt idx="188">
                  <c:v>3538.52</c:v>
                </c:pt>
                <c:pt idx="189">
                  <c:v>3545.47</c:v>
                </c:pt>
                <c:pt idx="190">
                  <c:v>3521.95</c:v>
                </c:pt>
                <c:pt idx="191">
                  <c:v>3546.83</c:v>
                </c:pt>
                <c:pt idx="192">
                  <c:v>3531.04</c:v>
                </c:pt>
                <c:pt idx="193" formatCode="0.0">
                  <c:v>3510.69</c:v>
                </c:pt>
                <c:pt idx="194" formatCode="0.0">
                  <c:v>3586.71</c:v>
                </c:pt>
                <c:pt idx="195" formatCode="0.0">
                  <c:v>3605.61</c:v>
                </c:pt>
                <c:pt idx="196" formatCode="0.0">
                  <c:v>3621.26</c:v>
                </c:pt>
                <c:pt idx="197" formatCode="0.0">
                  <c:v>3553.17</c:v>
                </c:pt>
                <c:pt idx="198" formatCode="0.0">
                  <c:v>3649.24</c:v>
                </c:pt>
                <c:pt idx="199" formatCode="0.0">
                  <c:v>3651.98</c:v>
                </c:pt>
                <c:pt idx="200" formatCode="0.0">
                  <c:v>3642.53</c:v>
                </c:pt>
                <c:pt idx="201" formatCode="0.0">
                  <c:v>3612.52</c:v>
                </c:pt>
                <c:pt idx="202" formatCode="0.0">
                  <c:v>3594.37</c:v>
                </c:pt>
                <c:pt idx="203" formatCode="0.0">
                  <c:v>3580.19</c:v>
                </c:pt>
                <c:pt idx="204" formatCode="0.0">
                  <c:v>3538.33</c:v>
                </c:pt>
                <c:pt idx="205" formatCode="0.0">
                  <c:v>3431.9</c:v>
                </c:pt>
                <c:pt idx="206" formatCode="0.0">
                  <c:v>3443.33</c:v>
                </c:pt>
                <c:pt idx="207" formatCode="0.0">
                  <c:v>3400.71</c:v>
                </c:pt>
                <c:pt idx="208" formatCode="0.0">
                  <c:v>3387.68</c:v>
                </c:pt>
                <c:pt idx="209" formatCode="0.0">
                  <c:v>3340.55</c:v>
                </c:pt>
                <c:pt idx="210" formatCode="0.0">
                  <c:v>3383.55</c:v>
                </c:pt>
                <c:pt idx="211" formatCode="0.0">
                  <c:v>3382.12</c:v>
                </c:pt>
                <c:pt idx="212" formatCode="0.0">
                  <c:v>3365.34</c:v>
                </c:pt>
                <c:pt idx="213" formatCode="0.0">
                  <c:v>3334.68</c:v>
                </c:pt>
                <c:pt idx="214">
                  <c:v>3336.43</c:v>
                </c:pt>
                <c:pt idx="215">
                  <c:v>3377.9</c:v>
                </c:pt>
                <c:pt idx="216">
                  <c:v>3372.46</c:v>
                </c:pt>
                <c:pt idx="217">
                  <c:v>3397.28</c:v>
                </c:pt>
                <c:pt idx="218">
                  <c:v>3431.08</c:v>
                </c:pt>
                <c:pt idx="219">
                  <c:v>3449.9</c:v>
                </c:pt>
                <c:pt idx="220">
                  <c:v>3514.54</c:v>
                </c:pt>
                <c:pt idx="221">
                  <c:v>3499.17</c:v>
                </c:pt>
                <c:pt idx="222">
                  <c:v>3504.55</c:v>
                </c:pt>
                <c:pt idx="223">
                  <c:v>3526.78</c:v>
                </c:pt>
                <c:pt idx="224">
                  <c:v>3556.41</c:v>
                </c:pt>
                <c:pt idx="225">
                  <c:v>3564.3</c:v>
                </c:pt>
                <c:pt idx="226">
                  <c:v>3568.8</c:v>
                </c:pt>
                <c:pt idx="227">
                  <c:v>3611.73</c:v>
                </c:pt>
                <c:pt idx="228">
                  <c:v>3601.15</c:v>
                </c:pt>
                <c:pt idx="229">
                  <c:v>3565.84</c:v>
                </c:pt>
                <c:pt idx="230">
                  <c:v>3563.49</c:v>
                </c:pt>
                <c:pt idx="231">
                  <c:v>3577.48</c:v>
                </c:pt>
                <c:pt idx="232">
                  <c:v>3616.87</c:v>
                </c:pt>
                <c:pt idx="233">
                  <c:v>3577.07</c:v>
                </c:pt>
                <c:pt idx="234">
                  <c:v>3643.37</c:v>
                </c:pt>
                <c:pt idx="235" formatCode="General">
                  <c:v>3676.63</c:v>
                </c:pt>
                <c:pt idx="236" formatCode="General">
                  <c:v>3671.65</c:v>
                </c:pt>
                <c:pt idx="237">
                  <c:v>3709.33</c:v>
                </c:pt>
                <c:pt idx="238">
                  <c:v>3721.04</c:v>
                </c:pt>
                <c:pt idx="239">
                  <c:v>3688.56</c:v>
                </c:pt>
                <c:pt idx="240">
                  <c:v>3689.47</c:v>
                </c:pt>
                <c:pt idx="241">
                  <c:v>3638.81</c:v>
                </c:pt>
                <c:pt idx="242">
                  <c:v>3635.33</c:v>
                </c:pt>
                <c:pt idx="243">
                  <c:v>3608.57</c:v>
                </c:pt>
                <c:pt idx="244">
                  <c:v>3593.13</c:v>
                </c:pt>
                <c:pt idx="245">
                  <c:v>3611.5</c:v>
                </c:pt>
                <c:pt idx="246">
                  <c:v>3612.96</c:v>
                </c:pt>
                <c:pt idx="247">
                  <c:v>3663.93</c:v>
                </c:pt>
                <c:pt idx="248">
                  <c:v>3690.25</c:v>
                </c:pt>
                <c:pt idx="249">
                  <c:v>3704.9</c:v>
                </c:pt>
                <c:pt idx="250">
                  <c:v>3740.67</c:v>
                </c:pt>
                <c:pt idx="251" formatCode="General">
                  <c:v>3731.98</c:v>
                </c:pt>
                <c:pt idx="252" formatCode="General">
                  <c:v>3754.63</c:v>
                </c:pt>
                <c:pt idx="253" formatCode="General">
                  <c:v>3721.09</c:v>
                </c:pt>
                <c:pt idx="254" formatCode="General">
                  <c:v>3739.04</c:v>
                </c:pt>
                <c:pt idx="255" formatCode="General">
                  <c:v>3777.53</c:v>
                </c:pt>
                <c:pt idx="256" formatCode="General">
                  <c:v>3752.04</c:v>
                </c:pt>
              </c:numCache>
            </c:numRef>
          </c:val>
          <c:smooth val="0"/>
        </c:ser>
        <c:ser>
          <c:idx val="1"/>
          <c:order val="1"/>
          <c:tx>
            <c:v>NCDEX Dhannya</c:v>
          </c:tx>
          <c:spPr>
            <a:ln w="31750" cap="rnd">
              <a:solidFill>
                <a:schemeClr val="accent2"/>
              </a:solidFill>
              <a:round/>
            </a:ln>
            <a:effectLst>
              <a:outerShdw blurRad="40000" dist="23000" dir="5400000" rotWithShape="0">
                <a:srgbClr val="000000">
                  <a:alpha val="35000"/>
                </a:srgbClr>
              </a:outerShdw>
            </a:effectLst>
          </c:spPr>
          <c:marker>
            <c:symbol val="none"/>
          </c:marker>
          <c:cat>
            <c:numRef>
              <c:f>'MCX- NCDEX indices'!$A$300:$A$556</c:f>
              <c:numCache>
                <c:formatCode>[$-409]dd\-mmm\-yy;@</c:formatCode>
                <c:ptCount val="257"/>
                <c:pt idx="0">
                  <c:v>43160</c:v>
                </c:pt>
                <c:pt idx="1">
                  <c:v>43161</c:v>
                </c:pt>
                <c:pt idx="2">
                  <c:v>43164</c:v>
                </c:pt>
                <c:pt idx="3">
                  <c:v>43165</c:v>
                </c:pt>
                <c:pt idx="4">
                  <c:v>43166</c:v>
                </c:pt>
                <c:pt idx="5">
                  <c:v>43167</c:v>
                </c:pt>
                <c:pt idx="6">
                  <c:v>43168</c:v>
                </c:pt>
                <c:pt idx="7">
                  <c:v>43171</c:v>
                </c:pt>
                <c:pt idx="8">
                  <c:v>43172</c:v>
                </c:pt>
                <c:pt idx="9">
                  <c:v>43173</c:v>
                </c:pt>
                <c:pt idx="10">
                  <c:v>43174</c:v>
                </c:pt>
                <c:pt idx="11">
                  <c:v>43175</c:v>
                </c:pt>
                <c:pt idx="12">
                  <c:v>43178</c:v>
                </c:pt>
                <c:pt idx="13">
                  <c:v>43179</c:v>
                </c:pt>
                <c:pt idx="14">
                  <c:v>43180</c:v>
                </c:pt>
                <c:pt idx="15">
                  <c:v>43181</c:v>
                </c:pt>
                <c:pt idx="16">
                  <c:v>43182</c:v>
                </c:pt>
                <c:pt idx="17">
                  <c:v>43185</c:v>
                </c:pt>
                <c:pt idx="18">
                  <c:v>43186</c:v>
                </c:pt>
                <c:pt idx="19">
                  <c:v>43187</c:v>
                </c:pt>
                <c:pt idx="20">
                  <c:v>43188</c:v>
                </c:pt>
                <c:pt idx="21" formatCode="d\-mmm\-yy">
                  <c:v>43192</c:v>
                </c:pt>
                <c:pt idx="22" formatCode="d\-mmm\-yy">
                  <c:v>43193</c:v>
                </c:pt>
                <c:pt idx="23" formatCode="d\-mmm\-yy">
                  <c:v>43194</c:v>
                </c:pt>
                <c:pt idx="24" formatCode="d\-mmm\-yy">
                  <c:v>43195</c:v>
                </c:pt>
                <c:pt idx="25" formatCode="d\-mmm\-yy">
                  <c:v>43196</c:v>
                </c:pt>
                <c:pt idx="26" formatCode="d\-mmm\-yy">
                  <c:v>43199</c:v>
                </c:pt>
                <c:pt idx="27" formatCode="d\-mmm\-yy">
                  <c:v>43200</c:v>
                </c:pt>
                <c:pt idx="28" formatCode="d\-mmm\-yy">
                  <c:v>43201</c:v>
                </c:pt>
                <c:pt idx="29" formatCode="d\-mmm\-yy">
                  <c:v>43202</c:v>
                </c:pt>
                <c:pt idx="30" formatCode="d\-mmm\-yy">
                  <c:v>43203</c:v>
                </c:pt>
                <c:pt idx="31" formatCode="d\-mmm\-yy">
                  <c:v>43206</c:v>
                </c:pt>
                <c:pt idx="32" formatCode="d\-mmm\-yy">
                  <c:v>43207</c:v>
                </c:pt>
                <c:pt idx="33" formatCode="d\-mmm\-yy">
                  <c:v>43208</c:v>
                </c:pt>
                <c:pt idx="34" formatCode="d\-mmm\-yy">
                  <c:v>43209</c:v>
                </c:pt>
                <c:pt idx="35" formatCode="d\-mmm\-yy">
                  <c:v>43210</c:v>
                </c:pt>
                <c:pt idx="36" formatCode="d\-mmm\-yy">
                  <c:v>43213</c:v>
                </c:pt>
                <c:pt idx="37" formatCode="d\-mmm\-yy">
                  <c:v>43214</c:v>
                </c:pt>
                <c:pt idx="38" formatCode="d\-mmm\-yy">
                  <c:v>43215</c:v>
                </c:pt>
                <c:pt idx="39" formatCode="d\-mmm\-yy">
                  <c:v>43216</c:v>
                </c:pt>
                <c:pt idx="40" formatCode="d\-mmm\-yy">
                  <c:v>43217</c:v>
                </c:pt>
                <c:pt idx="41" formatCode="d\-mmm\-yy">
                  <c:v>43220</c:v>
                </c:pt>
                <c:pt idx="42" formatCode="d\-mmm\-yy">
                  <c:v>43221</c:v>
                </c:pt>
                <c:pt idx="43" formatCode="d\-mmm\-yy">
                  <c:v>43222</c:v>
                </c:pt>
                <c:pt idx="44" formatCode="d\-mmm\-yy">
                  <c:v>43223</c:v>
                </c:pt>
                <c:pt idx="45" formatCode="d\-mmm\-yy">
                  <c:v>43224</c:v>
                </c:pt>
                <c:pt idx="46" formatCode="d\-mmm\-yy">
                  <c:v>43227</c:v>
                </c:pt>
                <c:pt idx="47" formatCode="d\-mmm\-yy">
                  <c:v>43228</c:v>
                </c:pt>
                <c:pt idx="48" formatCode="d\-mmm\-yy">
                  <c:v>43229</c:v>
                </c:pt>
                <c:pt idx="49" formatCode="d\-mmm\-yy">
                  <c:v>43230</c:v>
                </c:pt>
                <c:pt idx="50" formatCode="d\-mmm\-yy">
                  <c:v>43231</c:v>
                </c:pt>
                <c:pt idx="51" formatCode="d\-mmm\-yy">
                  <c:v>43234</c:v>
                </c:pt>
                <c:pt idx="52" formatCode="d\-mmm\-yy">
                  <c:v>43235</c:v>
                </c:pt>
                <c:pt idx="53" formatCode="d\-mmm\-yy">
                  <c:v>43236</c:v>
                </c:pt>
                <c:pt idx="54" formatCode="d\-mmm\-yy">
                  <c:v>43237</c:v>
                </c:pt>
                <c:pt idx="55" formatCode="d\-mmm\-yy">
                  <c:v>43238</c:v>
                </c:pt>
                <c:pt idx="56" formatCode="d\-mmm\-yy">
                  <c:v>43241</c:v>
                </c:pt>
                <c:pt idx="57" formatCode="d\-mmm\-yy">
                  <c:v>43242</c:v>
                </c:pt>
                <c:pt idx="58" formatCode="d\-mmm\-yy">
                  <c:v>43243</c:v>
                </c:pt>
                <c:pt idx="59" formatCode="d\-mmm\-yy">
                  <c:v>43244</c:v>
                </c:pt>
                <c:pt idx="60" formatCode="d\-mmm\-yy">
                  <c:v>43245</c:v>
                </c:pt>
                <c:pt idx="61" formatCode="d\-mmm\-yy">
                  <c:v>43248</c:v>
                </c:pt>
                <c:pt idx="62" formatCode="d\-mmm\-yy">
                  <c:v>43249</c:v>
                </c:pt>
                <c:pt idx="63" formatCode="d\-mmm\-yy">
                  <c:v>43250</c:v>
                </c:pt>
                <c:pt idx="64" formatCode="d\-mmm\-yy">
                  <c:v>43251</c:v>
                </c:pt>
                <c:pt idx="65" formatCode="d\-mmm\-yy">
                  <c:v>43252</c:v>
                </c:pt>
                <c:pt idx="66" formatCode="d\-mmm\-yy">
                  <c:v>43255</c:v>
                </c:pt>
                <c:pt idx="67" formatCode="d\-mmm\-yy">
                  <c:v>43256</c:v>
                </c:pt>
                <c:pt idx="68" formatCode="d\-mmm\-yy">
                  <c:v>43257</c:v>
                </c:pt>
                <c:pt idx="69" formatCode="d\-mmm\-yy">
                  <c:v>43258</c:v>
                </c:pt>
                <c:pt idx="70" formatCode="d\-mmm\-yy">
                  <c:v>43259</c:v>
                </c:pt>
                <c:pt idx="71" formatCode="d\-mmm\-yy">
                  <c:v>43262</c:v>
                </c:pt>
                <c:pt idx="72" formatCode="d\-mmm\-yy">
                  <c:v>43263</c:v>
                </c:pt>
                <c:pt idx="73" formatCode="d\-mmm\-yy">
                  <c:v>43264</c:v>
                </c:pt>
                <c:pt idx="74" formatCode="d\-mmm\-yy">
                  <c:v>43265</c:v>
                </c:pt>
                <c:pt idx="75" formatCode="d\-mmm\-yy">
                  <c:v>43266</c:v>
                </c:pt>
                <c:pt idx="76" formatCode="d\-mmm\-yy">
                  <c:v>43269</c:v>
                </c:pt>
                <c:pt idx="77" formatCode="d\-mmm\-yy">
                  <c:v>43270</c:v>
                </c:pt>
                <c:pt idx="78" formatCode="d\-mmm\-yy">
                  <c:v>43271</c:v>
                </c:pt>
                <c:pt idx="79" formatCode="d\-mmm\-yy">
                  <c:v>43272</c:v>
                </c:pt>
                <c:pt idx="80" formatCode="d\-mmm\-yy">
                  <c:v>43273</c:v>
                </c:pt>
                <c:pt idx="81" formatCode="d\-mmm\-yy">
                  <c:v>43276</c:v>
                </c:pt>
                <c:pt idx="82" formatCode="d\-mmm\-yy">
                  <c:v>43277</c:v>
                </c:pt>
                <c:pt idx="83" formatCode="d\-mmm\-yy">
                  <c:v>43278</c:v>
                </c:pt>
                <c:pt idx="84" formatCode="d\-mmm\-yy">
                  <c:v>43279</c:v>
                </c:pt>
                <c:pt idx="85" formatCode="d\-mmm\-yy">
                  <c:v>43280</c:v>
                </c:pt>
                <c:pt idx="86" formatCode="d\-mmm\-yy">
                  <c:v>43283</c:v>
                </c:pt>
                <c:pt idx="87" formatCode="d\-mmm\-yy">
                  <c:v>43284</c:v>
                </c:pt>
                <c:pt idx="88" formatCode="d\-mmm\-yy">
                  <c:v>43285</c:v>
                </c:pt>
                <c:pt idx="89" formatCode="d\-mmm\-yy">
                  <c:v>43286</c:v>
                </c:pt>
                <c:pt idx="90" formatCode="d\-mmm\-yy">
                  <c:v>43287</c:v>
                </c:pt>
                <c:pt idx="91" formatCode="d\-mmm\-yy">
                  <c:v>43290</c:v>
                </c:pt>
                <c:pt idx="92" formatCode="d\-mmm\-yy">
                  <c:v>43291</c:v>
                </c:pt>
                <c:pt idx="93" formatCode="d\-mmm\-yy">
                  <c:v>43292</c:v>
                </c:pt>
                <c:pt idx="94" formatCode="d\-mmm\-yy">
                  <c:v>43293</c:v>
                </c:pt>
                <c:pt idx="95" formatCode="d\-mmm\-yy">
                  <c:v>43294</c:v>
                </c:pt>
                <c:pt idx="96" formatCode="d\-mmm\-yy">
                  <c:v>43297</c:v>
                </c:pt>
                <c:pt idx="97" formatCode="d\-mmm\-yy">
                  <c:v>43298</c:v>
                </c:pt>
                <c:pt idx="98" formatCode="d\-mmm\-yy">
                  <c:v>43299</c:v>
                </c:pt>
                <c:pt idx="99" formatCode="d\-mmm\-yy">
                  <c:v>43300</c:v>
                </c:pt>
                <c:pt idx="100" formatCode="d\-mmm\-yy">
                  <c:v>43301</c:v>
                </c:pt>
                <c:pt idx="101" formatCode="d\-mmm\-yy">
                  <c:v>43304</c:v>
                </c:pt>
                <c:pt idx="102" formatCode="d\-mmm\-yy">
                  <c:v>43305</c:v>
                </c:pt>
                <c:pt idx="103" formatCode="d\-mmm\-yy">
                  <c:v>43306</c:v>
                </c:pt>
                <c:pt idx="104" formatCode="d\-mmm\-yy">
                  <c:v>43307</c:v>
                </c:pt>
                <c:pt idx="105" formatCode="d\-mmm\-yy">
                  <c:v>43308</c:v>
                </c:pt>
                <c:pt idx="106" formatCode="d\-mmm\-yy">
                  <c:v>43311</c:v>
                </c:pt>
                <c:pt idx="107" formatCode="d\-mmm\-yy">
                  <c:v>43312</c:v>
                </c:pt>
                <c:pt idx="108" formatCode="d\-mmm\-yy">
                  <c:v>43313</c:v>
                </c:pt>
                <c:pt idx="109" formatCode="d\-mmm\-yy">
                  <c:v>43314</c:v>
                </c:pt>
                <c:pt idx="110" formatCode="d\-mmm\-yy">
                  <c:v>43315</c:v>
                </c:pt>
                <c:pt idx="111" formatCode="d\-mmm\-yy">
                  <c:v>43318</c:v>
                </c:pt>
                <c:pt idx="112" formatCode="d\-mmm\-yy">
                  <c:v>43319</c:v>
                </c:pt>
                <c:pt idx="113" formatCode="d\-mmm\-yy">
                  <c:v>43320</c:v>
                </c:pt>
                <c:pt idx="114" formatCode="d\-mmm\-yy">
                  <c:v>43321</c:v>
                </c:pt>
                <c:pt idx="115" formatCode="d\-mmm\-yy">
                  <c:v>43322</c:v>
                </c:pt>
                <c:pt idx="116" formatCode="d\-mmm\-yy">
                  <c:v>43325</c:v>
                </c:pt>
                <c:pt idx="117" formatCode="d\-mmm\-yy">
                  <c:v>43326</c:v>
                </c:pt>
                <c:pt idx="118" formatCode="d\-mmm\-yy">
                  <c:v>43328</c:v>
                </c:pt>
                <c:pt idx="119" formatCode="d\-mmm\-yy">
                  <c:v>43329</c:v>
                </c:pt>
                <c:pt idx="120" formatCode="d\-mmm\-yy">
                  <c:v>43332</c:v>
                </c:pt>
                <c:pt idx="121" formatCode="d\-mmm\-yy">
                  <c:v>43333</c:v>
                </c:pt>
                <c:pt idx="122" formatCode="d\-mmm\-yy">
                  <c:v>43334</c:v>
                </c:pt>
                <c:pt idx="123" formatCode="d\-mmm\-yy">
                  <c:v>43335</c:v>
                </c:pt>
                <c:pt idx="124" formatCode="d\-mmm\-yy">
                  <c:v>43336</c:v>
                </c:pt>
                <c:pt idx="125" formatCode="d\-mmm\-yy">
                  <c:v>43339</c:v>
                </c:pt>
                <c:pt idx="126" formatCode="d\-mmm\-yy">
                  <c:v>43340</c:v>
                </c:pt>
                <c:pt idx="127" formatCode="d\-mmm\-yy">
                  <c:v>43341</c:v>
                </c:pt>
                <c:pt idx="128" formatCode="d\-mmm\-yy">
                  <c:v>43342</c:v>
                </c:pt>
                <c:pt idx="129" formatCode="d\-mmm\-yy">
                  <c:v>43343</c:v>
                </c:pt>
                <c:pt idx="130" formatCode="d\-mmm\-yy">
                  <c:v>43346</c:v>
                </c:pt>
                <c:pt idx="131" formatCode="d\-mmm\-yy">
                  <c:v>43347</c:v>
                </c:pt>
                <c:pt idx="132" formatCode="d\-mmm\-yy">
                  <c:v>43348</c:v>
                </c:pt>
                <c:pt idx="133" formatCode="d\-mmm\-yy">
                  <c:v>43349</c:v>
                </c:pt>
                <c:pt idx="134" formatCode="d\-mmm\-yy">
                  <c:v>43350</c:v>
                </c:pt>
                <c:pt idx="135" formatCode="d\-mmm\-yy">
                  <c:v>43353</c:v>
                </c:pt>
                <c:pt idx="136" formatCode="d\-mmm\-yy">
                  <c:v>43354</c:v>
                </c:pt>
                <c:pt idx="137" formatCode="d\-mmm\-yy">
                  <c:v>43355</c:v>
                </c:pt>
                <c:pt idx="138" formatCode="d\-mmm\-yy">
                  <c:v>43356</c:v>
                </c:pt>
                <c:pt idx="139" formatCode="d\-mmm\-yy">
                  <c:v>43357</c:v>
                </c:pt>
                <c:pt idx="140" formatCode="d\-mmm\-yy">
                  <c:v>43360</c:v>
                </c:pt>
                <c:pt idx="141" formatCode="d\-mmm\-yy">
                  <c:v>43361</c:v>
                </c:pt>
                <c:pt idx="142" formatCode="d\-mmm\-yy">
                  <c:v>43362</c:v>
                </c:pt>
                <c:pt idx="143" formatCode="d\-mmm\-yy">
                  <c:v>43363</c:v>
                </c:pt>
                <c:pt idx="144" formatCode="d\-mmm\-yy">
                  <c:v>43364</c:v>
                </c:pt>
                <c:pt idx="145" formatCode="d\-mmm\-yy">
                  <c:v>43367</c:v>
                </c:pt>
                <c:pt idx="146" formatCode="d\-mmm\-yy">
                  <c:v>43368</c:v>
                </c:pt>
                <c:pt idx="147" formatCode="d\-mmm\-yy">
                  <c:v>43369</c:v>
                </c:pt>
                <c:pt idx="148" formatCode="d\-mmm\-yy">
                  <c:v>43370</c:v>
                </c:pt>
                <c:pt idx="149" formatCode="d\-mmm\-yy">
                  <c:v>43371</c:v>
                </c:pt>
                <c:pt idx="150" formatCode="d\-mmm\-yy">
                  <c:v>43374</c:v>
                </c:pt>
                <c:pt idx="151" formatCode="d\-mmm\-yy">
                  <c:v>43376</c:v>
                </c:pt>
                <c:pt idx="152" formatCode="d\-mmm\-yy">
                  <c:v>43377</c:v>
                </c:pt>
                <c:pt idx="153" formatCode="d\-mmm\-yy">
                  <c:v>43378</c:v>
                </c:pt>
                <c:pt idx="154" formatCode="d\-mmm\-yy">
                  <c:v>43381</c:v>
                </c:pt>
                <c:pt idx="155" formatCode="d\-mmm\-yy">
                  <c:v>43382</c:v>
                </c:pt>
                <c:pt idx="156" formatCode="d\-mmm\-yy">
                  <c:v>43383</c:v>
                </c:pt>
                <c:pt idx="157" formatCode="d\-mmm\-yy">
                  <c:v>43384</c:v>
                </c:pt>
                <c:pt idx="158" formatCode="d\-mmm\-yy">
                  <c:v>43385</c:v>
                </c:pt>
                <c:pt idx="159" formatCode="d\-mmm\-yy">
                  <c:v>43388</c:v>
                </c:pt>
                <c:pt idx="160" formatCode="d\-mmm\-yy">
                  <c:v>43389</c:v>
                </c:pt>
                <c:pt idx="161" formatCode="d\-mmm\-yy">
                  <c:v>43390</c:v>
                </c:pt>
                <c:pt idx="162" formatCode="d\-mmm\-yy">
                  <c:v>43391</c:v>
                </c:pt>
                <c:pt idx="163" formatCode="d\-mmm\-yy">
                  <c:v>43392</c:v>
                </c:pt>
                <c:pt idx="164" formatCode="d\-mmm\-yy">
                  <c:v>43395</c:v>
                </c:pt>
                <c:pt idx="165" formatCode="d\-mmm\-yy">
                  <c:v>43396</c:v>
                </c:pt>
                <c:pt idx="166" formatCode="d\-mmm\-yy">
                  <c:v>43397</c:v>
                </c:pt>
                <c:pt idx="167" formatCode="d\-mmm\-yy">
                  <c:v>43398</c:v>
                </c:pt>
                <c:pt idx="168" formatCode="d\-mmm\-yy">
                  <c:v>43399</c:v>
                </c:pt>
                <c:pt idx="169" formatCode="d\-mmm\-yy">
                  <c:v>43402</c:v>
                </c:pt>
                <c:pt idx="170" formatCode="d\-mmm\-yy">
                  <c:v>43403</c:v>
                </c:pt>
                <c:pt idx="171" formatCode="d\-mmm\-yy">
                  <c:v>43404</c:v>
                </c:pt>
                <c:pt idx="172" formatCode="d\-mmm\-yy">
                  <c:v>43405</c:v>
                </c:pt>
                <c:pt idx="173" formatCode="d\-mmm\-yy">
                  <c:v>43406</c:v>
                </c:pt>
                <c:pt idx="174" formatCode="d\-mmm\-yy">
                  <c:v>43409</c:v>
                </c:pt>
                <c:pt idx="175" formatCode="d\-mmm\-yy">
                  <c:v>43410</c:v>
                </c:pt>
                <c:pt idx="176" formatCode="d\-mmm\-yy">
                  <c:v>43411</c:v>
                </c:pt>
                <c:pt idx="177" formatCode="d\-mmm\-yy">
                  <c:v>43412</c:v>
                </c:pt>
                <c:pt idx="178" formatCode="d\-mmm\-yy">
                  <c:v>43413</c:v>
                </c:pt>
                <c:pt idx="179" formatCode="d\-mmm\-yy">
                  <c:v>43416</c:v>
                </c:pt>
                <c:pt idx="180" formatCode="d\-mmm\-yy">
                  <c:v>43417</c:v>
                </c:pt>
                <c:pt idx="181" formatCode="d\-mmm\-yy">
                  <c:v>43418</c:v>
                </c:pt>
                <c:pt idx="182" formatCode="d\-mmm\-yy">
                  <c:v>43419</c:v>
                </c:pt>
                <c:pt idx="183" formatCode="d\-mmm\-yy">
                  <c:v>43420</c:v>
                </c:pt>
                <c:pt idx="184" formatCode="d\-mmm\-yy">
                  <c:v>43423</c:v>
                </c:pt>
                <c:pt idx="185" formatCode="d\-mmm\-yy">
                  <c:v>43424</c:v>
                </c:pt>
                <c:pt idx="186" formatCode="d\-mmm\-yy">
                  <c:v>43425</c:v>
                </c:pt>
                <c:pt idx="187" formatCode="d\-mmm\-yy">
                  <c:v>43426</c:v>
                </c:pt>
                <c:pt idx="188" formatCode="d\-mmm\-yy">
                  <c:v>43427</c:v>
                </c:pt>
                <c:pt idx="189" formatCode="d\-mmm\-yy">
                  <c:v>43430</c:v>
                </c:pt>
                <c:pt idx="190" formatCode="d\-mmm\-yy">
                  <c:v>43431</c:v>
                </c:pt>
                <c:pt idx="191" formatCode="d\-mmm\-yy">
                  <c:v>43432</c:v>
                </c:pt>
                <c:pt idx="192" formatCode="d\-mmm\-yy">
                  <c:v>43433</c:v>
                </c:pt>
                <c:pt idx="193" formatCode="d\-mmm\-yy">
                  <c:v>43434</c:v>
                </c:pt>
                <c:pt idx="194" formatCode="d\-mmm\-yy">
                  <c:v>43437</c:v>
                </c:pt>
                <c:pt idx="195" formatCode="d\-mmm\-yy">
                  <c:v>43438</c:v>
                </c:pt>
                <c:pt idx="196" formatCode="d\-mmm\-yy">
                  <c:v>43439</c:v>
                </c:pt>
                <c:pt idx="197" formatCode="d\-mmm\-yy">
                  <c:v>43440</c:v>
                </c:pt>
                <c:pt idx="198" formatCode="d\-mmm\-yy">
                  <c:v>43441</c:v>
                </c:pt>
                <c:pt idx="199" formatCode="d\-mmm\-yy">
                  <c:v>43444</c:v>
                </c:pt>
                <c:pt idx="200" formatCode="d\-mmm\-yy">
                  <c:v>43445</c:v>
                </c:pt>
                <c:pt idx="201" formatCode="d\-mmm\-yy">
                  <c:v>43446</c:v>
                </c:pt>
                <c:pt idx="202" formatCode="d\-mmm\-yy">
                  <c:v>43447</c:v>
                </c:pt>
                <c:pt idx="203" formatCode="d\-mmm\-yy">
                  <c:v>43448</c:v>
                </c:pt>
                <c:pt idx="204" formatCode="d\-mmm\-yy">
                  <c:v>43451</c:v>
                </c:pt>
                <c:pt idx="205" formatCode="d\-mmm\-yy">
                  <c:v>43452</c:v>
                </c:pt>
                <c:pt idx="206" formatCode="d\-mmm\-yy">
                  <c:v>43453</c:v>
                </c:pt>
                <c:pt idx="207" formatCode="d\-mmm\-yy">
                  <c:v>43454</c:v>
                </c:pt>
                <c:pt idx="208" formatCode="d\-mmm\-yy">
                  <c:v>43455</c:v>
                </c:pt>
                <c:pt idx="209" formatCode="d\-mmm\-yy">
                  <c:v>43458</c:v>
                </c:pt>
                <c:pt idx="210" formatCode="d\-mmm\-yy">
                  <c:v>43460</c:v>
                </c:pt>
                <c:pt idx="211" formatCode="d\-mmm\-yy">
                  <c:v>43461</c:v>
                </c:pt>
                <c:pt idx="212" formatCode="d\-mmm\-yy">
                  <c:v>43462</c:v>
                </c:pt>
                <c:pt idx="213" formatCode="d\-mmm\-yy">
                  <c:v>43465</c:v>
                </c:pt>
                <c:pt idx="214" formatCode="d\-mmm\-yy">
                  <c:v>43466</c:v>
                </c:pt>
                <c:pt idx="215" formatCode="d\-mmm\-yy">
                  <c:v>43467</c:v>
                </c:pt>
                <c:pt idx="216" formatCode="d\-mmm\-yy">
                  <c:v>43468</c:v>
                </c:pt>
                <c:pt idx="217" formatCode="d\-mmm\-yy">
                  <c:v>43469</c:v>
                </c:pt>
                <c:pt idx="218" formatCode="d\-mmm\-yy">
                  <c:v>43472</c:v>
                </c:pt>
                <c:pt idx="219" formatCode="d\-mmm\-yy">
                  <c:v>43473</c:v>
                </c:pt>
                <c:pt idx="220" formatCode="d\-mmm\-yy">
                  <c:v>43474</c:v>
                </c:pt>
                <c:pt idx="221" formatCode="d\-mmm\-yy">
                  <c:v>43475</c:v>
                </c:pt>
                <c:pt idx="222" formatCode="d\-mmm\-yy">
                  <c:v>43476</c:v>
                </c:pt>
                <c:pt idx="223" formatCode="d\-mmm\-yy">
                  <c:v>43479</c:v>
                </c:pt>
                <c:pt idx="224" formatCode="d\-mmm\-yy">
                  <c:v>43480</c:v>
                </c:pt>
                <c:pt idx="225" formatCode="d\-mmm\-yy">
                  <c:v>43481</c:v>
                </c:pt>
                <c:pt idx="226" formatCode="d\-mmm\-yy">
                  <c:v>43482</c:v>
                </c:pt>
                <c:pt idx="227" formatCode="d\-mmm\-yy">
                  <c:v>43483</c:v>
                </c:pt>
                <c:pt idx="228" formatCode="d\-mmm\-yy">
                  <c:v>43486</c:v>
                </c:pt>
                <c:pt idx="229" formatCode="d\-mmm\-yy">
                  <c:v>43487</c:v>
                </c:pt>
                <c:pt idx="230" formatCode="d\-mmm\-yy">
                  <c:v>43488</c:v>
                </c:pt>
                <c:pt idx="231" formatCode="d\-mmm\-yy">
                  <c:v>43489</c:v>
                </c:pt>
                <c:pt idx="232" formatCode="d\-mmm\-yy">
                  <c:v>43490</c:v>
                </c:pt>
                <c:pt idx="233" formatCode="d\-mmm\-yy">
                  <c:v>43493</c:v>
                </c:pt>
                <c:pt idx="234" formatCode="d\-mmm\-yy">
                  <c:v>43494</c:v>
                </c:pt>
                <c:pt idx="235" formatCode="d\-mmm\-yy">
                  <c:v>43495</c:v>
                </c:pt>
                <c:pt idx="236" formatCode="d\-mmm\-yy">
                  <c:v>43496</c:v>
                </c:pt>
                <c:pt idx="237" formatCode="d\-mmm\-yy">
                  <c:v>43497</c:v>
                </c:pt>
                <c:pt idx="238" formatCode="d\-mmm\-yy">
                  <c:v>43500</c:v>
                </c:pt>
                <c:pt idx="239" formatCode="d\-mmm\-yy">
                  <c:v>43501</c:v>
                </c:pt>
                <c:pt idx="240" formatCode="d\-mmm\-yy">
                  <c:v>43502</c:v>
                </c:pt>
                <c:pt idx="241" formatCode="d\-mmm\-yy">
                  <c:v>43503</c:v>
                </c:pt>
                <c:pt idx="242" formatCode="d\-mmm\-yy">
                  <c:v>43504</c:v>
                </c:pt>
                <c:pt idx="243" formatCode="d\-mmm\-yy">
                  <c:v>43507</c:v>
                </c:pt>
                <c:pt idx="244" formatCode="d\-mmm\-yy">
                  <c:v>43508</c:v>
                </c:pt>
                <c:pt idx="245" formatCode="d\-mmm\-yy">
                  <c:v>43509</c:v>
                </c:pt>
                <c:pt idx="246" formatCode="d\-mmm\-yy">
                  <c:v>43510</c:v>
                </c:pt>
                <c:pt idx="247" formatCode="d\-mmm\-yy">
                  <c:v>43511</c:v>
                </c:pt>
                <c:pt idx="248" formatCode="d\-mmm\-yy">
                  <c:v>43514</c:v>
                </c:pt>
                <c:pt idx="249" formatCode="d\-mmm\-yy">
                  <c:v>43515</c:v>
                </c:pt>
                <c:pt idx="250" formatCode="d\-mmm\-yy">
                  <c:v>43516</c:v>
                </c:pt>
                <c:pt idx="251" formatCode="d\-mmm\-yy">
                  <c:v>43517</c:v>
                </c:pt>
                <c:pt idx="252" formatCode="d\-mmm\-yy">
                  <c:v>43518</c:v>
                </c:pt>
                <c:pt idx="253" formatCode="d\-mmm\-yy">
                  <c:v>43521</c:v>
                </c:pt>
                <c:pt idx="254" formatCode="d\-mmm\-yy">
                  <c:v>43522</c:v>
                </c:pt>
                <c:pt idx="255" formatCode="d\-mmm\-yy">
                  <c:v>43523</c:v>
                </c:pt>
                <c:pt idx="256" formatCode="d\-mmm\-yy">
                  <c:v>43524</c:v>
                </c:pt>
              </c:numCache>
            </c:numRef>
          </c:cat>
          <c:val>
            <c:numRef>
              <c:f>'MCX- NCDEX indices'!$C$300:$C$556</c:f>
              <c:numCache>
                <c:formatCode>0.00</c:formatCode>
                <c:ptCount val="257"/>
                <c:pt idx="0">
                  <c:v>3116.17</c:v>
                </c:pt>
                <c:pt idx="1">
                  <c:v>3116.17</c:v>
                </c:pt>
                <c:pt idx="2">
                  <c:v>3113.16</c:v>
                </c:pt>
                <c:pt idx="3">
                  <c:v>3142.13</c:v>
                </c:pt>
                <c:pt idx="4">
                  <c:v>3118.15</c:v>
                </c:pt>
                <c:pt idx="5">
                  <c:v>3107.37</c:v>
                </c:pt>
                <c:pt idx="6">
                  <c:v>3124.05</c:v>
                </c:pt>
                <c:pt idx="7">
                  <c:v>3064.05</c:v>
                </c:pt>
                <c:pt idx="8">
                  <c:v>3099.72</c:v>
                </c:pt>
                <c:pt idx="9">
                  <c:v>3096.43</c:v>
                </c:pt>
                <c:pt idx="10">
                  <c:v>3096.41</c:v>
                </c:pt>
                <c:pt idx="11">
                  <c:v>3109.01</c:v>
                </c:pt>
                <c:pt idx="12">
                  <c:v>3052.52</c:v>
                </c:pt>
                <c:pt idx="13">
                  <c:v>3027.83</c:v>
                </c:pt>
                <c:pt idx="14">
                  <c:v>3039.23</c:v>
                </c:pt>
                <c:pt idx="15">
                  <c:v>3048.99</c:v>
                </c:pt>
                <c:pt idx="16">
                  <c:v>3001.06</c:v>
                </c:pt>
                <c:pt idx="17">
                  <c:v>3038.81</c:v>
                </c:pt>
                <c:pt idx="18">
                  <c:v>3019.37</c:v>
                </c:pt>
                <c:pt idx="19">
                  <c:v>3036.86</c:v>
                </c:pt>
                <c:pt idx="20">
                  <c:v>3036.86</c:v>
                </c:pt>
                <c:pt idx="21">
                  <c:v>3084.78</c:v>
                </c:pt>
                <c:pt idx="22">
                  <c:v>3079.63</c:v>
                </c:pt>
                <c:pt idx="23">
                  <c:v>3056.28</c:v>
                </c:pt>
                <c:pt idx="24">
                  <c:v>3081.24</c:v>
                </c:pt>
                <c:pt idx="25">
                  <c:v>3085.26</c:v>
                </c:pt>
                <c:pt idx="26">
                  <c:v>3057.14</c:v>
                </c:pt>
                <c:pt idx="27">
                  <c:v>3058.43</c:v>
                </c:pt>
                <c:pt idx="28">
                  <c:v>3082.88</c:v>
                </c:pt>
                <c:pt idx="29">
                  <c:v>3062.9</c:v>
                </c:pt>
                <c:pt idx="30">
                  <c:v>3058.12</c:v>
                </c:pt>
                <c:pt idx="31">
                  <c:v>3058.12</c:v>
                </c:pt>
                <c:pt idx="32">
                  <c:v>3058.12</c:v>
                </c:pt>
                <c:pt idx="33">
                  <c:v>3021.79</c:v>
                </c:pt>
                <c:pt idx="34">
                  <c:v>3033.12</c:v>
                </c:pt>
                <c:pt idx="35">
                  <c:v>3039.15</c:v>
                </c:pt>
                <c:pt idx="36" formatCode="General">
                  <c:v>3003.16</c:v>
                </c:pt>
                <c:pt idx="37" formatCode="General">
                  <c:v>2963.78</c:v>
                </c:pt>
                <c:pt idx="38" formatCode="General">
                  <c:v>2978.69</c:v>
                </c:pt>
                <c:pt idx="39" formatCode="General">
                  <c:v>2977.08</c:v>
                </c:pt>
                <c:pt idx="40" formatCode="General">
                  <c:v>2909.66</c:v>
                </c:pt>
                <c:pt idx="41" formatCode="General">
                  <c:v>2898.52</c:v>
                </c:pt>
                <c:pt idx="42" formatCode="General">
                  <c:v>2898.52</c:v>
                </c:pt>
                <c:pt idx="43">
                  <c:v>2926.14</c:v>
                </c:pt>
                <c:pt idx="44">
                  <c:v>2920.84</c:v>
                </c:pt>
                <c:pt idx="45">
                  <c:v>2924.46</c:v>
                </c:pt>
                <c:pt idx="46">
                  <c:v>2953.88</c:v>
                </c:pt>
                <c:pt idx="47">
                  <c:v>2941.16</c:v>
                </c:pt>
                <c:pt idx="48">
                  <c:v>2969.32</c:v>
                </c:pt>
                <c:pt idx="49">
                  <c:v>2963.9</c:v>
                </c:pt>
                <c:pt idx="50">
                  <c:v>2959.67</c:v>
                </c:pt>
                <c:pt idx="51">
                  <c:v>2962.84</c:v>
                </c:pt>
                <c:pt idx="52">
                  <c:v>3003.89</c:v>
                </c:pt>
                <c:pt idx="53">
                  <c:v>2982.07</c:v>
                </c:pt>
                <c:pt idx="54">
                  <c:v>2973.81</c:v>
                </c:pt>
                <c:pt idx="55">
                  <c:v>2963.9</c:v>
                </c:pt>
                <c:pt idx="56">
                  <c:v>2942.89</c:v>
                </c:pt>
                <c:pt idx="57">
                  <c:v>2970.19</c:v>
                </c:pt>
                <c:pt idx="58">
                  <c:v>2964.65</c:v>
                </c:pt>
                <c:pt idx="59">
                  <c:v>2969.51</c:v>
                </c:pt>
                <c:pt idx="60">
                  <c:v>2967.2</c:v>
                </c:pt>
                <c:pt idx="61">
                  <c:v>2934.47</c:v>
                </c:pt>
                <c:pt idx="62">
                  <c:v>2921.74</c:v>
                </c:pt>
                <c:pt idx="63">
                  <c:v>2868.1</c:v>
                </c:pt>
                <c:pt idx="64" formatCode="0.0">
                  <c:v>2876.57</c:v>
                </c:pt>
                <c:pt idx="65">
                  <c:v>2911.6</c:v>
                </c:pt>
                <c:pt idx="66">
                  <c:v>2866.46</c:v>
                </c:pt>
                <c:pt idx="67">
                  <c:v>2892.09</c:v>
                </c:pt>
                <c:pt idx="68">
                  <c:v>2891.69</c:v>
                </c:pt>
                <c:pt idx="69">
                  <c:v>2890.87</c:v>
                </c:pt>
                <c:pt idx="70">
                  <c:v>2894.13</c:v>
                </c:pt>
                <c:pt idx="71">
                  <c:v>2862.57</c:v>
                </c:pt>
                <c:pt idx="72">
                  <c:v>2849.47</c:v>
                </c:pt>
                <c:pt idx="73">
                  <c:v>2887.07</c:v>
                </c:pt>
                <c:pt idx="74">
                  <c:v>2920.54</c:v>
                </c:pt>
                <c:pt idx="75">
                  <c:v>2929.05</c:v>
                </c:pt>
                <c:pt idx="76">
                  <c:v>2907</c:v>
                </c:pt>
                <c:pt idx="77">
                  <c:v>2887.79</c:v>
                </c:pt>
                <c:pt idx="78">
                  <c:v>2899.05</c:v>
                </c:pt>
                <c:pt idx="79">
                  <c:v>2907.35</c:v>
                </c:pt>
                <c:pt idx="80">
                  <c:v>2884.29</c:v>
                </c:pt>
                <c:pt idx="81">
                  <c:v>2870.22</c:v>
                </c:pt>
                <c:pt idx="82">
                  <c:v>2884.16</c:v>
                </c:pt>
                <c:pt idx="83">
                  <c:v>2944.1</c:v>
                </c:pt>
                <c:pt idx="84">
                  <c:v>2957.27</c:v>
                </c:pt>
                <c:pt idx="85" formatCode="0.0">
                  <c:v>2981.37</c:v>
                </c:pt>
                <c:pt idx="86">
                  <c:v>3025.94</c:v>
                </c:pt>
                <c:pt idx="87">
                  <c:v>3015.61</c:v>
                </c:pt>
                <c:pt idx="88">
                  <c:v>3020.9</c:v>
                </c:pt>
                <c:pt idx="89">
                  <c:v>3090.97</c:v>
                </c:pt>
                <c:pt idx="90">
                  <c:v>3097.49</c:v>
                </c:pt>
                <c:pt idx="91">
                  <c:v>3149.05</c:v>
                </c:pt>
                <c:pt idx="92">
                  <c:v>3123.79</c:v>
                </c:pt>
                <c:pt idx="93">
                  <c:v>3129.91</c:v>
                </c:pt>
                <c:pt idx="94">
                  <c:v>3129.48</c:v>
                </c:pt>
                <c:pt idx="95">
                  <c:v>3127.89</c:v>
                </c:pt>
                <c:pt idx="96">
                  <c:v>3150.01</c:v>
                </c:pt>
                <c:pt idx="97">
                  <c:v>3163.79</c:v>
                </c:pt>
                <c:pt idx="98">
                  <c:v>3241.07</c:v>
                </c:pt>
                <c:pt idx="99">
                  <c:v>3224.21</c:v>
                </c:pt>
                <c:pt idx="100" formatCode="General">
                  <c:v>3227.05</c:v>
                </c:pt>
                <c:pt idx="101" formatCode="General">
                  <c:v>3212.36</c:v>
                </c:pt>
                <c:pt idx="102" formatCode="General">
                  <c:v>3188.95</c:v>
                </c:pt>
                <c:pt idx="103" formatCode="General">
                  <c:v>3168.55</c:v>
                </c:pt>
                <c:pt idx="104" formatCode="General">
                  <c:v>3182.73</c:v>
                </c:pt>
                <c:pt idx="105" formatCode="General">
                  <c:v>3216.19</c:v>
                </c:pt>
                <c:pt idx="106" formatCode="General">
                  <c:v>3238.39</c:v>
                </c:pt>
                <c:pt idx="107" formatCode="General">
                  <c:v>3265.13</c:v>
                </c:pt>
                <c:pt idx="108">
                  <c:v>3249.44</c:v>
                </c:pt>
                <c:pt idx="109">
                  <c:v>3285.23</c:v>
                </c:pt>
                <c:pt idx="110">
                  <c:v>3264.26</c:v>
                </c:pt>
                <c:pt idx="111">
                  <c:v>3197.1</c:v>
                </c:pt>
                <c:pt idx="112">
                  <c:v>3226.88</c:v>
                </c:pt>
                <c:pt idx="113">
                  <c:v>3219.37</c:v>
                </c:pt>
                <c:pt idx="114">
                  <c:v>3212.31</c:v>
                </c:pt>
                <c:pt idx="115">
                  <c:v>3270.51</c:v>
                </c:pt>
                <c:pt idx="116">
                  <c:v>3230.32</c:v>
                </c:pt>
                <c:pt idx="117" formatCode="General">
                  <c:v>3232.86</c:v>
                </c:pt>
                <c:pt idx="118" formatCode="General">
                  <c:v>3269.11</c:v>
                </c:pt>
                <c:pt idx="119" formatCode="General">
                  <c:v>3266.61</c:v>
                </c:pt>
                <c:pt idx="120" formatCode="General">
                  <c:v>3287.34</c:v>
                </c:pt>
                <c:pt idx="121">
                  <c:v>3254.85</c:v>
                </c:pt>
                <c:pt idx="122">
                  <c:v>3254.85</c:v>
                </c:pt>
                <c:pt idx="123">
                  <c:v>3200.29</c:v>
                </c:pt>
                <c:pt idx="124">
                  <c:v>3149.07</c:v>
                </c:pt>
                <c:pt idx="125">
                  <c:v>3075.2</c:v>
                </c:pt>
                <c:pt idx="126">
                  <c:v>3064.89</c:v>
                </c:pt>
                <c:pt idx="127">
                  <c:v>3066.65</c:v>
                </c:pt>
                <c:pt idx="128">
                  <c:v>3097.16</c:v>
                </c:pt>
                <c:pt idx="129" formatCode="0.0">
                  <c:v>3117.78</c:v>
                </c:pt>
                <c:pt idx="130">
                  <c:v>3157.24</c:v>
                </c:pt>
                <c:pt idx="131">
                  <c:v>3168</c:v>
                </c:pt>
                <c:pt idx="132">
                  <c:v>3155.88</c:v>
                </c:pt>
                <c:pt idx="133">
                  <c:v>3152.02</c:v>
                </c:pt>
                <c:pt idx="134">
                  <c:v>3145.15</c:v>
                </c:pt>
                <c:pt idx="135">
                  <c:v>3146.02</c:v>
                </c:pt>
                <c:pt idx="136">
                  <c:v>3159.62</c:v>
                </c:pt>
                <c:pt idx="137">
                  <c:v>3180.49</c:v>
                </c:pt>
                <c:pt idx="138" formatCode="General">
                  <c:v>3180.49</c:v>
                </c:pt>
                <c:pt idx="139" formatCode="General">
                  <c:v>3161.75</c:v>
                </c:pt>
                <c:pt idx="140" formatCode="General">
                  <c:v>3115.92</c:v>
                </c:pt>
                <c:pt idx="141" formatCode="General">
                  <c:v>3173.84</c:v>
                </c:pt>
                <c:pt idx="142" formatCode="General">
                  <c:v>3162.66</c:v>
                </c:pt>
                <c:pt idx="143" formatCode="General">
                  <c:v>3162.66</c:v>
                </c:pt>
                <c:pt idx="144" formatCode="General">
                  <c:v>3163.37</c:v>
                </c:pt>
                <c:pt idx="145" formatCode="General">
                  <c:v>3138.13</c:v>
                </c:pt>
                <c:pt idx="146" formatCode="General">
                  <c:v>3149.72</c:v>
                </c:pt>
                <c:pt idx="147" formatCode="General">
                  <c:v>3155.48</c:v>
                </c:pt>
                <c:pt idx="148" formatCode="General">
                  <c:v>3153.27</c:v>
                </c:pt>
                <c:pt idx="149" formatCode="General">
                  <c:v>3167.53</c:v>
                </c:pt>
                <c:pt idx="150" formatCode="General">
                  <c:v>3171.01</c:v>
                </c:pt>
                <c:pt idx="151" formatCode="General">
                  <c:v>3199.2</c:v>
                </c:pt>
                <c:pt idx="152" formatCode="General">
                  <c:v>3208.73</c:v>
                </c:pt>
                <c:pt idx="153" formatCode="General">
                  <c:v>3205.9</c:v>
                </c:pt>
                <c:pt idx="154" formatCode="General">
                  <c:v>3193.2</c:v>
                </c:pt>
                <c:pt idx="155" formatCode="General">
                  <c:v>3189.13</c:v>
                </c:pt>
                <c:pt idx="156" formatCode="General">
                  <c:v>3192.84</c:v>
                </c:pt>
                <c:pt idx="157" formatCode="General">
                  <c:v>3205.38</c:v>
                </c:pt>
                <c:pt idx="158" formatCode="General">
                  <c:v>3219.53</c:v>
                </c:pt>
                <c:pt idx="159" formatCode="General">
                  <c:v>3258.72</c:v>
                </c:pt>
                <c:pt idx="160" formatCode="General">
                  <c:v>3244.51</c:v>
                </c:pt>
                <c:pt idx="161" formatCode="General">
                  <c:v>3299.24</c:v>
                </c:pt>
                <c:pt idx="162" formatCode="General">
                  <c:v>3299.24</c:v>
                </c:pt>
                <c:pt idx="163" formatCode="General">
                  <c:v>3289.22</c:v>
                </c:pt>
                <c:pt idx="164" formatCode="General">
                  <c:v>3314.5</c:v>
                </c:pt>
                <c:pt idx="165" formatCode="General">
                  <c:v>3325.87</c:v>
                </c:pt>
                <c:pt idx="166" formatCode="General">
                  <c:v>3311.55</c:v>
                </c:pt>
                <c:pt idx="167" formatCode="General">
                  <c:v>3342.74</c:v>
                </c:pt>
                <c:pt idx="168" formatCode="General">
                  <c:v>3317.04</c:v>
                </c:pt>
                <c:pt idx="169" formatCode="General">
                  <c:v>3345.67</c:v>
                </c:pt>
                <c:pt idx="170" formatCode="General">
                  <c:v>3343.08</c:v>
                </c:pt>
                <c:pt idx="171" formatCode="General">
                  <c:v>3349.02</c:v>
                </c:pt>
                <c:pt idx="172" formatCode="General">
                  <c:v>3359.07</c:v>
                </c:pt>
                <c:pt idx="173" formatCode="General">
                  <c:v>3394.69</c:v>
                </c:pt>
                <c:pt idx="174" formatCode="General">
                  <c:v>3460.49</c:v>
                </c:pt>
                <c:pt idx="175" formatCode="General">
                  <c:v>3489.22</c:v>
                </c:pt>
                <c:pt idx="176" formatCode="General">
                  <c:v>3473.17</c:v>
                </c:pt>
                <c:pt idx="177" formatCode="General">
                  <c:v>3473.17</c:v>
                </c:pt>
                <c:pt idx="178" formatCode="General">
                  <c:v>3499.04</c:v>
                </c:pt>
                <c:pt idx="179" formatCode="General">
                  <c:v>3544.06</c:v>
                </c:pt>
                <c:pt idx="180" formatCode="General">
                  <c:v>3537.98</c:v>
                </c:pt>
                <c:pt idx="181" formatCode="General">
                  <c:v>3521.54</c:v>
                </c:pt>
                <c:pt idx="182" formatCode="General">
                  <c:v>3530.33</c:v>
                </c:pt>
                <c:pt idx="183" formatCode="General">
                  <c:v>3478.75</c:v>
                </c:pt>
                <c:pt idx="184" formatCode="General">
                  <c:v>3443.68</c:v>
                </c:pt>
                <c:pt idx="185" formatCode="General">
                  <c:v>3450.42</c:v>
                </c:pt>
                <c:pt idx="186" formatCode="General">
                  <c:v>3435.4</c:v>
                </c:pt>
                <c:pt idx="187" formatCode="General">
                  <c:v>3433.4</c:v>
                </c:pt>
                <c:pt idx="188" formatCode="General">
                  <c:v>3422.72</c:v>
                </c:pt>
                <c:pt idx="189" formatCode="General">
                  <c:v>3377.09</c:v>
                </c:pt>
                <c:pt idx="190" formatCode="General">
                  <c:v>3393.82</c:v>
                </c:pt>
                <c:pt idx="191" formatCode="General">
                  <c:v>3400.83</c:v>
                </c:pt>
                <c:pt idx="192" formatCode="General">
                  <c:v>3346.66</c:v>
                </c:pt>
                <c:pt idx="193" formatCode="0.0">
                  <c:v>3384.58</c:v>
                </c:pt>
                <c:pt idx="194" formatCode="0.0">
                  <c:v>3394.75</c:v>
                </c:pt>
                <c:pt idx="195" formatCode="0.0">
                  <c:v>3403.55</c:v>
                </c:pt>
                <c:pt idx="196" formatCode="0.0">
                  <c:v>3384.34</c:v>
                </c:pt>
                <c:pt idx="197" formatCode="0.0">
                  <c:v>3375.81</c:v>
                </c:pt>
                <c:pt idx="198" formatCode="0.0">
                  <c:v>3383.13</c:v>
                </c:pt>
                <c:pt idx="199" formatCode="0.0">
                  <c:v>3402.59</c:v>
                </c:pt>
                <c:pt idx="200" formatCode="0.0">
                  <c:v>3374.88</c:v>
                </c:pt>
                <c:pt idx="201" formatCode="0.0">
                  <c:v>3403.12</c:v>
                </c:pt>
                <c:pt idx="202" formatCode="0.0">
                  <c:v>3389.72</c:v>
                </c:pt>
                <c:pt idx="203" formatCode="0.0">
                  <c:v>3397.63</c:v>
                </c:pt>
                <c:pt idx="204" formatCode="0.0">
                  <c:v>3367.75</c:v>
                </c:pt>
                <c:pt idx="205" formatCode="0.0">
                  <c:v>3317.21</c:v>
                </c:pt>
                <c:pt idx="206" formatCode="0.0">
                  <c:v>3325.29</c:v>
                </c:pt>
                <c:pt idx="207" formatCode="0.0">
                  <c:v>3331.31</c:v>
                </c:pt>
                <c:pt idx="208" formatCode="0.0">
                  <c:v>3314.67</c:v>
                </c:pt>
                <c:pt idx="209" formatCode="0.0">
                  <c:v>3231.51</c:v>
                </c:pt>
                <c:pt idx="210" formatCode="0.0">
                  <c:v>3270.93</c:v>
                </c:pt>
                <c:pt idx="211" formatCode="0.0">
                  <c:v>3256.25</c:v>
                </c:pt>
                <c:pt idx="212" formatCode="0.0">
                  <c:v>3268.98</c:v>
                </c:pt>
                <c:pt idx="213" formatCode="0.0">
                  <c:v>3321.74</c:v>
                </c:pt>
                <c:pt idx="214" formatCode="0.0">
                  <c:v>3340.97</c:v>
                </c:pt>
                <c:pt idx="215" formatCode="0.0">
                  <c:v>3333.48</c:v>
                </c:pt>
                <c:pt idx="216" formatCode="0.0">
                  <c:v>3357.95</c:v>
                </c:pt>
                <c:pt idx="217" formatCode="0.0">
                  <c:v>3368.84</c:v>
                </c:pt>
                <c:pt idx="218" formatCode="0.0">
                  <c:v>3372.77</c:v>
                </c:pt>
                <c:pt idx="219" formatCode="0.0">
                  <c:v>3340.86</c:v>
                </c:pt>
                <c:pt idx="220" formatCode="0.0">
                  <c:v>3351.54</c:v>
                </c:pt>
                <c:pt idx="221" formatCode="0.0">
                  <c:v>3329.76</c:v>
                </c:pt>
                <c:pt idx="222" formatCode="0.0">
                  <c:v>3337.87</c:v>
                </c:pt>
                <c:pt idx="223" formatCode="0.0">
                  <c:v>3374.98</c:v>
                </c:pt>
                <c:pt idx="224" formatCode="0.0">
                  <c:v>3352.65</c:v>
                </c:pt>
                <c:pt idx="225" formatCode="0.0">
                  <c:v>3344.55</c:v>
                </c:pt>
                <c:pt idx="226" formatCode="0.0">
                  <c:v>3383.2</c:v>
                </c:pt>
                <c:pt idx="227" formatCode="0.0">
                  <c:v>3390.92</c:v>
                </c:pt>
                <c:pt idx="228" formatCode="0.0">
                  <c:v>3393.21</c:v>
                </c:pt>
                <c:pt idx="229" formatCode="0.0">
                  <c:v>3416.91</c:v>
                </c:pt>
                <c:pt idx="230" formatCode="0.0">
                  <c:v>3388.17</c:v>
                </c:pt>
                <c:pt idx="231" formatCode="0.0">
                  <c:v>3369.22</c:v>
                </c:pt>
                <c:pt idx="232" formatCode="0.0">
                  <c:v>3379.91</c:v>
                </c:pt>
                <c:pt idx="233" formatCode="0.0">
                  <c:v>3387.44</c:v>
                </c:pt>
                <c:pt idx="234" formatCode="0.0">
                  <c:v>3373.84</c:v>
                </c:pt>
                <c:pt idx="235" formatCode="General">
                  <c:v>3390.54</c:v>
                </c:pt>
                <c:pt idx="236" formatCode="0.0">
                  <c:v>3391.29</c:v>
                </c:pt>
                <c:pt idx="237">
                  <c:v>3376.14</c:v>
                </c:pt>
                <c:pt idx="238">
                  <c:v>3388.05</c:v>
                </c:pt>
                <c:pt idx="239">
                  <c:v>3377.48</c:v>
                </c:pt>
                <c:pt idx="240">
                  <c:v>3322.54</c:v>
                </c:pt>
                <c:pt idx="241">
                  <c:v>3345.42</c:v>
                </c:pt>
                <c:pt idx="242">
                  <c:v>3335.01</c:v>
                </c:pt>
                <c:pt idx="243">
                  <c:v>3327.77</c:v>
                </c:pt>
                <c:pt idx="244">
                  <c:v>3325.2</c:v>
                </c:pt>
                <c:pt idx="245">
                  <c:v>3337.04</c:v>
                </c:pt>
                <c:pt idx="246">
                  <c:v>3371.31</c:v>
                </c:pt>
                <c:pt idx="247">
                  <c:v>3341.09</c:v>
                </c:pt>
                <c:pt idx="248">
                  <c:v>3343.29</c:v>
                </c:pt>
                <c:pt idx="249">
                  <c:v>3343.57</c:v>
                </c:pt>
                <c:pt idx="250">
                  <c:v>3338.4</c:v>
                </c:pt>
                <c:pt idx="251">
                  <c:v>3328.02</c:v>
                </c:pt>
                <c:pt idx="252">
                  <c:v>3313.93</c:v>
                </c:pt>
                <c:pt idx="253">
                  <c:v>3293.6</c:v>
                </c:pt>
                <c:pt idx="254" formatCode="General">
                  <c:v>3289.61</c:v>
                </c:pt>
                <c:pt idx="255" formatCode="General">
                  <c:v>3274.68</c:v>
                </c:pt>
                <c:pt idx="256" formatCode="General">
                  <c:v>3268.22</c:v>
                </c:pt>
              </c:numCache>
            </c:numRef>
          </c:val>
          <c:smooth val="0"/>
        </c:ser>
        <c:dLbls>
          <c:showLegendKey val="0"/>
          <c:showVal val="0"/>
          <c:showCatName val="0"/>
          <c:showSerName val="0"/>
          <c:showPercent val="0"/>
          <c:showBubbleSize val="0"/>
        </c:dLbls>
        <c:smooth val="0"/>
        <c:axId val="534939496"/>
        <c:axId val="534939104"/>
      </c:lineChart>
      <c:dateAx>
        <c:axId val="534939496"/>
        <c:scaling>
          <c:orientation val="minMax"/>
          <c:max val="43524"/>
          <c:min val="43160"/>
        </c:scaling>
        <c:delete val="0"/>
        <c:axPos val="b"/>
        <c:minorGridlines>
          <c:spPr>
            <a:ln>
              <a:solidFill>
                <a:schemeClr val="tx2">
                  <a:lumMod val="5000"/>
                  <a:lumOff val="95000"/>
                </a:schemeClr>
              </a:solidFill>
            </a:ln>
            <a:effectLst/>
          </c:spPr>
        </c:minorGridlines>
        <c:numFmt formatCode="[$-409]mmm\-yy;@" sourceLinked="0"/>
        <c:majorTickMark val="cross"/>
        <c:minorTickMark val="cross"/>
        <c:tickLblPos val="nextTo"/>
        <c:spPr>
          <a:noFill/>
          <a:ln w="9525" cap="flat" cmpd="sng" algn="ctr">
            <a:solidFill>
              <a:schemeClr val="tx2">
                <a:lumMod val="15000"/>
                <a:lumOff val="85000"/>
              </a:schemeClr>
            </a:solidFill>
            <a:round/>
          </a:ln>
          <a:effectLst/>
        </c:spPr>
        <c:txPr>
          <a:bodyPr rot="-1380000" spcFirstLastPara="1" vertOverflow="ellipsis" wrap="square" anchor="ctr" anchorCtr="1"/>
          <a:lstStyle/>
          <a:p>
            <a:pPr>
              <a:defRPr sz="900" b="0" i="0" u="none" strike="noStrike" kern="1200" baseline="0">
                <a:solidFill>
                  <a:schemeClr val="dk1"/>
                </a:solidFill>
                <a:latin typeface="+mn-lt"/>
                <a:ea typeface="+mn-ea"/>
                <a:cs typeface="+mn-cs"/>
              </a:defRPr>
            </a:pPr>
            <a:endParaRPr lang="en-US"/>
          </a:p>
        </c:txPr>
        <c:crossAx val="534939104"/>
        <c:crosses val="autoZero"/>
        <c:auto val="0"/>
        <c:lblOffset val="100"/>
        <c:baseTimeUnit val="days"/>
        <c:majorUnit val="1"/>
        <c:majorTimeUnit val="months"/>
        <c:minorUnit val="1"/>
        <c:minorTimeUnit val="months"/>
      </c:dateAx>
      <c:valAx>
        <c:axId val="534939104"/>
        <c:scaling>
          <c:orientation val="minMax"/>
          <c:max val="4250"/>
          <c:min val="2550"/>
        </c:scaling>
        <c:delete val="0"/>
        <c:axPos val="l"/>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534939496"/>
        <c:crossesAt val="42978"/>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legend>
    <c:plotVisOnly val="1"/>
    <c:dispBlanksAs val="gap"/>
    <c:showDLblsOverMax val="0"/>
  </c:chart>
  <c:spPr>
    <a:solidFill>
      <a:schemeClr val="lt1"/>
    </a:solidFill>
    <a:ln w="25400" cap="flat" cmpd="sng" algn="ctr">
      <a:solidFill>
        <a:schemeClr val="tx2">
          <a:lumMod val="60000"/>
          <a:lumOff val="40000"/>
        </a:schemeClr>
      </a:solidFill>
      <a:prstDash val="solid"/>
      <a:round/>
    </a:ln>
    <a:effectLst/>
  </c:spPr>
  <c:txPr>
    <a:bodyPr/>
    <a:lstStyle/>
    <a:p>
      <a:pPr>
        <a:defRPr>
          <a:solidFill>
            <a:schemeClr val="dk1"/>
          </a:solidFill>
          <a:latin typeface="+mn-lt"/>
          <a:ea typeface="+mn-ea"/>
          <a:cs typeface="+mn-cs"/>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a:latin typeface="Times New Roman" panose="02020603050405020304" pitchFamily="18" charset="0"/>
                <a:cs typeface="Times New Roman" panose="02020603050405020304" pitchFamily="18" charset="0"/>
              </a:defRPr>
            </a:pPr>
            <a:r>
              <a:rPr lang="en-US" sz="1200">
                <a:latin typeface="Times New Roman" panose="02020603050405020304" pitchFamily="18" charset="0"/>
                <a:cs typeface="Times New Roman" panose="02020603050405020304" pitchFamily="18" charset="0"/>
              </a:rPr>
              <a:t>Variation (point-to-point)</a:t>
            </a:r>
            <a:r>
              <a:rPr lang="en-US" sz="1200" baseline="0">
                <a:latin typeface="Times New Roman" panose="02020603050405020304" pitchFamily="18" charset="0"/>
                <a:cs typeface="Times New Roman" panose="02020603050405020304" pitchFamily="18" charset="0"/>
              </a:rPr>
              <a:t> </a:t>
            </a:r>
            <a:r>
              <a:rPr lang="en-US" sz="1200">
                <a:latin typeface="Times New Roman" panose="02020603050405020304" pitchFamily="18" charset="0"/>
                <a:cs typeface="Times New Roman" panose="02020603050405020304" pitchFamily="18" charset="0"/>
              </a:rPr>
              <a:t>and Daily volatility of Indian Commodity Indices</a:t>
            </a:r>
          </a:p>
        </c:rich>
      </c:tx>
      <c:layout>
        <c:manualLayout>
          <c:xMode val="edge"/>
          <c:yMode val="edge"/>
          <c:x val="0.12919065797171303"/>
          <c:y val="1.6398022658463847E-3"/>
        </c:manualLayout>
      </c:layout>
      <c:overlay val="0"/>
      <c:spPr>
        <a:noFill/>
      </c:spPr>
    </c:title>
    <c:autoTitleDeleted val="0"/>
    <c:plotArea>
      <c:layout>
        <c:manualLayout>
          <c:layoutTarget val="inner"/>
          <c:xMode val="edge"/>
          <c:yMode val="edge"/>
          <c:x val="9.3085739282589675E-2"/>
          <c:y val="0.12917833187518227"/>
          <c:w val="0.87834872879696013"/>
          <c:h val="0.75529706513958494"/>
        </c:manualLayout>
      </c:layout>
      <c:barChart>
        <c:barDir val="col"/>
        <c:grouping val="clustered"/>
        <c:varyColors val="0"/>
        <c:ser>
          <c:idx val="0"/>
          <c:order val="0"/>
          <c:tx>
            <c:strRef>
              <c:f>'Volatility chart'!$C$4</c:f>
              <c:strCache>
                <c:ptCount val="1"/>
                <c:pt idx="0">
                  <c:v>%Variation</c:v>
                </c:pt>
              </c:strCache>
            </c:strRef>
          </c:tx>
          <c:invertIfNegative val="0"/>
          <c:dLbls>
            <c:dLbl>
              <c:idx val="0"/>
              <c:layout>
                <c:manualLayout>
                  <c:x val="-5.9701492537313433E-3"/>
                  <c:y val="1.2987353853495585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1"/>
              <c:layout>
                <c:manualLayout>
                  <c:x val="3.9800995024875619E-3"/>
                  <c:y val="1.4582158711642677E-2"/>
                </c:manualLayout>
              </c:layout>
              <c:spPr>
                <a:solidFill>
                  <a:schemeClr val="bg1">
                    <a:alpha val="89000"/>
                  </a:schemeClr>
                </a:solidFill>
              </c:spPr>
              <c:txPr>
                <a:bodyPr rot="0" vert="horz" anchor="b" anchorCtr="1"/>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dLbl>
              <c:idx val="2"/>
              <c:layout>
                <c:manualLayout>
                  <c:x val="-7.2967647950442939E-17"/>
                  <c:y val="-1.1124978253798966E-3"/>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3"/>
              <c:layout>
                <c:manualLayout>
                  <c:x val="0"/>
                  <c:y val="1.5264897443375133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4"/>
              <c:layout>
                <c:manualLayout>
                  <c:x val="0"/>
                  <c:y val="2.1645703377986842E-2"/>
                </c:manualLayout>
              </c:layout>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vert="horz" anchor="b" anchorCtr="1"/>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'Volatility chart'!$B$5:$B$9</c:f>
              <c:strCache>
                <c:ptCount val="5"/>
                <c:pt idx="0">
                  <c:v>MCX COMDEX index</c:v>
                </c:pt>
                <c:pt idx="1">
                  <c:v>NCDEX Dhaanya index</c:v>
                </c:pt>
                <c:pt idx="2">
                  <c:v>MCX Metal</c:v>
                </c:pt>
                <c:pt idx="3">
                  <c:v>MCX Energy</c:v>
                </c:pt>
                <c:pt idx="4">
                  <c:v>MCX Agri.</c:v>
                </c:pt>
              </c:strCache>
            </c:strRef>
          </c:cat>
          <c:val>
            <c:numRef>
              <c:f>'Volatility chart'!$C$5:$C$9</c:f>
              <c:numCache>
                <c:formatCode>0.0</c:formatCode>
                <c:ptCount val="5"/>
                <c:pt idx="0">
                  <c:v>2.1894788446611164</c:v>
                </c:pt>
                <c:pt idx="1">
                  <c:v>-3.6290025329594391</c:v>
                </c:pt>
                <c:pt idx="2">
                  <c:v>2.4457889220594091</c:v>
                </c:pt>
                <c:pt idx="3">
                  <c:v>4.231146284512417</c:v>
                </c:pt>
                <c:pt idx="4">
                  <c:v>-2.6757093825048224</c:v>
                </c:pt>
              </c:numCache>
            </c:numRef>
          </c:val>
        </c:ser>
        <c:ser>
          <c:idx val="1"/>
          <c:order val="1"/>
          <c:tx>
            <c:strRef>
              <c:f>'Volatility chart'!$D$4</c:f>
              <c:strCache>
                <c:ptCount val="1"/>
                <c:pt idx="0">
                  <c:v>Volatility</c:v>
                </c:pt>
              </c:strCache>
            </c:strRef>
          </c:tx>
          <c:invertIfNegative val="0"/>
          <c:dLbls>
            <c:spPr>
              <a:noFill/>
              <a:ln>
                <a:noFill/>
              </a:ln>
              <a:effectLst/>
            </c:spPr>
            <c:txPr>
              <a:bodyPr rot="0" vert="horz" anchor="ctr" anchorCtr="1"/>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'Volatility chart'!$B$5:$B$9</c:f>
              <c:strCache>
                <c:ptCount val="5"/>
                <c:pt idx="0">
                  <c:v>MCX COMDEX index</c:v>
                </c:pt>
                <c:pt idx="1">
                  <c:v>NCDEX Dhaanya index</c:v>
                </c:pt>
                <c:pt idx="2">
                  <c:v>MCX Metal</c:v>
                </c:pt>
                <c:pt idx="3">
                  <c:v>MCX Energy</c:v>
                </c:pt>
                <c:pt idx="4">
                  <c:v>MCX Agri.</c:v>
                </c:pt>
              </c:strCache>
            </c:strRef>
          </c:cat>
          <c:val>
            <c:numRef>
              <c:f>'Volatility chart'!$D$5:$D$9</c:f>
              <c:numCache>
                <c:formatCode>0.0</c:formatCode>
                <c:ptCount val="5"/>
                <c:pt idx="0">
                  <c:v>0.76461191499154335</c:v>
                </c:pt>
                <c:pt idx="1">
                  <c:v>0.56080487749927732</c:v>
                </c:pt>
                <c:pt idx="2">
                  <c:v>0.81085741807927525</c:v>
                </c:pt>
                <c:pt idx="3">
                  <c:v>1.6258476428254252</c:v>
                </c:pt>
                <c:pt idx="4">
                  <c:v>0.34395878740082952</c:v>
                </c:pt>
              </c:numCache>
            </c:numRef>
          </c:val>
        </c:ser>
        <c:dLbls>
          <c:showLegendKey val="0"/>
          <c:showVal val="0"/>
          <c:showCatName val="0"/>
          <c:showSerName val="0"/>
          <c:showPercent val="0"/>
          <c:showBubbleSize val="0"/>
        </c:dLbls>
        <c:gapWidth val="75"/>
        <c:overlap val="-25"/>
        <c:axId val="534938712"/>
        <c:axId val="534937928"/>
      </c:barChart>
      <c:catAx>
        <c:axId val="534938712"/>
        <c:scaling>
          <c:orientation val="minMax"/>
        </c:scaling>
        <c:delete val="0"/>
        <c:axPos val="b"/>
        <c:numFmt formatCode="General" sourceLinked="0"/>
        <c:majorTickMark val="out"/>
        <c:minorTickMark val="cross"/>
        <c:tickLblPos val="nextTo"/>
        <c:spPr>
          <a:ln w="12700">
            <a:solidFill>
              <a:schemeClr val="tx1"/>
            </a:solidFill>
          </a:ln>
        </c:spPr>
        <c:txPr>
          <a:bodyPr anchor="b" anchorCtr="0"/>
          <a:lstStyle/>
          <a:p>
            <a:pPr>
              <a:defRPr>
                <a:latin typeface="Times New Roman" panose="02020603050405020304" pitchFamily="18" charset="0"/>
                <a:cs typeface="Times New Roman" panose="02020603050405020304" pitchFamily="18" charset="0"/>
              </a:defRPr>
            </a:pPr>
            <a:endParaRPr lang="en-US"/>
          </a:p>
        </c:txPr>
        <c:crossAx val="534937928"/>
        <c:crosses val="autoZero"/>
        <c:auto val="1"/>
        <c:lblAlgn val="ctr"/>
        <c:lblOffset val="100"/>
        <c:noMultiLvlLbl val="0"/>
      </c:catAx>
      <c:valAx>
        <c:axId val="534937928"/>
        <c:scaling>
          <c:orientation val="minMax"/>
          <c:max val="5"/>
          <c:min val="-3.7"/>
        </c:scaling>
        <c:delete val="0"/>
        <c:axPos val="l"/>
        <c:majorGridlines>
          <c:spPr>
            <a:ln w="6350">
              <a:solidFill>
                <a:schemeClr val="bg1">
                  <a:lumMod val="85000"/>
                </a:schemeClr>
              </a:solidFill>
            </a:ln>
          </c:spPr>
        </c:majorGridlines>
        <c:numFmt formatCode="0" sourceLinked="0"/>
        <c:majorTickMark val="out"/>
        <c:minorTickMark val="none"/>
        <c:tickLblPos val="nextTo"/>
        <c:crossAx val="534938712"/>
        <c:crosses val="autoZero"/>
        <c:crossBetween val="between"/>
        <c:majorUnit val="5"/>
      </c:valAx>
    </c:plotArea>
    <c:legend>
      <c:legendPos val="b"/>
      <c:layout>
        <c:manualLayout>
          <c:xMode val="edge"/>
          <c:yMode val="edge"/>
          <c:x val="0.27764280957417636"/>
          <c:y val="0.92427627102167786"/>
          <c:w val="0.56133381863342047"/>
          <c:h val="7.572372897832215E-2"/>
        </c:manualLayout>
      </c:layout>
      <c:overlay val="0"/>
      <c:txPr>
        <a:bodyPr/>
        <a:lstStyle/>
        <a:p>
          <a:pPr>
            <a:defRPr sz="120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ln cap="rnd">
      <a:solidFill>
        <a:schemeClr val="accent1"/>
      </a:solidFill>
    </a:ln>
  </c:sp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291784605355703"/>
          <c:y val="0.18943323727185399"/>
          <c:w val="0.72409894841576172"/>
          <c:h val="0.50846052024476762"/>
        </c:manualLayout>
      </c:layout>
      <c:barChart>
        <c:barDir val="col"/>
        <c:grouping val="clustered"/>
        <c:varyColors val="0"/>
        <c:ser>
          <c:idx val="0"/>
          <c:order val="0"/>
          <c:tx>
            <c:strRef>
              <c:f>'Turnover charts'!$B$3</c:f>
              <c:strCache>
                <c:ptCount val="1"/>
                <c:pt idx="0">
                  <c:v>MCX Futures (LHS)</c:v>
                </c:pt>
              </c:strCache>
            </c:strRef>
          </c:tx>
          <c:spPr>
            <a:solidFill>
              <a:srgbClr val="92D050"/>
            </a:solidFill>
            <a:ln>
              <a:noFill/>
            </a:ln>
            <a:effectLst/>
          </c:spPr>
          <c:invertIfNegative val="0"/>
          <c:cat>
            <c:numRef>
              <c:f>'Turnover charts'!$A$4:$A$30</c:f>
              <c:numCache>
                <c:formatCode>mmm\-yy</c:formatCode>
                <c:ptCount val="12"/>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numCache>
            </c:numRef>
          </c:cat>
          <c:val>
            <c:numRef>
              <c:f>'Turnover charts'!$B$4:$B$30</c:f>
              <c:numCache>
                <c:formatCode>_ * #,##0_ ;_ * \-#,##0_ ;_ * "-"??_ ;_ @_ </c:formatCode>
                <c:ptCount val="12"/>
                <c:pt idx="0">
                  <c:v>9680.4601338000048</c:v>
                </c:pt>
                <c:pt idx="1">
                  <c:v>7382.0749536000003</c:v>
                </c:pt>
                <c:pt idx="2">
                  <c:v>8621.0231897999984</c:v>
                </c:pt>
                <c:pt idx="3">
                  <c:v>9715.8885376000017</c:v>
                </c:pt>
                <c:pt idx="4">
                  <c:v>9145.5647799999988</c:v>
                </c:pt>
                <c:pt idx="5">
                  <c:v>7635.2630787999997</c:v>
                </c:pt>
                <c:pt idx="6">
                  <c:v>7423.7061147999984</c:v>
                </c:pt>
                <c:pt idx="7">
                  <c:v>7922.7077328000023</c:v>
                </c:pt>
                <c:pt idx="8">
                  <c:v>8041</c:v>
                </c:pt>
                <c:pt idx="9" formatCode="#,##0">
                  <c:v>9155.3991984000022</c:v>
                </c:pt>
                <c:pt idx="10" formatCode="#,##0">
                  <c:v>8419.2546623999988</c:v>
                </c:pt>
                <c:pt idx="11" formatCode="#,##0">
                  <c:v>8064.5327172000007</c:v>
                </c:pt>
              </c:numCache>
            </c:numRef>
          </c:val>
        </c:ser>
        <c:ser>
          <c:idx val="1"/>
          <c:order val="1"/>
          <c:tx>
            <c:strRef>
              <c:f>'Turnover charts'!$C$3</c:f>
              <c:strCache>
                <c:ptCount val="1"/>
                <c:pt idx="0">
                  <c:v>NCDEX futures &amp; options (LHS)</c:v>
                </c:pt>
              </c:strCache>
            </c:strRef>
          </c:tx>
          <c:spPr>
            <a:solidFill>
              <a:schemeClr val="accent6">
                <a:lumMod val="75000"/>
              </a:schemeClr>
            </a:solidFill>
            <a:ln>
              <a:noFill/>
            </a:ln>
            <a:effectLst/>
          </c:spPr>
          <c:invertIfNegative val="0"/>
          <c:cat>
            <c:numRef>
              <c:f>'Turnover charts'!$A$4:$A$30</c:f>
              <c:numCache>
                <c:formatCode>mmm\-yy</c:formatCode>
                <c:ptCount val="12"/>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numCache>
            </c:numRef>
          </c:cat>
          <c:val>
            <c:numRef>
              <c:f>'Turnover charts'!$C$4:$C$30</c:f>
              <c:numCache>
                <c:formatCode>_ * #,##0_ ;_ * \-#,##0_ ;_ * "-"??_ ;_ @_ </c:formatCode>
                <c:ptCount val="12"/>
                <c:pt idx="0">
                  <c:v>43393.09</c:v>
                </c:pt>
                <c:pt idx="1">
                  <c:v>39640.085600000013</c:v>
                </c:pt>
                <c:pt idx="2">
                  <c:v>41751.186115000011</c:v>
                </c:pt>
                <c:pt idx="3">
                  <c:v>41910.456110000021</c:v>
                </c:pt>
                <c:pt idx="4">
                  <c:v>61338.829640000011</c:v>
                </c:pt>
                <c:pt idx="5">
                  <c:v>58383.212804999996</c:v>
                </c:pt>
                <c:pt idx="6">
                  <c:v>38261.393240000034</c:v>
                </c:pt>
                <c:pt idx="7">
                  <c:v>54066.129295000006</c:v>
                </c:pt>
                <c:pt idx="8">
                  <c:v>57367.91</c:v>
                </c:pt>
                <c:pt idx="9">
                  <c:v>35480.986544999971</c:v>
                </c:pt>
                <c:pt idx="10">
                  <c:v>41601.679790000017</c:v>
                </c:pt>
                <c:pt idx="11" formatCode="#,##0">
                  <c:v>29092.05000000001</c:v>
                </c:pt>
              </c:numCache>
            </c:numRef>
          </c:val>
        </c:ser>
        <c:dLbls>
          <c:showLegendKey val="0"/>
          <c:showVal val="0"/>
          <c:showCatName val="0"/>
          <c:showSerName val="0"/>
          <c:showPercent val="0"/>
          <c:showBubbleSize val="0"/>
        </c:dLbls>
        <c:gapWidth val="219"/>
        <c:overlap val="-27"/>
        <c:axId val="534940280"/>
        <c:axId val="534936752"/>
      </c:barChart>
      <c:barChart>
        <c:barDir val="col"/>
        <c:grouping val="clustered"/>
        <c:varyColors val="0"/>
        <c:ser>
          <c:idx val="3"/>
          <c:order val="3"/>
          <c:tx>
            <c:strRef>
              <c:f>'Turnover charts'!$E$3</c:f>
              <c:strCache>
                <c:ptCount val="1"/>
                <c:pt idx="0">
                  <c:v>BSE Agri (RHS)</c:v>
                </c:pt>
              </c:strCache>
            </c:strRef>
          </c:tx>
          <c:spPr>
            <a:solidFill>
              <a:srgbClr val="00B050"/>
            </a:solidFill>
            <a:ln>
              <a:noFill/>
            </a:ln>
            <a:effectLst/>
          </c:spPr>
          <c:invertIfNegative val="0"/>
          <c:cat>
            <c:numRef>
              <c:f>'Turnover charts'!$A$4:$A$30</c:f>
              <c:numCache>
                <c:formatCode>mmm\-yy</c:formatCode>
                <c:ptCount val="12"/>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numCache>
            </c:numRef>
          </c:cat>
          <c:val>
            <c:numRef>
              <c:f>'Turnover charts'!$E$4:$E$30</c:f>
              <c:numCache>
                <c:formatCode>General</c:formatCode>
                <c:ptCount val="12"/>
                <c:pt idx="11" formatCode="#,##0">
                  <c:v>1817.61805</c:v>
                </c:pt>
              </c:numCache>
            </c:numRef>
          </c:val>
        </c:ser>
        <c:dLbls>
          <c:showLegendKey val="0"/>
          <c:showVal val="0"/>
          <c:showCatName val="0"/>
          <c:showSerName val="0"/>
          <c:showPercent val="0"/>
          <c:showBubbleSize val="0"/>
        </c:dLbls>
        <c:gapWidth val="414"/>
        <c:axId val="534937536"/>
        <c:axId val="534935184"/>
      </c:barChart>
      <c:lineChart>
        <c:grouping val="standard"/>
        <c:varyColors val="0"/>
        <c:ser>
          <c:idx val="2"/>
          <c:order val="2"/>
          <c:tx>
            <c:strRef>
              <c:f>'Turnover charts'!$D$3</c:f>
              <c:strCache>
                <c:ptCount val="1"/>
                <c:pt idx="0">
                  <c:v>ICEX Futures (RHS)</c:v>
                </c:pt>
              </c:strCache>
            </c:strRef>
          </c:tx>
          <c:spPr>
            <a:ln w="28575" cap="rnd">
              <a:solidFill>
                <a:srgbClr val="00B0F0"/>
              </a:solidFill>
              <a:round/>
            </a:ln>
            <a:effectLst/>
          </c:spPr>
          <c:marker>
            <c:symbol val="none"/>
          </c:marker>
          <c:cat>
            <c:numRef>
              <c:f>'Turnover charts'!$A$4:$A$30</c:f>
              <c:numCache>
                <c:formatCode>mmm\-yy</c:formatCode>
                <c:ptCount val="12"/>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numCache>
            </c:numRef>
          </c:cat>
          <c:val>
            <c:numRef>
              <c:f>'Turnover charts'!$D$4:$D$30</c:f>
              <c:numCache>
                <c:formatCode>_ * #,##0_ ;_ * \-#,##0_ ;_ * "-"??_ ;_ @_ </c:formatCode>
                <c:ptCount val="12"/>
                <c:pt idx="0">
                  <c:v>3223.2846380000001</c:v>
                </c:pt>
                <c:pt idx="1">
                  <c:v>3165.9945440000001</c:v>
                </c:pt>
                <c:pt idx="2">
                  <c:v>3122.501499</c:v>
                </c:pt>
                <c:pt idx="3">
                  <c:v>2385.4702685000002</c:v>
                </c:pt>
                <c:pt idx="4">
                  <c:v>2441.2125058000001</c:v>
                </c:pt>
                <c:pt idx="5">
                  <c:v>1546.6436670000001</c:v>
                </c:pt>
                <c:pt idx="6">
                  <c:v>1172.834625</c:v>
                </c:pt>
                <c:pt idx="7" formatCode="0">
                  <c:v>135</c:v>
                </c:pt>
                <c:pt idx="8" formatCode="General">
                  <c:v>77</c:v>
                </c:pt>
                <c:pt idx="9" formatCode="0">
                  <c:v>126.75</c:v>
                </c:pt>
                <c:pt idx="10" formatCode="0">
                  <c:v>169.87</c:v>
                </c:pt>
                <c:pt idx="11" formatCode="#,##0">
                  <c:v>189.9</c:v>
                </c:pt>
              </c:numCache>
            </c:numRef>
          </c:val>
          <c:smooth val="0"/>
        </c:ser>
        <c:dLbls>
          <c:showLegendKey val="0"/>
          <c:showVal val="0"/>
          <c:showCatName val="0"/>
          <c:showSerName val="0"/>
          <c:showPercent val="0"/>
          <c:showBubbleSize val="0"/>
        </c:dLbls>
        <c:marker val="1"/>
        <c:smooth val="0"/>
        <c:axId val="534937536"/>
        <c:axId val="534935184"/>
      </c:lineChart>
      <c:dateAx>
        <c:axId val="534940280"/>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34936752"/>
        <c:crosses val="autoZero"/>
        <c:auto val="1"/>
        <c:lblOffset val="100"/>
        <c:baseTimeUnit val="months"/>
      </c:dateAx>
      <c:valAx>
        <c:axId val="5349367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Garamond" panose="02020404030301010803" pitchFamily="18" charset="0"/>
                    <a:ea typeface="+mn-ea"/>
                    <a:cs typeface="+mn-cs"/>
                  </a:defRPr>
                </a:pPr>
                <a:r>
                  <a:rPr lang="en-US" sz="1000" b="0" i="0" u="none" strike="noStrike" baseline="0">
                    <a:solidFill>
                      <a:schemeClr val="tx1"/>
                    </a:solidFill>
                    <a:effectLst/>
                    <a:latin typeface="Garamond" panose="02020404030301010803" pitchFamily="18" charset="0"/>
                  </a:rPr>
                  <a:t>₹</a:t>
                </a:r>
                <a:r>
                  <a:rPr lang="en-IN" sz="1000" b="0" i="0" u="none" strike="noStrike" baseline="0">
                    <a:solidFill>
                      <a:schemeClr val="tx1"/>
                    </a:solidFill>
                    <a:effectLst/>
                    <a:latin typeface="Garamond" panose="02020404030301010803" pitchFamily="18" charset="0"/>
                  </a:rPr>
                  <a:t> crore</a:t>
                </a:r>
                <a:endParaRPr lang="en-IN" b="0">
                  <a:solidFill>
                    <a:schemeClr val="tx1"/>
                  </a:solidFill>
                  <a:latin typeface="Garamond" panose="02020404030301010803"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Garamond" panose="02020404030301010803" pitchFamily="18" charset="0"/>
                  <a:ea typeface="+mn-ea"/>
                  <a:cs typeface="+mn-cs"/>
                </a:defRPr>
              </a:pPr>
              <a:endParaRPr lang="en-US"/>
            </a:p>
          </c:txPr>
        </c:title>
        <c:numFmt formatCode="_ * #,##0_ ;_ * \-#,##0_ ;_ * &quot;-&quot;??_ ;_ @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34940280"/>
        <c:crosses val="autoZero"/>
        <c:crossBetween val="between"/>
      </c:valAx>
      <c:valAx>
        <c:axId val="534935184"/>
        <c:scaling>
          <c:orientation val="minMax"/>
          <c:max val="7000"/>
        </c:scaling>
        <c:delete val="0"/>
        <c:axPos val="r"/>
        <c:title>
          <c:tx>
            <c:rich>
              <a:bodyPr rot="-5400000" spcFirstLastPara="1" vertOverflow="ellipsis" vert="horz" wrap="square" anchor="ctr" anchorCtr="1"/>
              <a:lstStyle/>
              <a:p>
                <a:pPr>
                  <a:defRPr sz="1000" b="0" i="0" u="none" strike="noStrike" kern="1200" baseline="0">
                    <a:solidFill>
                      <a:schemeClr val="tx1"/>
                    </a:solidFill>
                    <a:latin typeface="Garamond" panose="02020404030301010803" pitchFamily="18" charset="0"/>
                    <a:ea typeface="+mn-ea"/>
                    <a:cs typeface="+mn-cs"/>
                  </a:defRPr>
                </a:pPr>
                <a:r>
                  <a:rPr lang="en-US" sz="1000" b="0" i="0" u="none" strike="noStrike" baseline="0">
                    <a:solidFill>
                      <a:schemeClr val="tx1"/>
                    </a:solidFill>
                    <a:effectLst/>
                    <a:latin typeface="Garamond" panose="02020404030301010803" pitchFamily="18" charset="0"/>
                  </a:rPr>
                  <a:t>₹</a:t>
                </a:r>
                <a:r>
                  <a:rPr lang="en-IN" sz="1000" b="0" i="0" u="none" strike="noStrike" baseline="0">
                    <a:solidFill>
                      <a:schemeClr val="tx1"/>
                    </a:solidFill>
                    <a:effectLst/>
                    <a:latin typeface="Garamond" panose="02020404030301010803" pitchFamily="18" charset="0"/>
                  </a:rPr>
                  <a:t> crore</a:t>
                </a:r>
                <a:endParaRPr lang="en-IN" b="0">
                  <a:solidFill>
                    <a:schemeClr val="tx1"/>
                  </a:solidFill>
                  <a:latin typeface="Garamond" panose="02020404030301010803" pitchFamily="18" charset="0"/>
                </a:endParaRPr>
              </a:p>
            </c:rich>
          </c:tx>
          <c:layout>
            <c:manualLayout>
              <c:xMode val="edge"/>
              <c:yMode val="edge"/>
              <c:x val="0.93855111248348855"/>
              <c:y val="0.371303897215463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Garamond" panose="02020404030301010803"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34937536"/>
        <c:crosses val="max"/>
        <c:crossBetween val="between"/>
      </c:valAx>
      <c:dateAx>
        <c:axId val="534937536"/>
        <c:scaling>
          <c:orientation val="minMax"/>
        </c:scaling>
        <c:delete val="1"/>
        <c:axPos val="b"/>
        <c:numFmt formatCode="mmm\-yy" sourceLinked="1"/>
        <c:majorTickMark val="out"/>
        <c:minorTickMark val="none"/>
        <c:tickLblPos val="nextTo"/>
        <c:crossAx val="534935184"/>
        <c:crosses val="autoZero"/>
        <c:auto val="1"/>
        <c:lblOffset val="100"/>
        <c:baseTimeUnit val="months"/>
        <c:majorUnit val="1"/>
        <c:minorUnit val="1"/>
      </c:dateAx>
      <c:spPr>
        <a:noFill/>
        <a:ln>
          <a:noFill/>
        </a:ln>
        <a:effectLst/>
      </c:spPr>
    </c:plotArea>
    <c:legend>
      <c:legendPos val="b"/>
      <c:layout>
        <c:manualLayout>
          <c:xMode val="edge"/>
          <c:yMode val="edge"/>
          <c:x val="0.12625272331154683"/>
          <c:y val="0.85473507454219522"/>
          <c:w val="0.74313725490196092"/>
          <c:h val="0.1145252520668345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rgbClr val="00B0F0"/>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305161298966889"/>
          <c:y val="3.2894990690266274E-2"/>
          <c:w val="0.80845088592320657"/>
          <c:h val="0.72457814568050793"/>
        </c:manualLayout>
      </c:layout>
      <c:barChart>
        <c:barDir val="col"/>
        <c:grouping val="stacked"/>
        <c:varyColors val="0"/>
        <c:ser>
          <c:idx val="0"/>
          <c:order val="0"/>
          <c:tx>
            <c:strRef>
              <c:f>'Turnover charts'!$I$3</c:f>
              <c:strCache>
                <c:ptCount val="1"/>
                <c:pt idx="0">
                  <c:v>MCX Futures (LHS)</c:v>
                </c:pt>
              </c:strCache>
            </c:strRef>
          </c:tx>
          <c:spPr>
            <a:solidFill>
              <a:schemeClr val="accent1"/>
            </a:solidFill>
            <a:ln>
              <a:noFill/>
            </a:ln>
            <a:effectLst/>
          </c:spPr>
          <c:invertIfNegative val="0"/>
          <c:cat>
            <c:numRef>
              <c:f>'Turnover charts'!$H$19:$H$30</c:f>
              <c:numCache>
                <c:formatCode>mmm\-yy</c:formatCode>
                <c:ptCount val="12"/>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numCache>
            </c:numRef>
          </c:cat>
          <c:val>
            <c:numRef>
              <c:f>'Turnover charts'!$I$19:$I$30</c:f>
              <c:numCache>
                <c:formatCode>_(* #,##0_);_(* \(#,##0\);_(* "-"??_);_(@_)</c:formatCode>
                <c:ptCount val="12"/>
                <c:pt idx="0">
                  <c:v>502333.84615715011</c:v>
                </c:pt>
                <c:pt idx="1">
                  <c:v>554481.07702095003</c:v>
                </c:pt>
                <c:pt idx="2">
                  <c:v>514263.34081070009</c:v>
                </c:pt>
                <c:pt idx="3">
                  <c:v>488935.25250099995</c:v>
                </c:pt>
                <c:pt idx="4">
                  <c:v>510099.26815124979</c:v>
                </c:pt>
                <c:pt idx="5">
                  <c:v>503460.0791320501</c:v>
                </c:pt>
                <c:pt idx="6">
                  <c:v>540136.1876240999</c:v>
                </c:pt>
                <c:pt idx="7">
                  <c:v>602393.52301564987</c:v>
                </c:pt>
                <c:pt idx="8">
                  <c:v>560373.39216535003</c:v>
                </c:pt>
                <c:pt idx="9">
                  <c:v>515431.74569595006</c:v>
                </c:pt>
                <c:pt idx="10">
                  <c:v>600469.55308069987</c:v>
                </c:pt>
                <c:pt idx="11">
                  <c:v>532389.84253700008</c:v>
                </c:pt>
              </c:numCache>
            </c:numRef>
          </c:val>
        </c:ser>
        <c:ser>
          <c:idx val="1"/>
          <c:order val="1"/>
          <c:tx>
            <c:strRef>
              <c:f>'Turnover charts'!$J$3</c:f>
              <c:strCache>
                <c:ptCount val="1"/>
                <c:pt idx="0">
                  <c:v>MCX Options (LHS)</c:v>
                </c:pt>
              </c:strCache>
            </c:strRef>
          </c:tx>
          <c:spPr>
            <a:solidFill>
              <a:schemeClr val="accent2"/>
            </a:solidFill>
            <a:ln w="12700">
              <a:solidFill>
                <a:schemeClr val="tx1">
                  <a:lumMod val="75000"/>
                  <a:lumOff val="25000"/>
                </a:schemeClr>
              </a:solidFill>
            </a:ln>
            <a:effectLst/>
          </c:spPr>
          <c:invertIfNegative val="0"/>
          <c:cat>
            <c:numRef>
              <c:f>'Turnover charts'!$H$19:$H$30</c:f>
              <c:numCache>
                <c:formatCode>mmm\-yy</c:formatCode>
                <c:ptCount val="12"/>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numCache>
            </c:numRef>
          </c:cat>
          <c:val>
            <c:numRef>
              <c:f>'Turnover charts'!$J$19:$J$30</c:f>
              <c:numCache>
                <c:formatCode>_(* #,##0_);_(* \(#,##0\);_(* "-"??_);_(@_)</c:formatCode>
                <c:ptCount val="12"/>
                <c:pt idx="0">
                  <c:v>703.93000000000006</c:v>
                </c:pt>
                <c:pt idx="1">
                  <c:v>2640.42</c:v>
                </c:pt>
                <c:pt idx="2">
                  <c:v>16870.32</c:v>
                </c:pt>
                <c:pt idx="3">
                  <c:v>15987.750000000002</c:v>
                </c:pt>
                <c:pt idx="4">
                  <c:v>19672.011136500001</c:v>
                </c:pt>
                <c:pt idx="5">
                  <c:v>11041.360000000002</c:v>
                </c:pt>
                <c:pt idx="6">
                  <c:v>46624.133279499998</c:v>
                </c:pt>
                <c:pt idx="7">
                  <c:v>15644.809233</c:v>
                </c:pt>
                <c:pt idx="8">
                  <c:v>10235</c:v>
                </c:pt>
                <c:pt idx="9">
                  <c:v>9813.9104735000001</c:v>
                </c:pt>
                <c:pt idx="10">
                  <c:v>10472.720000000001</c:v>
                </c:pt>
                <c:pt idx="11">
                  <c:v>9291.3051825000002</c:v>
                </c:pt>
              </c:numCache>
            </c:numRef>
          </c:val>
        </c:ser>
        <c:dLbls>
          <c:showLegendKey val="0"/>
          <c:showVal val="0"/>
          <c:showCatName val="0"/>
          <c:showSerName val="0"/>
          <c:showPercent val="0"/>
          <c:showBubbleSize val="0"/>
        </c:dLbls>
        <c:gapWidth val="219"/>
        <c:overlap val="100"/>
        <c:axId val="534935576"/>
        <c:axId val="534930480"/>
      </c:barChart>
      <c:lineChart>
        <c:grouping val="standard"/>
        <c:varyColors val="0"/>
        <c:ser>
          <c:idx val="2"/>
          <c:order val="2"/>
          <c:tx>
            <c:strRef>
              <c:f>'Turnover charts'!$K$3</c:f>
              <c:strCache>
                <c:ptCount val="1"/>
                <c:pt idx="0">
                  <c:v>BSE Futures (RHS)</c:v>
                </c:pt>
              </c:strCache>
            </c:strRef>
          </c:tx>
          <c:spPr>
            <a:ln w="28575" cap="rnd">
              <a:solidFill>
                <a:srgbClr val="FF0000"/>
              </a:solidFill>
              <a:round/>
            </a:ln>
            <a:effectLst/>
          </c:spPr>
          <c:marker>
            <c:symbol val="none"/>
          </c:marker>
          <c:cat>
            <c:numRef>
              <c:f>'Turnover charts'!$H$19:$H$30</c:f>
              <c:numCache>
                <c:formatCode>mmm\-yy</c:formatCode>
                <c:ptCount val="12"/>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numCache>
            </c:numRef>
          </c:cat>
          <c:val>
            <c:numRef>
              <c:f>'Turnover charts'!$K$19:$K$30</c:f>
              <c:numCache>
                <c:formatCode>General</c:formatCode>
                <c:ptCount val="12"/>
                <c:pt idx="7" formatCode="_(* #,##0_);_(* \(#,##0\);_(* &quot;-&quot;??_);_(@_)">
                  <c:v>7049.36</c:v>
                </c:pt>
                <c:pt idx="8" formatCode="_(* #,##0_);_(* \(#,##0\);_(* &quot;-&quot;??_);_(@_)">
                  <c:v>7228.18</c:v>
                </c:pt>
                <c:pt idx="9" formatCode="_(* #,##0_);_(* \(#,##0\);_(* &quot;-&quot;??_);_(@_)">
                  <c:v>3754.7995000000001</c:v>
                </c:pt>
                <c:pt idx="10" formatCode="_(* #,##0_);_(* \(#,##0\);_(* &quot;-&quot;??_);_(@_)">
                  <c:v>6538.5090380000001</c:v>
                </c:pt>
                <c:pt idx="11" formatCode="_(* #,##0_);_(* \(#,##0\);_(* &quot;-&quot;??_);_(@_)">
                  <c:v>3807.87</c:v>
                </c:pt>
              </c:numCache>
            </c:numRef>
          </c:val>
          <c:smooth val="0"/>
        </c:ser>
        <c:ser>
          <c:idx val="3"/>
          <c:order val="3"/>
          <c:tx>
            <c:strRef>
              <c:f>'Turnover charts'!$L$3</c:f>
              <c:strCache>
                <c:ptCount val="1"/>
                <c:pt idx="0">
                  <c:v>NSE Futures (RHS)</c:v>
                </c:pt>
              </c:strCache>
            </c:strRef>
          </c:tx>
          <c:spPr>
            <a:ln w="28575" cap="rnd">
              <a:solidFill>
                <a:srgbClr val="7030A0"/>
              </a:solidFill>
              <a:round/>
            </a:ln>
            <a:effectLst/>
          </c:spPr>
          <c:marker>
            <c:symbol val="none"/>
          </c:marker>
          <c:cat>
            <c:numRef>
              <c:f>'Turnover charts'!$H$19:$H$30</c:f>
              <c:numCache>
                <c:formatCode>mmm\-yy</c:formatCode>
                <c:ptCount val="12"/>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numCache>
            </c:numRef>
          </c:cat>
          <c:val>
            <c:numRef>
              <c:f>'Turnover charts'!$L$19:$L$30</c:f>
              <c:numCache>
                <c:formatCode>General</c:formatCode>
                <c:ptCount val="12"/>
                <c:pt idx="7" formatCode="_(* #,##0_);_(* \(#,##0\);_(* &quot;-&quot;??_);_(@_)">
                  <c:v>696</c:v>
                </c:pt>
                <c:pt idx="8" formatCode="_(* #,##0_);_(* \(#,##0\);_(* &quot;-&quot;??_);_(@_)">
                  <c:v>838</c:v>
                </c:pt>
                <c:pt idx="9" formatCode="_(* #,##0_);_(* \(#,##0\);_(* &quot;-&quot;??_);_(@_)">
                  <c:v>532.61176099999989</c:v>
                </c:pt>
                <c:pt idx="10" formatCode="_(* #,##0_);_(* \(#,##0\);_(* &quot;-&quot;??_);_(@_)">
                  <c:v>448.81896000000006</c:v>
                </c:pt>
                <c:pt idx="11" formatCode="_(* #,##0_);_(* \(#,##0\);_(* &quot;-&quot;??_);_(@_)">
                  <c:v>498.68747400000018</c:v>
                </c:pt>
              </c:numCache>
            </c:numRef>
          </c:val>
          <c:smooth val="0"/>
        </c:ser>
        <c:ser>
          <c:idx val="4"/>
          <c:order val="4"/>
          <c:tx>
            <c:strRef>
              <c:f>'Turnover charts'!$M$3</c:f>
              <c:strCache>
                <c:ptCount val="1"/>
                <c:pt idx="0">
                  <c:v>ICEX Futures (RHS)</c:v>
                </c:pt>
              </c:strCache>
            </c:strRef>
          </c:tx>
          <c:spPr>
            <a:ln w="28575" cap="rnd">
              <a:solidFill>
                <a:srgbClr val="FFC000"/>
              </a:solidFill>
              <a:round/>
            </a:ln>
            <a:effectLst/>
          </c:spPr>
          <c:marker>
            <c:symbol val="none"/>
          </c:marker>
          <c:cat>
            <c:numRef>
              <c:f>'Turnover charts'!$H$19:$H$30</c:f>
              <c:numCache>
                <c:formatCode>mmm\-yy</c:formatCode>
                <c:ptCount val="12"/>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numCache>
            </c:numRef>
          </c:cat>
          <c:val>
            <c:numRef>
              <c:f>'Turnover charts'!$M$19:$M$30</c:f>
              <c:numCache>
                <c:formatCode>_(* #,##0_);_(* \(#,##0\);_(* "-"??_);_(@_)</c:formatCode>
                <c:ptCount val="12"/>
                <c:pt idx="0">
                  <c:v>416.07</c:v>
                </c:pt>
                <c:pt idx="1">
                  <c:v>479.26</c:v>
                </c:pt>
                <c:pt idx="2">
                  <c:v>362.4169</c:v>
                </c:pt>
                <c:pt idx="3">
                  <c:v>294.87927165000002</c:v>
                </c:pt>
                <c:pt idx="4">
                  <c:v>465.09</c:v>
                </c:pt>
                <c:pt idx="5">
                  <c:v>432.48</c:v>
                </c:pt>
                <c:pt idx="6">
                  <c:v>931.1400000000001</c:v>
                </c:pt>
                <c:pt idx="7">
                  <c:v>1605.41</c:v>
                </c:pt>
                <c:pt idx="8">
                  <c:v>2282</c:v>
                </c:pt>
                <c:pt idx="9">
                  <c:v>2864.81</c:v>
                </c:pt>
                <c:pt idx="10">
                  <c:v>3465.17</c:v>
                </c:pt>
                <c:pt idx="11" formatCode="_ * #,##0_ ;_ * \-#,##0_ ;_ * &quot;-&quot;??_ ;_ @_ ">
                  <c:v>5142.6001000000006</c:v>
                </c:pt>
              </c:numCache>
            </c:numRef>
          </c:val>
          <c:smooth val="0"/>
        </c:ser>
        <c:dLbls>
          <c:showLegendKey val="0"/>
          <c:showVal val="0"/>
          <c:showCatName val="0"/>
          <c:showSerName val="0"/>
          <c:showPercent val="0"/>
          <c:showBubbleSize val="0"/>
        </c:dLbls>
        <c:marker val="1"/>
        <c:smooth val="0"/>
        <c:axId val="534932832"/>
        <c:axId val="534925384"/>
      </c:lineChart>
      <c:dateAx>
        <c:axId val="534935576"/>
        <c:scaling>
          <c:orientation val="minMax"/>
          <c:max val="43524"/>
          <c:min val="43160"/>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1000" b="0" i="0" u="none" strike="noStrike" kern="1200" baseline="0">
                <a:solidFill>
                  <a:sysClr val="windowText" lastClr="000000"/>
                </a:solidFill>
                <a:latin typeface="Palatino Linotype" panose="02040502050505030304" pitchFamily="18" charset="0"/>
                <a:ea typeface="+mn-ea"/>
                <a:cs typeface="+mn-cs"/>
              </a:defRPr>
            </a:pPr>
            <a:endParaRPr lang="en-US"/>
          </a:p>
        </c:txPr>
        <c:crossAx val="534930480"/>
        <c:crosses val="autoZero"/>
        <c:auto val="1"/>
        <c:lblOffset val="100"/>
        <c:baseTimeUnit val="months"/>
      </c:dateAx>
      <c:valAx>
        <c:axId val="534930480"/>
        <c:scaling>
          <c:orientation val="minMax"/>
          <c:max val="700000"/>
          <c:min val="1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r>
                  <a:rPr lang="en-US" sz="1000" b="1" i="0" baseline="0">
                    <a:solidFill>
                      <a:sysClr val="windowText" lastClr="000000"/>
                    </a:solidFill>
                    <a:effectLst/>
                  </a:rPr>
                  <a:t>₹</a:t>
                </a:r>
                <a:r>
                  <a:rPr lang="en-IN" sz="1000" b="0" i="0" baseline="0">
                    <a:solidFill>
                      <a:sysClr val="windowText" lastClr="000000"/>
                    </a:solidFill>
                    <a:effectLst/>
                  </a:rPr>
                  <a:t>. crore</a:t>
                </a:r>
                <a:endParaRPr lang="en-IN" sz="1000">
                  <a:solidFill>
                    <a:sysClr val="windowText" lastClr="000000"/>
                  </a:solidFill>
                  <a:effectLst/>
                </a:endParaRPr>
              </a:p>
            </c:rich>
          </c:tx>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4935576"/>
        <c:crosses val="autoZero"/>
        <c:crossBetween val="between"/>
        <c:majorUnit val="100000"/>
      </c:valAx>
      <c:valAx>
        <c:axId val="534925384"/>
        <c:scaling>
          <c:orientation val="minMax"/>
          <c:max val="8000"/>
        </c:scaling>
        <c:delete val="0"/>
        <c:axPos val="r"/>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r>
                  <a:rPr lang="en-US" sz="1000" b="1" i="0" baseline="0">
                    <a:solidFill>
                      <a:sysClr val="windowText" lastClr="000000"/>
                    </a:solidFill>
                    <a:effectLst/>
                  </a:rPr>
                  <a:t>₹</a:t>
                </a:r>
                <a:r>
                  <a:rPr lang="en-IN" sz="1000" b="0" i="0" baseline="0">
                    <a:solidFill>
                      <a:sysClr val="windowText" lastClr="000000"/>
                    </a:solidFill>
                    <a:effectLst/>
                  </a:rPr>
                  <a:t> crore</a:t>
                </a:r>
                <a:endParaRPr lang="en-IN" sz="1000">
                  <a:solidFill>
                    <a:sysClr val="windowText" lastClr="000000"/>
                  </a:solidFill>
                  <a:effectLst/>
                </a:endParaRPr>
              </a:p>
            </c:rich>
          </c:tx>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4932832"/>
        <c:crosses val="max"/>
        <c:crossBetween val="between"/>
        <c:majorUnit val="1000"/>
      </c:valAx>
      <c:dateAx>
        <c:axId val="534932832"/>
        <c:scaling>
          <c:orientation val="minMax"/>
        </c:scaling>
        <c:delete val="1"/>
        <c:axPos val="b"/>
        <c:numFmt formatCode="mmm\-yy" sourceLinked="1"/>
        <c:majorTickMark val="out"/>
        <c:minorTickMark val="none"/>
        <c:tickLblPos val="nextTo"/>
        <c:crossAx val="534925384"/>
        <c:crosses val="autoZero"/>
        <c:auto val="1"/>
        <c:lblOffset val="100"/>
        <c:baseTimeUnit val="months"/>
      </c:dateAx>
      <c:spPr>
        <a:noFill/>
        <a:ln>
          <a:noFill/>
        </a:ln>
        <a:effectLst/>
      </c:spPr>
    </c:plotArea>
    <c:legend>
      <c:legendPos val="b"/>
      <c:layout>
        <c:manualLayout>
          <c:xMode val="edge"/>
          <c:yMode val="edge"/>
          <c:x val="0.13383768205444907"/>
          <c:y val="0.8957632859995065"/>
          <c:w val="0.80356790020340996"/>
          <c:h val="0.1004601775205449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70C0"/>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200" b="1" i="0" u="none" strike="noStrike" kern="1200" spc="0" baseline="0">
                <a:solidFill>
                  <a:schemeClr val="tx1">
                    <a:lumMod val="85000"/>
                    <a:lumOff val="15000"/>
                  </a:schemeClr>
                </a:solidFill>
                <a:latin typeface="Garamond" panose="02020404030301010803" pitchFamily="18" charset="0"/>
                <a:ea typeface="+mn-ea"/>
                <a:cs typeface="+mn-cs"/>
              </a:defRPr>
            </a:pPr>
            <a:r>
              <a:rPr lang="en-IN" sz="1200" b="1"/>
              <a:t>M-o-M Price movement for Commodity futures traded on domestic exchanges during February 2019 (per cent)</a:t>
            </a:r>
          </a:p>
        </c:rich>
      </c:tx>
      <c:layout>
        <c:manualLayout>
          <c:xMode val="edge"/>
          <c:yMode val="edge"/>
          <c:x val="0.11680831592429534"/>
          <c:y val="8.4835621520013855E-3"/>
        </c:manualLayout>
      </c:layout>
      <c:overlay val="0"/>
      <c:spPr>
        <a:noFill/>
        <a:ln>
          <a:noFill/>
        </a:ln>
        <a:effectLst/>
      </c:spPr>
      <c:txPr>
        <a:bodyPr rot="0" spcFirstLastPara="1" vertOverflow="ellipsis" vert="horz" wrap="square" anchor="ctr" anchorCtr="1"/>
        <a:lstStyle/>
        <a:p>
          <a:pPr algn="ctr">
            <a:defRPr sz="1200" b="1" i="0" u="none" strike="noStrike" kern="1200" spc="0" baseline="0">
              <a:solidFill>
                <a:schemeClr val="tx1">
                  <a:lumMod val="85000"/>
                  <a:lumOff val="15000"/>
                </a:schemeClr>
              </a:solidFill>
              <a:latin typeface="Garamond" panose="02020404030301010803" pitchFamily="18" charset="0"/>
              <a:ea typeface="+mn-ea"/>
              <a:cs typeface="+mn-cs"/>
            </a:defRPr>
          </a:pPr>
          <a:endParaRPr lang="en-US"/>
        </a:p>
      </c:txPr>
    </c:title>
    <c:autoTitleDeleted val="0"/>
    <c:plotArea>
      <c:layout>
        <c:manualLayout>
          <c:layoutTarget val="inner"/>
          <c:xMode val="edge"/>
          <c:yMode val="edge"/>
          <c:x val="0.25547813368697825"/>
          <c:y val="7.8734686700142636E-2"/>
          <c:w val="0.70738606000851578"/>
          <c:h val="0.89761657841550291"/>
        </c:manualLayout>
      </c:layout>
      <c:barChart>
        <c:barDir val="bar"/>
        <c:grouping val="clustered"/>
        <c:varyColors val="0"/>
        <c:ser>
          <c:idx val="0"/>
          <c:order val="0"/>
          <c:spPr>
            <a:solidFill>
              <a:schemeClr val="accent1"/>
            </a:solidFill>
            <a:ln>
              <a:noFill/>
            </a:ln>
            <a:effectLst/>
          </c:spPr>
          <c:invertIfNegative val="0"/>
          <c:dPt>
            <c:idx val="0"/>
            <c:invertIfNegative val="0"/>
            <c:bubble3D val="0"/>
            <c:spPr>
              <a:solidFill>
                <a:srgbClr val="00B050"/>
              </a:solidFill>
              <a:ln>
                <a:solidFill>
                  <a:sysClr val="windowText" lastClr="000000"/>
                </a:solidFill>
              </a:ln>
              <a:effectLst/>
            </c:spPr>
          </c:dPt>
          <c:dPt>
            <c:idx val="1"/>
            <c:invertIfNegative val="0"/>
            <c:bubble3D val="0"/>
            <c:spPr>
              <a:solidFill>
                <a:srgbClr val="00B050"/>
              </a:solidFill>
              <a:ln>
                <a:solidFill>
                  <a:sysClr val="windowText" lastClr="000000"/>
                </a:solidFill>
              </a:ln>
              <a:effectLst/>
            </c:spPr>
          </c:dPt>
          <c:dPt>
            <c:idx val="2"/>
            <c:invertIfNegative val="0"/>
            <c:bubble3D val="0"/>
            <c:spPr>
              <a:solidFill>
                <a:schemeClr val="tx1">
                  <a:lumMod val="85000"/>
                  <a:lumOff val="15000"/>
                </a:schemeClr>
              </a:solidFill>
              <a:ln>
                <a:solidFill>
                  <a:sysClr val="windowText" lastClr="000000"/>
                </a:solidFill>
              </a:ln>
              <a:effectLst/>
            </c:spPr>
          </c:dPt>
          <c:dPt>
            <c:idx val="3"/>
            <c:invertIfNegative val="0"/>
            <c:bubble3D val="0"/>
            <c:spPr>
              <a:solidFill>
                <a:schemeClr val="tx1">
                  <a:lumMod val="85000"/>
                  <a:lumOff val="15000"/>
                </a:schemeClr>
              </a:solidFill>
              <a:ln>
                <a:solidFill>
                  <a:sysClr val="windowText" lastClr="000000"/>
                </a:solidFill>
              </a:ln>
              <a:effectLst/>
            </c:spPr>
          </c:dPt>
          <c:dPt>
            <c:idx val="4"/>
            <c:invertIfNegative val="0"/>
            <c:bubble3D val="0"/>
            <c:spPr>
              <a:solidFill>
                <a:srgbClr val="FF0000"/>
              </a:solidFill>
              <a:ln>
                <a:solidFill>
                  <a:sysClr val="windowText" lastClr="000000"/>
                </a:solidFill>
              </a:ln>
              <a:effectLst/>
            </c:spPr>
          </c:dPt>
          <c:dPt>
            <c:idx val="5"/>
            <c:invertIfNegative val="0"/>
            <c:bubble3D val="0"/>
            <c:spPr>
              <a:solidFill>
                <a:schemeClr val="tx1">
                  <a:lumMod val="85000"/>
                  <a:lumOff val="15000"/>
                </a:schemeClr>
              </a:solidFill>
              <a:ln>
                <a:solidFill>
                  <a:sysClr val="windowText" lastClr="000000"/>
                </a:solidFill>
              </a:ln>
              <a:effectLst/>
            </c:spPr>
          </c:dPt>
          <c:dPt>
            <c:idx val="6"/>
            <c:invertIfNegative val="0"/>
            <c:bubble3D val="0"/>
            <c:spPr>
              <a:solidFill>
                <a:schemeClr val="tx1">
                  <a:lumMod val="85000"/>
                  <a:lumOff val="15000"/>
                </a:schemeClr>
              </a:solidFill>
              <a:ln>
                <a:solidFill>
                  <a:sysClr val="windowText" lastClr="000000"/>
                </a:solidFill>
              </a:ln>
              <a:effectLst/>
            </c:spPr>
          </c:dPt>
          <c:dPt>
            <c:idx val="7"/>
            <c:invertIfNegative val="0"/>
            <c:bubble3D val="0"/>
            <c:spPr>
              <a:solidFill>
                <a:schemeClr val="bg2">
                  <a:lumMod val="25000"/>
                </a:schemeClr>
              </a:solidFill>
              <a:ln>
                <a:solidFill>
                  <a:sysClr val="windowText" lastClr="000000"/>
                </a:solidFill>
              </a:ln>
              <a:effectLst/>
            </c:spPr>
          </c:dPt>
          <c:dPt>
            <c:idx val="8"/>
            <c:invertIfNegative val="0"/>
            <c:bubble3D val="0"/>
            <c:spPr>
              <a:solidFill>
                <a:srgbClr val="00B050"/>
              </a:solidFill>
              <a:ln>
                <a:solidFill>
                  <a:sysClr val="windowText" lastClr="000000"/>
                </a:solidFill>
              </a:ln>
              <a:effectLst/>
            </c:spPr>
          </c:dPt>
          <c:dPt>
            <c:idx val="9"/>
            <c:invertIfNegative val="0"/>
            <c:bubble3D val="0"/>
            <c:spPr>
              <a:solidFill>
                <a:srgbClr val="00B050"/>
              </a:solidFill>
              <a:ln>
                <a:solidFill>
                  <a:sysClr val="windowText" lastClr="000000"/>
                </a:solidFill>
              </a:ln>
              <a:effectLst/>
            </c:spPr>
          </c:dPt>
          <c:dPt>
            <c:idx val="10"/>
            <c:invertIfNegative val="0"/>
            <c:bubble3D val="0"/>
            <c:spPr>
              <a:solidFill>
                <a:schemeClr val="bg2">
                  <a:lumMod val="25000"/>
                </a:schemeClr>
              </a:solidFill>
              <a:ln>
                <a:solidFill>
                  <a:sysClr val="windowText" lastClr="000000"/>
                </a:solidFill>
              </a:ln>
              <a:effectLst/>
            </c:spPr>
          </c:dPt>
          <c:dPt>
            <c:idx val="11"/>
            <c:invertIfNegative val="0"/>
            <c:bubble3D val="0"/>
            <c:spPr>
              <a:solidFill>
                <a:srgbClr val="FFC000"/>
              </a:solidFill>
              <a:ln>
                <a:solidFill>
                  <a:sysClr val="windowText" lastClr="000000"/>
                </a:solidFill>
              </a:ln>
              <a:effectLst/>
            </c:spPr>
          </c:dPt>
          <c:dPt>
            <c:idx val="13"/>
            <c:invertIfNegative val="0"/>
            <c:bubble3D val="0"/>
            <c:spPr>
              <a:solidFill>
                <a:srgbClr val="FFC000"/>
              </a:solidFill>
              <a:ln>
                <a:solidFill>
                  <a:sysClr val="windowText" lastClr="000000"/>
                </a:solidFill>
              </a:ln>
              <a:effectLst/>
            </c:spPr>
          </c:dPt>
          <c:dPt>
            <c:idx val="14"/>
            <c:invertIfNegative val="0"/>
            <c:bubble3D val="0"/>
            <c:spPr>
              <a:solidFill>
                <a:srgbClr val="FFC000"/>
              </a:solidFill>
              <a:ln>
                <a:solidFill>
                  <a:sysClr val="windowText" lastClr="000000"/>
                </a:solidFill>
              </a:ln>
              <a:effectLst/>
            </c:spPr>
          </c:dPt>
          <c:dPt>
            <c:idx val="15"/>
            <c:invertIfNegative val="0"/>
            <c:bubble3D val="0"/>
            <c:spPr>
              <a:solidFill>
                <a:srgbClr val="0070C0"/>
              </a:solidFill>
              <a:ln>
                <a:solidFill>
                  <a:sysClr val="windowText" lastClr="000000"/>
                </a:solidFill>
              </a:ln>
              <a:effectLst/>
            </c:spPr>
          </c:dPt>
          <c:dPt>
            <c:idx val="16"/>
            <c:invertIfNegative val="0"/>
            <c:bubble3D val="0"/>
            <c:spPr>
              <a:solidFill>
                <a:srgbClr val="FF0000"/>
              </a:solidFill>
              <a:ln>
                <a:solidFill>
                  <a:sysClr val="windowText" lastClr="000000"/>
                </a:solidFill>
              </a:ln>
              <a:effectLst/>
            </c:spPr>
          </c:dPt>
          <c:dPt>
            <c:idx val="17"/>
            <c:invertIfNegative val="0"/>
            <c:bubble3D val="0"/>
            <c:spPr>
              <a:solidFill>
                <a:srgbClr val="FFC000"/>
              </a:solidFill>
              <a:ln>
                <a:solidFill>
                  <a:sysClr val="windowText" lastClr="000000"/>
                </a:solidFill>
              </a:ln>
              <a:effectLst/>
            </c:spPr>
          </c:dPt>
          <c:dPt>
            <c:idx val="18"/>
            <c:invertIfNegative val="0"/>
            <c:bubble3D val="0"/>
            <c:spPr>
              <a:solidFill>
                <a:srgbClr val="FFC000"/>
              </a:solidFill>
              <a:ln>
                <a:solidFill>
                  <a:sysClr val="windowText" lastClr="000000"/>
                </a:solidFill>
              </a:ln>
              <a:effectLst/>
            </c:spPr>
          </c:dPt>
          <c:dPt>
            <c:idx val="19"/>
            <c:invertIfNegative val="0"/>
            <c:bubble3D val="0"/>
            <c:spPr>
              <a:solidFill>
                <a:srgbClr val="00B050"/>
              </a:solidFill>
              <a:ln>
                <a:solidFill>
                  <a:sysClr val="windowText" lastClr="000000"/>
                </a:solidFill>
              </a:ln>
              <a:effectLst/>
            </c:spPr>
          </c:dPt>
          <c:dPt>
            <c:idx val="20"/>
            <c:invertIfNegative val="0"/>
            <c:bubble3D val="0"/>
            <c:spPr>
              <a:solidFill>
                <a:srgbClr val="00B050"/>
              </a:solidFill>
              <a:ln>
                <a:solidFill>
                  <a:sysClr val="windowText" lastClr="000000"/>
                </a:solidFill>
              </a:ln>
              <a:effectLst/>
            </c:spPr>
          </c:dPt>
          <c:dPt>
            <c:idx val="21"/>
            <c:invertIfNegative val="0"/>
            <c:bubble3D val="0"/>
            <c:spPr>
              <a:solidFill>
                <a:srgbClr val="00B050"/>
              </a:solidFill>
              <a:ln>
                <a:solidFill>
                  <a:sysClr val="windowText" lastClr="000000"/>
                </a:solidFill>
              </a:ln>
              <a:effectLst/>
            </c:spPr>
          </c:dPt>
          <c:dPt>
            <c:idx val="22"/>
            <c:invertIfNegative val="0"/>
            <c:bubble3D val="0"/>
            <c:spPr>
              <a:solidFill>
                <a:srgbClr val="00B050"/>
              </a:solidFill>
              <a:ln>
                <a:solidFill>
                  <a:sysClr val="windowText" lastClr="000000"/>
                </a:solidFill>
              </a:ln>
              <a:effectLst/>
            </c:spPr>
          </c:dPt>
          <c:dPt>
            <c:idx val="23"/>
            <c:invertIfNegative val="0"/>
            <c:bubble3D val="0"/>
            <c:spPr>
              <a:solidFill>
                <a:srgbClr val="00B050"/>
              </a:solidFill>
              <a:ln>
                <a:solidFill>
                  <a:sysClr val="windowText" lastClr="000000"/>
                </a:solidFill>
              </a:ln>
              <a:effectLst/>
            </c:spPr>
          </c:dPt>
          <c:dPt>
            <c:idx val="24"/>
            <c:invertIfNegative val="0"/>
            <c:bubble3D val="0"/>
            <c:spPr>
              <a:solidFill>
                <a:srgbClr val="00B050"/>
              </a:solidFill>
              <a:ln>
                <a:solidFill>
                  <a:sysClr val="windowText" lastClr="000000"/>
                </a:solidFill>
              </a:ln>
              <a:effectLst/>
            </c:spPr>
          </c:dPt>
          <c:dPt>
            <c:idx val="25"/>
            <c:invertIfNegative val="0"/>
            <c:bubble3D val="0"/>
            <c:spPr>
              <a:solidFill>
                <a:srgbClr val="FFC000"/>
              </a:solidFill>
              <a:ln>
                <a:solidFill>
                  <a:sysClr val="windowText" lastClr="000000"/>
                </a:solidFill>
              </a:ln>
              <a:effectLst/>
            </c:spPr>
          </c:dPt>
          <c:dPt>
            <c:idx val="26"/>
            <c:invertIfNegative val="0"/>
            <c:bubble3D val="0"/>
            <c:spPr>
              <a:solidFill>
                <a:srgbClr val="00B050"/>
              </a:solidFill>
              <a:ln>
                <a:solidFill>
                  <a:sysClr val="windowText" lastClr="000000"/>
                </a:solidFill>
              </a:ln>
              <a:effectLst/>
            </c:spPr>
          </c:dPt>
          <c:dPt>
            <c:idx val="27"/>
            <c:invertIfNegative val="0"/>
            <c:bubble3D val="0"/>
            <c:spPr>
              <a:solidFill>
                <a:srgbClr val="00B050"/>
              </a:solidFill>
              <a:ln>
                <a:solidFill>
                  <a:sysClr val="windowText" lastClr="000000"/>
                </a:solidFill>
              </a:ln>
              <a:effectLst/>
            </c:spPr>
          </c:dPt>
          <c:dPt>
            <c:idx val="28"/>
            <c:invertIfNegative val="0"/>
            <c:bubble3D val="0"/>
            <c:spPr>
              <a:solidFill>
                <a:srgbClr val="00B050"/>
              </a:solidFill>
              <a:ln>
                <a:solidFill>
                  <a:sysClr val="windowText" lastClr="000000"/>
                </a:solidFill>
              </a:ln>
              <a:effectLst/>
            </c:spPr>
          </c:dPt>
          <c:dPt>
            <c:idx val="29"/>
            <c:invertIfNegative val="0"/>
            <c:bubble3D val="0"/>
            <c:spPr>
              <a:solidFill>
                <a:srgbClr val="00B050"/>
              </a:solidFill>
              <a:ln>
                <a:solidFill>
                  <a:sysClr val="windowText" lastClr="000000"/>
                </a:solidFill>
              </a:ln>
              <a:effectLst/>
            </c:spPr>
          </c:dPt>
          <c:dPt>
            <c:idx val="30"/>
            <c:invertIfNegative val="0"/>
            <c:bubble3D val="0"/>
            <c:spPr>
              <a:solidFill>
                <a:srgbClr val="00B050"/>
              </a:solidFill>
              <a:ln>
                <a:solidFill>
                  <a:sysClr val="windowText" lastClr="000000"/>
                </a:solidFill>
              </a:ln>
              <a:effectLst/>
            </c:spPr>
          </c:dPt>
          <c:dPt>
            <c:idx val="31"/>
            <c:invertIfNegative val="0"/>
            <c:bubble3D val="0"/>
            <c:spPr>
              <a:solidFill>
                <a:srgbClr val="00B050"/>
              </a:solidFill>
              <a:ln>
                <a:solidFill>
                  <a:sysClr val="windowText" lastClr="000000"/>
                </a:solidFill>
              </a:ln>
              <a:effectLst/>
            </c:spPr>
          </c:dPt>
          <c:dPt>
            <c:idx val="32"/>
            <c:invertIfNegative val="0"/>
            <c:bubble3D val="0"/>
            <c:spPr>
              <a:solidFill>
                <a:srgbClr val="00B050"/>
              </a:solidFill>
              <a:ln>
                <a:solidFill>
                  <a:sysClr val="windowText" lastClr="000000"/>
                </a:solidFill>
              </a:ln>
              <a:effectLst/>
            </c:spPr>
          </c:dPt>
          <c:dPt>
            <c:idx val="33"/>
            <c:invertIfNegative val="0"/>
            <c:bubble3D val="0"/>
            <c:spPr>
              <a:solidFill>
                <a:srgbClr val="00B050"/>
              </a:solidFill>
              <a:ln>
                <a:solidFill>
                  <a:sysClr val="windowText" lastClr="000000"/>
                </a:solidFill>
              </a:ln>
              <a:effectLst/>
            </c:spPr>
          </c:dPt>
          <c:dPt>
            <c:idx val="34"/>
            <c:invertIfNegative val="0"/>
            <c:bubble3D val="0"/>
            <c:spPr>
              <a:solidFill>
                <a:srgbClr val="00B050"/>
              </a:solidFill>
              <a:ln>
                <a:solidFill>
                  <a:sysClr val="windowText" lastClr="000000"/>
                </a:solidFill>
              </a:ln>
              <a:effectLst/>
            </c:spPr>
          </c:dPt>
          <c:dPt>
            <c:idx val="35"/>
            <c:invertIfNegative val="0"/>
            <c:bubble3D val="0"/>
            <c:spPr>
              <a:solidFill>
                <a:srgbClr val="00B050"/>
              </a:solidFill>
              <a:ln>
                <a:solidFill>
                  <a:sysClr val="windowText" lastClr="000000"/>
                </a:solidFill>
              </a:ln>
              <a:effectLst/>
            </c:spPr>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85000"/>
                        <a:lumOff val="1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'Graph - Domestic futures'!$A$50:$A$85</c:f>
              <c:strCache>
                <c:ptCount val="36"/>
                <c:pt idx="0">
                  <c:v>Rubber  ICEX</c:v>
                </c:pt>
                <c:pt idx="1">
                  <c:v>Maize Rabi</c:v>
                </c:pt>
                <c:pt idx="2">
                  <c:v>Copper</c:v>
                </c:pt>
                <c:pt idx="3">
                  <c:v>Nickel</c:v>
                </c:pt>
                <c:pt idx="4">
                  <c:v>Crude Oil</c:v>
                </c:pt>
                <c:pt idx="5">
                  <c:v>Steel Long</c:v>
                </c:pt>
                <c:pt idx="6">
                  <c:v>Lead</c:v>
                </c:pt>
                <c:pt idx="7">
                  <c:v>Zinc</c:v>
                </c:pt>
                <c:pt idx="8">
                  <c:v>Castor Seed (NCDEX)</c:v>
                </c:pt>
                <c:pt idx="9">
                  <c:v>Mentha Oil</c:v>
                </c:pt>
                <c:pt idx="10">
                  <c:v>Aluminium</c:v>
                </c:pt>
                <c:pt idx="11">
                  <c:v>Gold (NSE)</c:v>
                </c:pt>
                <c:pt idx="12">
                  <c:v>Diamond 1CT</c:v>
                </c:pt>
                <c:pt idx="13">
                  <c:v>Gold (BSE)</c:v>
                </c:pt>
                <c:pt idx="14">
                  <c:v>Gold MCX</c:v>
                </c:pt>
                <c:pt idx="15">
                  <c:v>Diamond 0.5CT</c:v>
                </c:pt>
                <c:pt idx="16">
                  <c:v>Natural Gas</c:v>
                </c:pt>
                <c:pt idx="17">
                  <c:v>Silver (NSE)</c:v>
                </c:pt>
                <c:pt idx="18">
                  <c:v>Silver (BSE)</c:v>
                </c:pt>
                <c:pt idx="19">
                  <c:v>Turmeric</c:v>
                </c:pt>
                <c:pt idx="20">
                  <c:v>Barley </c:v>
                </c:pt>
                <c:pt idx="21">
                  <c:v>CPO</c:v>
                </c:pt>
                <c:pt idx="22">
                  <c:v>Ref. Soy Oil</c:v>
                </c:pt>
                <c:pt idx="23">
                  <c:v>Cotton</c:v>
                </c:pt>
                <c:pt idx="24">
                  <c:v>Wheat</c:v>
                </c:pt>
                <c:pt idx="25">
                  <c:v>Silver MCX</c:v>
                </c:pt>
                <c:pt idx="26">
                  <c:v>Chana</c:v>
                </c:pt>
                <c:pt idx="27">
                  <c:v>Jeera </c:v>
                </c:pt>
                <c:pt idx="28">
                  <c:v>Kapas</c:v>
                </c:pt>
                <c:pt idx="29">
                  <c:v>RM seed (NCDEX)</c:v>
                </c:pt>
                <c:pt idx="30">
                  <c:v>Guar seed (NCDEX)</c:v>
                </c:pt>
                <c:pt idx="31">
                  <c:v>Guar Gum</c:v>
                </c:pt>
                <c:pt idx="32">
                  <c:v>Soybean</c:v>
                </c:pt>
                <c:pt idx="33">
                  <c:v>Cotton seed oil cake</c:v>
                </c:pt>
                <c:pt idx="34">
                  <c:v>Cardamom</c:v>
                </c:pt>
                <c:pt idx="35">
                  <c:v>Coriander </c:v>
                </c:pt>
              </c:strCache>
            </c:strRef>
          </c:cat>
          <c:val>
            <c:numRef>
              <c:f>'Graph - Domestic futures'!$B$50:$B$85</c:f>
              <c:numCache>
                <c:formatCode>0.0%</c:formatCode>
                <c:ptCount val="36"/>
                <c:pt idx="0">
                  <c:v>6.1229508196721315E-2</c:v>
                </c:pt>
                <c:pt idx="1">
                  <c:v>6.0191518467852256E-2</c:v>
                </c:pt>
                <c:pt idx="2">
                  <c:v>5.8158135283363777E-2</c:v>
                </c:pt>
                <c:pt idx="3">
                  <c:v>5.5505004549590481E-2</c:v>
                </c:pt>
                <c:pt idx="4">
                  <c:v>4.8849831997932282E-2</c:v>
                </c:pt>
                <c:pt idx="5">
                  <c:v>3.4389140271493215E-2</c:v>
                </c:pt>
                <c:pt idx="6">
                  <c:v>3.2670932974065495E-2</c:v>
                </c:pt>
                <c:pt idx="7">
                  <c:v>2.9769609112089049E-2</c:v>
                </c:pt>
                <c:pt idx="8">
                  <c:v>1.9058732010890703E-2</c:v>
                </c:pt>
                <c:pt idx="9">
                  <c:v>1.0816815763316378E-2</c:v>
                </c:pt>
                <c:pt idx="10">
                  <c:v>8.9853987270684284E-3</c:v>
                </c:pt>
                <c:pt idx="11">
                  <c:v>2E-3</c:v>
                </c:pt>
                <c:pt idx="12">
                  <c:v>8.5990583326277226E-4</c:v>
                </c:pt>
                <c:pt idx="13">
                  <c:v>-2.0871143375680579E-3</c:v>
                </c:pt>
                <c:pt idx="14">
                  <c:v>-2.2688770571151983E-3</c:v>
                </c:pt>
                <c:pt idx="15">
                  <c:v>-5.6458828247925776E-3</c:v>
                </c:pt>
                <c:pt idx="16">
                  <c:v>-8.9330024813896354E-3</c:v>
                </c:pt>
                <c:pt idx="17">
                  <c:v>-0.01</c:v>
                </c:pt>
                <c:pt idx="18">
                  <c:v>-1.8618988902589395E-2</c:v>
                </c:pt>
                <c:pt idx="19">
                  <c:v>-1.9381056580181306E-2</c:v>
                </c:pt>
                <c:pt idx="20">
                  <c:v>-2.3296962547920966E-2</c:v>
                </c:pt>
                <c:pt idx="21">
                  <c:v>-2.364864864864857E-2</c:v>
                </c:pt>
                <c:pt idx="22">
                  <c:v>-2.5006444960041219E-2</c:v>
                </c:pt>
                <c:pt idx="23">
                  <c:v>-2.886002886002886E-2</c:v>
                </c:pt>
                <c:pt idx="24">
                  <c:v>-3.2080200501253132E-2</c:v>
                </c:pt>
                <c:pt idx="25">
                  <c:v>-3.2270827666361683E-2</c:v>
                </c:pt>
                <c:pt idx="26">
                  <c:v>-3.2541567695961997E-2</c:v>
                </c:pt>
                <c:pt idx="27">
                  <c:v>-3.3823989978077042E-2</c:v>
                </c:pt>
                <c:pt idx="28">
                  <c:v>-3.4407665505226483E-2</c:v>
                </c:pt>
                <c:pt idx="29">
                  <c:v>-3.9166457444137583E-2</c:v>
                </c:pt>
                <c:pt idx="30">
                  <c:v>-4.1542002301495976E-2</c:v>
                </c:pt>
                <c:pt idx="31">
                  <c:v>-4.1834271922767501E-2</c:v>
                </c:pt>
                <c:pt idx="32">
                  <c:v>-5.5410350235232622E-2</c:v>
                </c:pt>
                <c:pt idx="33">
                  <c:v>-6.1354192129063796E-2</c:v>
                </c:pt>
                <c:pt idx="34">
                  <c:v>-6.3002250080360006E-2</c:v>
                </c:pt>
                <c:pt idx="35">
                  <c:v>-6.4799394398183191E-2</c:v>
                </c:pt>
              </c:numCache>
            </c:numRef>
          </c:val>
          <c:extLst/>
        </c:ser>
        <c:dLbls>
          <c:showLegendKey val="0"/>
          <c:showVal val="0"/>
          <c:showCatName val="0"/>
          <c:showSerName val="0"/>
          <c:showPercent val="0"/>
          <c:showBubbleSize val="0"/>
        </c:dLbls>
        <c:gapWidth val="63"/>
        <c:overlap val="34"/>
        <c:axId val="534934008"/>
        <c:axId val="534933616"/>
      </c:barChart>
      <c:catAx>
        <c:axId val="534934008"/>
        <c:scaling>
          <c:orientation val="maxMin"/>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1" i="0" u="none" strike="noStrike" kern="1200" baseline="0">
                <a:solidFill>
                  <a:schemeClr val="tx1">
                    <a:lumMod val="85000"/>
                    <a:lumOff val="15000"/>
                  </a:schemeClr>
                </a:solidFill>
                <a:latin typeface="Garamond" panose="02020404030301010803" pitchFamily="18" charset="0"/>
                <a:ea typeface="+mn-ea"/>
                <a:cs typeface="+mn-cs"/>
              </a:defRPr>
            </a:pPr>
            <a:endParaRPr lang="en-US"/>
          </a:p>
        </c:txPr>
        <c:crossAx val="534933616"/>
        <c:crosses val="autoZero"/>
        <c:auto val="1"/>
        <c:lblAlgn val="ctr"/>
        <c:lblOffset val="100"/>
        <c:noMultiLvlLbl val="0"/>
      </c:catAx>
      <c:valAx>
        <c:axId val="534933616"/>
        <c:scaling>
          <c:orientation val="minMax"/>
          <c:max val="0.1"/>
          <c:min val="-0.1"/>
        </c:scaling>
        <c:delete val="0"/>
        <c:axPos val="t"/>
        <c:numFmt formatCode="0.0%" sourceLinked="0"/>
        <c:majorTickMark val="none"/>
        <c:minorTickMark val="none"/>
        <c:tickLblPos val="high"/>
        <c:spPr>
          <a:noFill/>
          <a:ln>
            <a:solidFill>
              <a:schemeClr val="bg1">
                <a:lumMod val="65000"/>
              </a:schemeClr>
            </a:solidFill>
          </a:ln>
          <a:effectLst/>
        </c:spPr>
        <c:txPr>
          <a:bodyPr rot="-60000000" spcFirstLastPara="1" vertOverflow="ellipsis" vert="horz" wrap="square" anchor="ctr" anchorCtr="1"/>
          <a:lstStyle/>
          <a:p>
            <a:pPr>
              <a:defRPr sz="1000" b="1" i="0" u="none" strike="noStrike" kern="1200" baseline="0">
                <a:solidFill>
                  <a:schemeClr val="tx1">
                    <a:lumMod val="85000"/>
                    <a:lumOff val="15000"/>
                  </a:schemeClr>
                </a:solidFill>
                <a:latin typeface="Garamond" panose="02020404030301010803" pitchFamily="18" charset="0"/>
                <a:ea typeface="+mn-ea"/>
                <a:cs typeface="+mn-cs"/>
              </a:defRPr>
            </a:pPr>
            <a:endParaRPr lang="en-US"/>
          </a:p>
        </c:txPr>
        <c:crossAx val="534934008"/>
        <c:crosses val="autoZero"/>
        <c:crossBetween val="between"/>
      </c:valAx>
      <c:spPr>
        <a:noFill/>
        <a:ln>
          <a:noFill/>
        </a:ln>
        <a:effectLst/>
      </c:spPr>
    </c:plotArea>
    <c:plotVisOnly val="1"/>
    <c:dispBlanksAs val="gap"/>
    <c:showDLblsOverMax val="0"/>
  </c:chart>
  <c:spPr>
    <a:solidFill>
      <a:schemeClr val="bg1"/>
    </a:solidFill>
    <a:ln w="9525" cap="flat" cmpd="sng" algn="ctr">
      <a:solidFill>
        <a:srgbClr val="0070C0"/>
      </a:solidFill>
      <a:round/>
    </a:ln>
    <a:effectLst/>
  </c:spPr>
  <c:txPr>
    <a:bodyPr/>
    <a:lstStyle/>
    <a:p>
      <a:pPr>
        <a:defRPr>
          <a:solidFill>
            <a:schemeClr val="tx1">
              <a:lumMod val="85000"/>
              <a:lumOff val="15000"/>
            </a:schemeClr>
          </a:solidFill>
          <a:latin typeface="Garamond" panose="02020404030301010803" pitchFamily="18" charset="0"/>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6087182199239999E-2"/>
          <c:y val="3.9426523297491002E-2"/>
          <c:w val="0.90591530536294895"/>
          <c:h val="0.73786950572440801"/>
        </c:manualLayout>
      </c:layout>
      <c:lineChart>
        <c:grouping val="standard"/>
        <c:varyColors val="0"/>
        <c:ser>
          <c:idx val="0"/>
          <c:order val="0"/>
          <c:tx>
            <c:strRef>
              <c:f>Index_Charts!$C$1</c:f>
              <c:strCache>
                <c:ptCount val="1"/>
                <c:pt idx="0">
                  <c:v>Dow Jones Industrial Average</c:v>
                </c:pt>
              </c:strCache>
            </c:strRef>
          </c:tx>
          <c:spPr>
            <a:ln w="28575" cap="rnd">
              <a:solidFill>
                <a:schemeClr val="accent1"/>
              </a:solidFill>
              <a:round/>
            </a:ln>
            <a:effectLst/>
          </c:spPr>
          <c:marker>
            <c:symbol val="none"/>
          </c:marker>
          <c:cat>
            <c:numRef>
              <c:f>Index_Charts!$B$3:$B$292</c:f>
              <c:numCache>
                <c:formatCode>[$-409]mmmm\-yy;@</c:formatCode>
                <c:ptCount val="290"/>
                <c:pt idx="0">
                  <c:v>43191</c:v>
                </c:pt>
                <c:pt idx="1">
                  <c:v>43192</c:v>
                </c:pt>
                <c:pt idx="2">
                  <c:v>43193</c:v>
                </c:pt>
                <c:pt idx="3">
                  <c:v>43194</c:v>
                </c:pt>
                <c:pt idx="4">
                  <c:v>43195</c:v>
                </c:pt>
                <c:pt idx="5">
                  <c:v>43196</c:v>
                </c:pt>
                <c:pt idx="6">
                  <c:v>43197</c:v>
                </c:pt>
                <c:pt idx="7">
                  <c:v>43198</c:v>
                </c:pt>
                <c:pt idx="8">
                  <c:v>43199</c:v>
                </c:pt>
                <c:pt idx="9">
                  <c:v>43200</c:v>
                </c:pt>
                <c:pt idx="10">
                  <c:v>43201</c:v>
                </c:pt>
                <c:pt idx="11">
                  <c:v>43202</c:v>
                </c:pt>
                <c:pt idx="12">
                  <c:v>43203</c:v>
                </c:pt>
                <c:pt idx="13">
                  <c:v>43204</c:v>
                </c:pt>
                <c:pt idx="14">
                  <c:v>43205</c:v>
                </c:pt>
                <c:pt idx="15">
                  <c:v>43206</c:v>
                </c:pt>
                <c:pt idx="16">
                  <c:v>43207</c:v>
                </c:pt>
                <c:pt idx="17">
                  <c:v>43208</c:v>
                </c:pt>
                <c:pt idx="18">
                  <c:v>43209</c:v>
                </c:pt>
                <c:pt idx="19">
                  <c:v>43210</c:v>
                </c:pt>
                <c:pt idx="20">
                  <c:v>43211</c:v>
                </c:pt>
                <c:pt idx="21">
                  <c:v>43212</c:v>
                </c:pt>
                <c:pt idx="22">
                  <c:v>43213</c:v>
                </c:pt>
                <c:pt idx="23">
                  <c:v>43214</c:v>
                </c:pt>
                <c:pt idx="24">
                  <c:v>43215</c:v>
                </c:pt>
                <c:pt idx="25">
                  <c:v>43216</c:v>
                </c:pt>
                <c:pt idx="26">
                  <c:v>43217</c:v>
                </c:pt>
                <c:pt idx="27">
                  <c:v>43218</c:v>
                </c:pt>
                <c:pt idx="28">
                  <c:v>43219</c:v>
                </c:pt>
                <c:pt idx="29">
                  <c:v>43220</c:v>
                </c:pt>
                <c:pt idx="30">
                  <c:v>43221</c:v>
                </c:pt>
                <c:pt idx="31">
                  <c:v>43222</c:v>
                </c:pt>
                <c:pt idx="32">
                  <c:v>43223</c:v>
                </c:pt>
                <c:pt idx="33">
                  <c:v>43224</c:v>
                </c:pt>
                <c:pt idx="34">
                  <c:v>43225</c:v>
                </c:pt>
                <c:pt idx="35">
                  <c:v>43226</c:v>
                </c:pt>
                <c:pt idx="36">
                  <c:v>43227</c:v>
                </c:pt>
                <c:pt idx="37">
                  <c:v>43228</c:v>
                </c:pt>
                <c:pt idx="38">
                  <c:v>43229</c:v>
                </c:pt>
                <c:pt idx="39">
                  <c:v>43230</c:v>
                </c:pt>
                <c:pt idx="40">
                  <c:v>43231</c:v>
                </c:pt>
                <c:pt idx="41">
                  <c:v>43232</c:v>
                </c:pt>
                <c:pt idx="42">
                  <c:v>43233</c:v>
                </c:pt>
                <c:pt idx="43">
                  <c:v>43234</c:v>
                </c:pt>
                <c:pt idx="44">
                  <c:v>43235</c:v>
                </c:pt>
                <c:pt idx="45">
                  <c:v>43236</c:v>
                </c:pt>
                <c:pt idx="46">
                  <c:v>43237</c:v>
                </c:pt>
                <c:pt idx="47">
                  <c:v>43238</c:v>
                </c:pt>
                <c:pt idx="48">
                  <c:v>43239</c:v>
                </c:pt>
                <c:pt idx="49">
                  <c:v>43240</c:v>
                </c:pt>
                <c:pt idx="50">
                  <c:v>43241</c:v>
                </c:pt>
                <c:pt idx="51">
                  <c:v>43242</c:v>
                </c:pt>
                <c:pt idx="52">
                  <c:v>43243</c:v>
                </c:pt>
                <c:pt idx="53">
                  <c:v>43244</c:v>
                </c:pt>
                <c:pt idx="54">
                  <c:v>43245</c:v>
                </c:pt>
                <c:pt idx="55">
                  <c:v>43246</c:v>
                </c:pt>
                <c:pt idx="56">
                  <c:v>43247</c:v>
                </c:pt>
                <c:pt idx="57">
                  <c:v>43248</c:v>
                </c:pt>
                <c:pt idx="58">
                  <c:v>43249</c:v>
                </c:pt>
                <c:pt idx="59">
                  <c:v>43250</c:v>
                </c:pt>
                <c:pt idx="60">
                  <c:v>43251</c:v>
                </c:pt>
                <c:pt idx="61">
                  <c:v>43252</c:v>
                </c:pt>
                <c:pt idx="62">
                  <c:v>43253</c:v>
                </c:pt>
                <c:pt idx="63">
                  <c:v>43254</c:v>
                </c:pt>
                <c:pt idx="64">
                  <c:v>43255</c:v>
                </c:pt>
                <c:pt idx="65">
                  <c:v>43256</c:v>
                </c:pt>
                <c:pt idx="66">
                  <c:v>43257</c:v>
                </c:pt>
                <c:pt idx="67">
                  <c:v>43258</c:v>
                </c:pt>
                <c:pt idx="68">
                  <c:v>43259</c:v>
                </c:pt>
                <c:pt idx="69">
                  <c:v>43260</c:v>
                </c:pt>
                <c:pt idx="70">
                  <c:v>43261</c:v>
                </c:pt>
                <c:pt idx="71">
                  <c:v>43262</c:v>
                </c:pt>
                <c:pt idx="72">
                  <c:v>43263</c:v>
                </c:pt>
                <c:pt idx="73">
                  <c:v>43264</c:v>
                </c:pt>
                <c:pt idx="74">
                  <c:v>43265</c:v>
                </c:pt>
                <c:pt idx="75">
                  <c:v>43266</c:v>
                </c:pt>
                <c:pt idx="76">
                  <c:v>43267</c:v>
                </c:pt>
                <c:pt idx="77">
                  <c:v>43268</c:v>
                </c:pt>
                <c:pt idx="78">
                  <c:v>43269</c:v>
                </c:pt>
                <c:pt idx="79">
                  <c:v>43270</c:v>
                </c:pt>
                <c:pt idx="80">
                  <c:v>43271</c:v>
                </c:pt>
                <c:pt idx="81">
                  <c:v>43272</c:v>
                </c:pt>
                <c:pt idx="82">
                  <c:v>43273</c:v>
                </c:pt>
                <c:pt idx="83">
                  <c:v>43274</c:v>
                </c:pt>
                <c:pt idx="84">
                  <c:v>43275</c:v>
                </c:pt>
                <c:pt idx="85">
                  <c:v>43276</c:v>
                </c:pt>
                <c:pt idx="86">
                  <c:v>43277</c:v>
                </c:pt>
                <c:pt idx="87">
                  <c:v>43278</c:v>
                </c:pt>
                <c:pt idx="88">
                  <c:v>43279</c:v>
                </c:pt>
                <c:pt idx="89">
                  <c:v>43280</c:v>
                </c:pt>
                <c:pt idx="90">
                  <c:v>43281</c:v>
                </c:pt>
                <c:pt idx="91">
                  <c:v>43282</c:v>
                </c:pt>
                <c:pt idx="92">
                  <c:v>43283</c:v>
                </c:pt>
                <c:pt idx="93">
                  <c:v>43284</c:v>
                </c:pt>
                <c:pt idx="94">
                  <c:v>43285</c:v>
                </c:pt>
                <c:pt idx="95">
                  <c:v>43286</c:v>
                </c:pt>
                <c:pt idx="96">
                  <c:v>43287</c:v>
                </c:pt>
                <c:pt idx="97">
                  <c:v>43288</c:v>
                </c:pt>
                <c:pt idx="98">
                  <c:v>43289</c:v>
                </c:pt>
                <c:pt idx="99">
                  <c:v>43290</c:v>
                </c:pt>
                <c:pt idx="100">
                  <c:v>43291</c:v>
                </c:pt>
                <c:pt idx="101">
                  <c:v>43292</c:v>
                </c:pt>
                <c:pt idx="102">
                  <c:v>43293</c:v>
                </c:pt>
                <c:pt idx="103">
                  <c:v>43294</c:v>
                </c:pt>
                <c:pt idx="104">
                  <c:v>43295</c:v>
                </c:pt>
                <c:pt idx="105">
                  <c:v>43296</c:v>
                </c:pt>
                <c:pt idx="106">
                  <c:v>43297</c:v>
                </c:pt>
                <c:pt idx="107">
                  <c:v>43298</c:v>
                </c:pt>
                <c:pt idx="108">
                  <c:v>43299</c:v>
                </c:pt>
                <c:pt idx="109">
                  <c:v>43300</c:v>
                </c:pt>
                <c:pt idx="110">
                  <c:v>43301</c:v>
                </c:pt>
                <c:pt idx="111">
                  <c:v>43302</c:v>
                </c:pt>
                <c:pt idx="112">
                  <c:v>43303</c:v>
                </c:pt>
                <c:pt idx="113">
                  <c:v>43304</c:v>
                </c:pt>
                <c:pt idx="114">
                  <c:v>43305</c:v>
                </c:pt>
                <c:pt idx="115">
                  <c:v>43306</c:v>
                </c:pt>
                <c:pt idx="116">
                  <c:v>43307</c:v>
                </c:pt>
                <c:pt idx="117">
                  <c:v>43308</c:v>
                </c:pt>
                <c:pt idx="118">
                  <c:v>43309</c:v>
                </c:pt>
                <c:pt idx="119">
                  <c:v>43310</c:v>
                </c:pt>
                <c:pt idx="120">
                  <c:v>43311</c:v>
                </c:pt>
                <c:pt idx="121">
                  <c:v>43312</c:v>
                </c:pt>
                <c:pt idx="122">
                  <c:v>43313</c:v>
                </c:pt>
                <c:pt idx="123">
                  <c:v>43314</c:v>
                </c:pt>
                <c:pt idx="124">
                  <c:v>43315</c:v>
                </c:pt>
                <c:pt idx="125">
                  <c:v>43316</c:v>
                </c:pt>
                <c:pt idx="126">
                  <c:v>43317</c:v>
                </c:pt>
                <c:pt idx="127">
                  <c:v>43318</c:v>
                </c:pt>
                <c:pt idx="128">
                  <c:v>43319</c:v>
                </c:pt>
                <c:pt idx="129">
                  <c:v>43320</c:v>
                </c:pt>
                <c:pt idx="130">
                  <c:v>43321</c:v>
                </c:pt>
                <c:pt idx="131">
                  <c:v>43322</c:v>
                </c:pt>
                <c:pt idx="132">
                  <c:v>43323</c:v>
                </c:pt>
                <c:pt idx="133">
                  <c:v>43324</c:v>
                </c:pt>
                <c:pt idx="134">
                  <c:v>43325</c:v>
                </c:pt>
                <c:pt idx="135">
                  <c:v>43326</c:v>
                </c:pt>
                <c:pt idx="136">
                  <c:v>43327</c:v>
                </c:pt>
                <c:pt idx="137">
                  <c:v>43328</c:v>
                </c:pt>
                <c:pt idx="138">
                  <c:v>43329</c:v>
                </c:pt>
                <c:pt idx="139">
                  <c:v>43330</c:v>
                </c:pt>
                <c:pt idx="140">
                  <c:v>43331</c:v>
                </c:pt>
                <c:pt idx="141">
                  <c:v>43332</c:v>
                </c:pt>
                <c:pt idx="142">
                  <c:v>43333</c:v>
                </c:pt>
                <c:pt idx="143">
                  <c:v>43334</c:v>
                </c:pt>
                <c:pt idx="144">
                  <c:v>43335</c:v>
                </c:pt>
                <c:pt idx="145">
                  <c:v>43336</c:v>
                </c:pt>
                <c:pt idx="146">
                  <c:v>43337</c:v>
                </c:pt>
                <c:pt idx="147">
                  <c:v>43338</c:v>
                </c:pt>
                <c:pt idx="148">
                  <c:v>43339</c:v>
                </c:pt>
                <c:pt idx="149">
                  <c:v>43340</c:v>
                </c:pt>
                <c:pt idx="150">
                  <c:v>43341</c:v>
                </c:pt>
                <c:pt idx="151">
                  <c:v>43342</c:v>
                </c:pt>
                <c:pt idx="152">
                  <c:v>43343</c:v>
                </c:pt>
                <c:pt idx="153">
                  <c:v>43344</c:v>
                </c:pt>
                <c:pt idx="154">
                  <c:v>43345</c:v>
                </c:pt>
                <c:pt idx="155">
                  <c:v>43346</c:v>
                </c:pt>
                <c:pt idx="156">
                  <c:v>43347</c:v>
                </c:pt>
                <c:pt idx="157">
                  <c:v>43348</c:v>
                </c:pt>
                <c:pt idx="158">
                  <c:v>43349</c:v>
                </c:pt>
                <c:pt idx="159">
                  <c:v>43350</c:v>
                </c:pt>
                <c:pt idx="160">
                  <c:v>43351</c:v>
                </c:pt>
                <c:pt idx="161">
                  <c:v>43352</c:v>
                </c:pt>
                <c:pt idx="162">
                  <c:v>43353</c:v>
                </c:pt>
                <c:pt idx="163">
                  <c:v>43354</c:v>
                </c:pt>
                <c:pt idx="164">
                  <c:v>43355</c:v>
                </c:pt>
                <c:pt idx="165">
                  <c:v>43356</c:v>
                </c:pt>
                <c:pt idx="166">
                  <c:v>43357</c:v>
                </c:pt>
                <c:pt idx="167">
                  <c:v>43358</c:v>
                </c:pt>
                <c:pt idx="168">
                  <c:v>43359</c:v>
                </c:pt>
                <c:pt idx="169">
                  <c:v>43360</c:v>
                </c:pt>
                <c:pt idx="170">
                  <c:v>43361</c:v>
                </c:pt>
                <c:pt idx="171">
                  <c:v>43362</c:v>
                </c:pt>
                <c:pt idx="172">
                  <c:v>43363</c:v>
                </c:pt>
                <c:pt idx="173">
                  <c:v>43364</c:v>
                </c:pt>
                <c:pt idx="174">
                  <c:v>43365</c:v>
                </c:pt>
                <c:pt idx="175">
                  <c:v>43366</c:v>
                </c:pt>
                <c:pt idx="176">
                  <c:v>43367</c:v>
                </c:pt>
                <c:pt idx="177">
                  <c:v>43368</c:v>
                </c:pt>
                <c:pt idx="178">
                  <c:v>43369</c:v>
                </c:pt>
                <c:pt idx="179">
                  <c:v>43370</c:v>
                </c:pt>
                <c:pt idx="180">
                  <c:v>43371</c:v>
                </c:pt>
                <c:pt idx="181">
                  <c:v>43374</c:v>
                </c:pt>
                <c:pt idx="182">
                  <c:v>43375</c:v>
                </c:pt>
                <c:pt idx="183">
                  <c:v>43376</c:v>
                </c:pt>
                <c:pt idx="184">
                  <c:v>43377</c:v>
                </c:pt>
                <c:pt idx="185">
                  <c:v>43378</c:v>
                </c:pt>
                <c:pt idx="186">
                  <c:v>43381</c:v>
                </c:pt>
                <c:pt idx="187">
                  <c:v>43382</c:v>
                </c:pt>
                <c:pt idx="188">
                  <c:v>43383</c:v>
                </c:pt>
                <c:pt idx="189">
                  <c:v>43384</c:v>
                </c:pt>
                <c:pt idx="190">
                  <c:v>43385</c:v>
                </c:pt>
                <c:pt idx="191">
                  <c:v>43388</c:v>
                </c:pt>
                <c:pt idx="192">
                  <c:v>43389</c:v>
                </c:pt>
                <c:pt idx="193">
                  <c:v>43390</c:v>
                </c:pt>
                <c:pt idx="194">
                  <c:v>43391</c:v>
                </c:pt>
                <c:pt idx="195">
                  <c:v>43392</c:v>
                </c:pt>
                <c:pt idx="196">
                  <c:v>43395</c:v>
                </c:pt>
                <c:pt idx="197">
                  <c:v>43396</c:v>
                </c:pt>
                <c:pt idx="198">
                  <c:v>43397</c:v>
                </c:pt>
                <c:pt idx="199">
                  <c:v>43398</c:v>
                </c:pt>
                <c:pt idx="200">
                  <c:v>43399</c:v>
                </c:pt>
                <c:pt idx="201">
                  <c:v>43402</c:v>
                </c:pt>
                <c:pt idx="202">
                  <c:v>43403</c:v>
                </c:pt>
                <c:pt idx="203">
                  <c:v>43404</c:v>
                </c:pt>
                <c:pt idx="204">
                  <c:v>43405</c:v>
                </c:pt>
                <c:pt idx="205">
                  <c:v>43406</c:v>
                </c:pt>
                <c:pt idx="206">
                  <c:v>43409</c:v>
                </c:pt>
                <c:pt idx="207">
                  <c:v>43410</c:v>
                </c:pt>
                <c:pt idx="208">
                  <c:v>43411</c:v>
                </c:pt>
                <c:pt idx="209">
                  <c:v>43412</c:v>
                </c:pt>
                <c:pt idx="210">
                  <c:v>43413</c:v>
                </c:pt>
                <c:pt idx="211">
                  <c:v>43416</c:v>
                </c:pt>
                <c:pt idx="212">
                  <c:v>43417</c:v>
                </c:pt>
                <c:pt idx="213">
                  <c:v>43418</c:v>
                </c:pt>
                <c:pt idx="214">
                  <c:v>43419</c:v>
                </c:pt>
                <c:pt idx="215">
                  <c:v>43420</c:v>
                </c:pt>
                <c:pt idx="216">
                  <c:v>43423</c:v>
                </c:pt>
                <c:pt idx="217">
                  <c:v>43424</c:v>
                </c:pt>
                <c:pt idx="218">
                  <c:v>43425</c:v>
                </c:pt>
                <c:pt idx="219">
                  <c:v>43426</c:v>
                </c:pt>
                <c:pt idx="220">
                  <c:v>43427</c:v>
                </c:pt>
                <c:pt idx="221">
                  <c:v>43430</c:v>
                </c:pt>
                <c:pt idx="222">
                  <c:v>43431</c:v>
                </c:pt>
                <c:pt idx="223">
                  <c:v>43432</c:v>
                </c:pt>
                <c:pt idx="224">
                  <c:v>43433</c:v>
                </c:pt>
                <c:pt idx="225">
                  <c:v>43434</c:v>
                </c:pt>
                <c:pt idx="226">
                  <c:v>43437</c:v>
                </c:pt>
                <c:pt idx="227">
                  <c:v>43438</c:v>
                </c:pt>
                <c:pt idx="228">
                  <c:v>43439</c:v>
                </c:pt>
                <c:pt idx="229">
                  <c:v>43440</c:v>
                </c:pt>
                <c:pt idx="230">
                  <c:v>43441</c:v>
                </c:pt>
                <c:pt idx="231">
                  <c:v>43444</c:v>
                </c:pt>
                <c:pt idx="232">
                  <c:v>43445</c:v>
                </c:pt>
                <c:pt idx="233">
                  <c:v>43446</c:v>
                </c:pt>
                <c:pt idx="234">
                  <c:v>43447</c:v>
                </c:pt>
                <c:pt idx="235">
                  <c:v>43448</c:v>
                </c:pt>
                <c:pt idx="236">
                  <c:v>43451</c:v>
                </c:pt>
                <c:pt idx="237">
                  <c:v>43452</c:v>
                </c:pt>
                <c:pt idx="238">
                  <c:v>43453</c:v>
                </c:pt>
                <c:pt idx="239">
                  <c:v>43454</c:v>
                </c:pt>
                <c:pt idx="240">
                  <c:v>43455</c:v>
                </c:pt>
                <c:pt idx="241">
                  <c:v>43458</c:v>
                </c:pt>
                <c:pt idx="242">
                  <c:v>43459</c:v>
                </c:pt>
                <c:pt idx="243">
                  <c:v>43460</c:v>
                </c:pt>
                <c:pt idx="244">
                  <c:v>43461</c:v>
                </c:pt>
                <c:pt idx="245">
                  <c:v>43462</c:v>
                </c:pt>
                <c:pt idx="246">
                  <c:v>43465</c:v>
                </c:pt>
                <c:pt idx="247">
                  <c:v>43466</c:v>
                </c:pt>
                <c:pt idx="248">
                  <c:v>43467</c:v>
                </c:pt>
                <c:pt idx="249">
                  <c:v>43468</c:v>
                </c:pt>
                <c:pt idx="250">
                  <c:v>43469</c:v>
                </c:pt>
                <c:pt idx="251">
                  <c:v>43472</c:v>
                </c:pt>
                <c:pt idx="252">
                  <c:v>43473</c:v>
                </c:pt>
                <c:pt idx="253">
                  <c:v>43474</c:v>
                </c:pt>
                <c:pt idx="254">
                  <c:v>43475</c:v>
                </c:pt>
                <c:pt idx="255">
                  <c:v>43476</c:v>
                </c:pt>
                <c:pt idx="256">
                  <c:v>43479</c:v>
                </c:pt>
                <c:pt idx="257">
                  <c:v>43480</c:v>
                </c:pt>
                <c:pt idx="258">
                  <c:v>43481</c:v>
                </c:pt>
                <c:pt idx="259">
                  <c:v>43482</c:v>
                </c:pt>
                <c:pt idx="260">
                  <c:v>43483</c:v>
                </c:pt>
                <c:pt idx="261">
                  <c:v>43486</c:v>
                </c:pt>
                <c:pt idx="262">
                  <c:v>43487</c:v>
                </c:pt>
                <c:pt idx="263">
                  <c:v>43488</c:v>
                </c:pt>
                <c:pt idx="264">
                  <c:v>43489</c:v>
                </c:pt>
                <c:pt idx="265">
                  <c:v>43490</c:v>
                </c:pt>
                <c:pt idx="266">
                  <c:v>43493</c:v>
                </c:pt>
                <c:pt idx="267">
                  <c:v>43494</c:v>
                </c:pt>
                <c:pt idx="268">
                  <c:v>43495</c:v>
                </c:pt>
                <c:pt idx="269">
                  <c:v>43496</c:v>
                </c:pt>
                <c:pt idx="270">
                  <c:v>43497</c:v>
                </c:pt>
                <c:pt idx="271">
                  <c:v>43500</c:v>
                </c:pt>
                <c:pt idx="272">
                  <c:v>43501</c:v>
                </c:pt>
                <c:pt idx="273">
                  <c:v>43502</c:v>
                </c:pt>
                <c:pt idx="274">
                  <c:v>43503</c:v>
                </c:pt>
                <c:pt idx="275">
                  <c:v>43504</c:v>
                </c:pt>
                <c:pt idx="276">
                  <c:v>43507</c:v>
                </c:pt>
                <c:pt idx="277">
                  <c:v>43508</c:v>
                </c:pt>
                <c:pt idx="278">
                  <c:v>43509</c:v>
                </c:pt>
                <c:pt idx="279">
                  <c:v>43510</c:v>
                </c:pt>
                <c:pt idx="280">
                  <c:v>43511</c:v>
                </c:pt>
                <c:pt idx="281">
                  <c:v>43514</c:v>
                </c:pt>
                <c:pt idx="282">
                  <c:v>43515</c:v>
                </c:pt>
                <c:pt idx="283">
                  <c:v>43516</c:v>
                </c:pt>
                <c:pt idx="284">
                  <c:v>43517</c:v>
                </c:pt>
                <c:pt idx="285">
                  <c:v>43518</c:v>
                </c:pt>
                <c:pt idx="286">
                  <c:v>43521</c:v>
                </c:pt>
                <c:pt idx="287">
                  <c:v>43522</c:v>
                </c:pt>
                <c:pt idx="288">
                  <c:v>43523</c:v>
                </c:pt>
                <c:pt idx="289">
                  <c:v>43524</c:v>
                </c:pt>
              </c:numCache>
            </c:numRef>
          </c:cat>
          <c:val>
            <c:numRef>
              <c:f>Index_Charts!$C$3:$C$292</c:f>
              <c:numCache>
                <c:formatCode>0.00</c:formatCode>
                <c:ptCount val="290"/>
                <c:pt idx="0">
                  <c:v>100</c:v>
                </c:pt>
                <c:pt idx="1">
                  <c:v>98.096013336038368</c:v>
                </c:pt>
                <c:pt idx="2">
                  <c:v>99.710618256316295</c:v>
                </c:pt>
                <c:pt idx="3">
                  <c:v>100.668751874758</c:v>
                </c:pt>
                <c:pt idx="4">
                  <c:v>101.6682909383893</c:v>
                </c:pt>
                <c:pt idx="5">
                  <c:v>99.293244730659211</c:v>
                </c:pt>
                <c:pt idx="6">
                  <c:v>99.293244730659211</c:v>
                </c:pt>
                <c:pt idx="7">
                  <c:v>99.293244730659211</c:v>
                </c:pt>
                <c:pt idx="8">
                  <c:v>99.485502078362501</c:v>
                </c:pt>
                <c:pt idx="9">
                  <c:v>101.26494049937951</c:v>
                </c:pt>
                <c:pt idx="10">
                  <c:v>100.3582110358373</c:v>
                </c:pt>
                <c:pt idx="11">
                  <c:v>101.576311106741</c:v>
                </c:pt>
                <c:pt idx="12">
                  <c:v>101.0663769115272</c:v>
                </c:pt>
                <c:pt idx="13">
                  <c:v>101.0663769115272</c:v>
                </c:pt>
                <c:pt idx="14">
                  <c:v>101.0663769115272</c:v>
                </c:pt>
                <c:pt idx="15">
                  <c:v>101.9496654166205</c:v>
                </c:pt>
                <c:pt idx="16">
                  <c:v>102.8358166228341</c:v>
                </c:pt>
                <c:pt idx="17">
                  <c:v>102.6758372674729</c:v>
                </c:pt>
                <c:pt idx="18">
                  <c:v>102.33073657299821</c:v>
                </c:pt>
                <c:pt idx="19">
                  <c:v>101.49287789003159</c:v>
                </c:pt>
                <c:pt idx="20">
                  <c:v>101.49287789003159</c:v>
                </c:pt>
                <c:pt idx="21">
                  <c:v>101.49287789003159</c:v>
                </c:pt>
                <c:pt idx="22">
                  <c:v>101.43375688863389</c:v>
                </c:pt>
                <c:pt idx="23">
                  <c:v>99.672324442779356</c:v>
                </c:pt>
                <c:pt idx="24">
                  <c:v>99.920010322319413</c:v>
                </c:pt>
                <c:pt idx="25">
                  <c:v>100.9095506762405</c:v>
                </c:pt>
                <c:pt idx="26">
                  <c:v>100.8632910856732</c:v>
                </c:pt>
                <c:pt idx="27">
                  <c:v>100.8632910856732</c:v>
                </c:pt>
                <c:pt idx="28">
                  <c:v>100.8632910856732</c:v>
                </c:pt>
                <c:pt idx="29">
                  <c:v>100.2490964858892</c:v>
                </c:pt>
                <c:pt idx="30">
                  <c:v>99.983155700654379</c:v>
                </c:pt>
                <c:pt idx="31">
                  <c:v>99.260966738317194</c:v>
                </c:pt>
                <c:pt idx="32">
                  <c:v>99.282416252508455</c:v>
                </c:pt>
                <c:pt idx="33">
                  <c:v>100.6613254472141</c:v>
                </c:pt>
                <c:pt idx="34">
                  <c:v>100.6613254472141</c:v>
                </c:pt>
                <c:pt idx="35">
                  <c:v>100.6613254472141</c:v>
                </c:pt>
                <c:pt idx="36">
                  <c:v>101.05467717651371</c:v>
                </c:pt>
                <c:pt idx="37">
                  <c:v>101.06666733048139</c:v>
                </c:pt>
                <c:pt idx="38">
                  <c:v>101.82312572941829</c:v>
                </c:pt>
                <c:pt idx="39">
                  <c:v>102.6404061550563</c:v>
                </c:pt>
                <c:pt idx="40">
                  <c:v>103.0206060545714</c:v>
                </c:pt>
                <c:pt idx="41">
                  <c:v>103.0206060545714</c:v>
                </c:pt>
                <c:pt idx="42">
                  <c:v>103.0206060545714</c:v>
                </c:pt>
                <c:pt idx="43">
                  <c:v>103.30372304652801</c:v>
                </c:pt>
                <c:pt idx="44">
                  <c:v>102.5029965012813</c:v>
                </c:pt>
                <c:pt idx="45">
                  <c:v>102.7623821158348</c:v>
                </c:pt>
                <c:pt idx="46">
                  <c:v>102.5344032367607</c:v>
                </c:pt>
                <c:pt idx="47">
                  <c:v>102.53900845160641</c:v>
                </c:pt>
                <c:pt idx="48">
                  <c:v>102.53900845160641</c:v>
                </c:pt>
                <c:pt idx="49">
                  <c:v>102.53900845160641</c:v>
                </c:pt>
                <c:pt idx="50">
                  <c:v>103.77619319664559</c:v>
                </c:pt>
                <c:pt idx="51">
                  <c:v>103.0340483033102</c:v>
                </c:pt>
                <c:pt idx="52">
                  <c:v>103.2514476347658</c:v>
                </c:pt>
                <c:pt idx="53">
                  <c:v>102.9400770274043</c:v>
                </c:pt>
                <c:pt idx="54">
                  <c:v>102.6966644553338</c:v>
                </c:pt>
                <c:pt idx="55">
                  <c:v>102.6966644553338</c:v>
                </c:pt>
                <c:pt idx="56">
                  <c:v>102.6966644553338</c:v>
                </c:pt>
                <c:pt idx="57">
                  <c:v>102.6966644553338</c:v>
                </c:pt>
                <c:pt idx="58">
                  <c:v>101.07181189481361</c:v>
                </c:pt>
                <c:pt idx="59">
                  <c:v>102.34272672696591</c:v>
                </c:pt>
                <c:pt idx="60">
                  <c:v>101.2974674222538</c:v>
                </c:pt>
                <c:pt idx="61">
                  <c:v>102.2075989364028</c:v>
                </c:pt>
                <c:pt idx="62">
                  <c:v>102.2075989364028</c:v>
                </c:pt>
                <c:pt idx="63">
                  <c:v>102.2075989364028</c:v>
                </c:pt>
                <c:pt idx="64">
                  <c:v>102.94808429285681</c:v>
                </c:pt>
                <c:pt idx="65">
                  <c:v>102.891203666249</c:v>
                </c:pt>
                <c:pt idx="66">
                  <c:v>104.3284040939115</c:v>
                </c:pt>
                <c:pt idx="67">
                  <c:v>104.72262708007401</c:v>
                </c:pt>
                <c:pt idx="68">
                  <c:v>105.0342881063896</c:v>
                </c:pt>
                <c:pt idx="69">
                  <c:v>105.0342881063896</c:v>
                </c:pt>
                <c:pt idx="70">
                  <c:v>105.0342881063896</c:v>
                </c:pt>
                <c:pt idx="71">
                  <c:v>105.0582684143249</c:v>
                </c:pt>
                <c:pt idx="72">
                  <c:v>105.0517132436437</c:v>
                </c:pt>
                <c:pt idx="73">
                  <c:v>104.5558021350772</c:v>
                </c:pt>
                <c:pt idx="74">
                  <c:v>104.4483886104324</c:v>
                </c:pt>
                <c:pt idx="75">
                  <c:v>104.0964423263222</c:v>
                </c:pt>
                <c:pt idx="76">
                  <c:v>104.0964423263222</c:v>
                </c:pt>
                <c:pt idx="77">
                  <c:v>104.0964423263222</c:v>
                </c:pt>
                <c:pt idx="78">
                  <c:v>103.6690700909551</c:v>
                </c:pt>
                <c:pt idx="79">
                  <c:v>102.47727367962059</c:v>
                </c:pt>
                <c:pt idx="80">
                  <c:v>102.3013212817765</c:v>
                </c:pt>
                <c:pt idx="81">
                  <c:v>101.48773332569949</c:v>
                </c:pt>
                <c:pt idx="82">
                  <c:v>101.9822338279168</c:v>
                </c:pt>
                <c:pt idx="83">
                  <c:v>101.9822338279168</c:v>
                </c:pt>
                <c:pt idx="84">
                  <c:v>101.9822338279168</c:v>
                </c:pt>
                <c:pt idx="85">
                  <c:v>100.6210401894195</c:v>
                </c:pt>
                <c:pt idx="86">
                  <c:v>100.7467915966031</c:v>
                </c:pt>
                <c:pt idx="87">
                  <c:v>100.06007523510451</c:v>
                </c:pt>
                <c:pt idx="88">
                  <c:v>100.4685702384464</c:v>
                </c:pt>
                <c:pt idx="89">
                  <c:v>100.69825014282389</c:v>
                </c:pt>
                <c:pt idx="90">
                  <c:v>100.69825014282389</c:v>
                </c:pt>
                <c:pt idx="91">
                  <c:v>100.69825014282389</c:v>
                </c:pt>
                <c:pt idx="92">
                  <c:v>100.8466542284378</c:v>
                </c:pt>
                <c:pt idx="93">
                  <c:v>100.29751347440229</c:v>
                </c:pt>
                <c:pt idx="94">
                  <c:v>100.29751347440229</c:v>
                </c:pt>
                <c:pt idx="95">
                  <c:v>101.0522708480358</c:v>
                </c:pt>
                <c:pt idx="96">
                  <c:v>101.466076369398</c:v>
                </c:pt>
                <c:pt idx="97">
                  <c:v>101.466076369398</c:v>
                </c:pt>
                <c:pt idx="98">
                  <c:v>101.466076369398</c:v>
                </c:pt>
                <c:pt idx="99">
                  <c:v>102.7941622471125</c:v>
                </c:pt>
                <c:pt idx="100">
                  <c:v>103.3877371011458</c:v>
                </c:pt>
                <c:pt idx="101">
                  <c:v>102.4782694017494</c:v>
                </c:pt>
                <c:pt idx="102">
                  <c:v>103.4094355458694</c:v>
                </c:pt>
                <c:pt idx="103">
                  <c:v>103.80158411093009</c:v>
                </c:pt>
                <c:pt idx="104">
                  <c:v>103.80158411093009</c:v>
                </c:pt>
                <c:pt idx="105">
                  <c:v>103.80158411093009</c:v>
                </c:pt>
                <c:pt idx="106">
                  <c:v>103.9880745679707</c:v>
                </c:pt>
                <c:pt idx="107">
                  <c:v>104.2184597755227</c:v>
                </c:pt>
                <c:pt idx="108">
                  <c:v>104.54787784646879</c:v>
                </c:pt>
                <c:pt idx="109">
                  <c:v>103.9886554058792</c:v>
                </c:pt>
                <c:pt idx="110">
                  <c:v>103.9621857926218</c:v>
                </c:pt>
                <c:pt idx="111">
                  <c:v>103.9621857926218</c:v>
                </c:pt>
                <c:pt idx="112">
                  <c:v>103.9621857926218</c:v>
                </c:pt>
                <c:pt idx="113">
                  <c:v>103.9048073049494</c:v>
                </c:pt>
                <c:pt idx="114">
                  <c:v>104.7248259664417</c:v>
                </c:pt>
                <c:pt idx="115">
                  <c:v>105.43909064017051</c:v>
                </c:pt>
                <c:pt idx="116">
                  <c:v>105.90778534388301</c:v>
                </c:pt>
                <c:pt idx="117">
                  <c:v>105.5924318480063</c:v>
                </c:pt>
                <c:pt idx="118">
                  <c:v>105.5924318480063</c:v>
                </c:pt>
                <c:pt idx="119">
                  <c:v>105.5924318480063</c:v>
                </c:pt>
                <c:pt idx="120">
                  <c:v>104.9940443370171</c:v>
                </c:pt>
                <c:pt idx="121">
                  <c:v>105.4436128781722</c:v>
                </c:pt>
                <c:pt idx="122">
                  <c:v>105.1060215880855</c:v>
                </c:pt>
                <c:pt idx="123">
                  <c:v>105.0742414568079</c:v>
                </c:pt>
                <c:pt idx="124">
                  <c:v>105.6402265101889</c:v>
                </c:pt>
                <c:pt idx="125">
                  <c:v>105.6402265101889</c:v>
                </c:pt>
                <c:pt idx="126">
                  <c:v>105.6402265101889</c:v>
                </c:pt>
                <c:pt idx="127">
                  <c:v>105.8045206614416</c:v>
                </c:pt>
                <c:pt idx="128">
                  <c:v>106.3303034338722</c:v>
                </c:pt>
                <c:pt idx="129">
                  <c:v>106.1429417199689</c:v>
                </c:pt>
                <c:pt idx="130">
                  <c:v>105.8337699989752</c:v>
                </c:pt>
                <c:pt idx="131">
                  <c:v>105.0202235313202</c:v>
                </c:pt>
                <c:pt idx="132">
                  <c:v>105.0202235313202</c:v>
                </c:pt>
                <c:pt idx="133">
                  <c:v>105.0202235313202</c:v>
                </c:pt>
                <c:pt idx="134">
                  <c:v>104.499792765332</c:v>
                </c:pt>
                <c:pt idx="135">
                  <c:v>104.9653758373919</c:v>
                </c:pt>
                <c:pt idx="136">
                  <c:v>104.39486854600921</c:v>
                </c:pt>
                <c:pt idx="137">
                  <c:v>106.03913768804109</c:v>
                </c:pt>
                <c:pt idx="138">
                  <c:v>106.4979581473096</c:v>
                </c:pt>
                <c:pt idx="139">
                  <c:v>106.4979581473096</c:v>
                </c:pt>
                <c:pt idx="140">
                  <c:v>106.4979581473096</c:v>
                </c:pt>
                <c:pt idx="141">
                  <c:v>106.86874017502301</c:v>
                </c:pt>
                <c:pt idx="142">
                  <c:v>107.1326065391561</c:v>
                </c:pt>
                <c:pt idx="143">
                  <c:v>106.764645724141</c:v>
                </c:pt>
                <c:pt idx="144">
                  <c:v>106.4467614345203</c:v>
                </c:pt>
                <c:pt idx="145">
                  <c:v>107.00009251918109</c:v>
                </c:pt>
                <c:pt idx="146">
                  <c:v>107.00009251918109</c:v>
                </c:pt>
                <c:pt idx="147">
                  <c:v>107.00009251918109</c:v>
                </c:pt>
                <c:pt idx="148">
                  <c:v>108.0758458140879</c:v>
                </c:pt>
                <c:pt idx="149">
                  <c:v>108.1355061649721</c:v>
                </c:pt>
                <c:pt idx="150">
                  <c:v>108.38671856038491</c:v>
                </c:pt>
                <c:pt idx="151">
                  <c:v>107.81563043109379</c:v>
                </c:pt>
                <c:pt idx="152">
                  <c:v>107.7239410183997</c:v>
                </c:pt>
                <c:pt idx="153">
                  <c:v>107.7239410183997</c:v>
                </c:pt>
                <c:pt idx="154">
                  <c:v>107.7239410183997</c:v>
                </c:pt>
                <c:pt idx="155">
                  <c:v>107.7239410183997</c:v>
                </c:pt>
                <c:pt idx="156">
                  <c:v>107.67274430561029</c:v>
                </c:pt>
                <c:pt idx="157">
                  <c:v>107.76613474360779</c:v>
                </c:pt>
                <c:pt idx="158">
                  <c:v>107.8527625688137</c:v>
                </c:pt>
                <c:pt idx="159">
                  <c:v>107.5236349168219</c:v>
                </c:pt>
                <c:pt idx="160">
                  <c:v>107.5236349168219</c:v>
                </c:pt>
                <c:pt idx="161">
                  <c:v>107.5236349168219</c:v>
                </c:pt>
                <c:pt idx="162">
                  <c:v>107.2769032709887</c:v>
                </c:pt>
                <c:pt idx="163">
                  <c:v>107.7498297937486</c:v>
                </c:pt>
                <c:pt idx="164">
                  <c:v>107.8654165375339</c:v>
                </c:pt>
                <c:pt idx="165">
                  <c:v>108.47558676038069</c:v>
                </c:pt>
                <c:pt idx="166">
                  <c:v>108.5115987107058</c:v>
                </c:pt>
                <c:pt idx="167">
                  <c:v>108.5115987107058</c:v>
                </c:pt>
                <c:pt idx="168">
                  <c:v>108.5115987107058</c:v>
                </c:pt>
                <c:pt idx="169">
                  <c:v>108.12762336478571</c:v>
                </c:pt>
                <c:pt idx="170">
                  <c:v>108.894495357653</c:v>
                </c:pt>
                <c:pt idx="171">
                  <c:v>109.5533314995451</c:v>
                </c:pt>
                <c:pt idx="172">
                  <c:v>110.59560363787079</c:v>
                </c:pt>
                <c:pt idx="173">
                  <c:v>110.95456146530471</c:v>
                </c:pt>
                <c:pt idx="174">
                  <c:v>110.95456146530471</c:v>
                </c:pt>
                <c:pt idx="175">
                  <c:v>110.95456146530471</c:v>
                </c:pt>
                <c:pt idx="176">
                  <c:v>110.2017540475067</c:v>
                </c:pt>
                <c:pt idx="177">
                  <c:v>109.9119989080247</c:v>
                </c:pt>
                <c:pt idx="178">
                  <c:v>109.46836321122051</c:v>
                </c:pt>
                <c:pt idx="179">
                  <c:v>109.69509743763351</c:v>
                </c:pt>
                <c:pt idx="180">
                  <c:v>109.77135315733111</c:v>
                </c:pt>
                <c:pt idx="181">
                  <c:v>110.5716648183575</c:v>
                </c:pt>
                <c:pt idx="182">
                  <c:v>111.08085222197469</c:v>
                </c:pt>
                <c:pt idx="183">
                  <c:v>111.3067566799471</c:v>
                </c:pt>
                <c:pt idx="184">
                  <c:v>110.47321279287191</c:v>
                </c:pt>
                <c:pt idx="185">
                  <c:v>109.7246371941214</c:v>
                </c:pt>
                <c:pt idx="186">
                  <c:v>109.88947069486051</c:v>
                </c:pt>
                <c:pt idx="187">
                  <c:v>109.65626427461019</c:v>
                </c:pt>
                <c:pt idx="188">
                  <c:v>106.2051328645971</c:v>
                </c:pt>
                <c:pt idx="189">
                  <c:v>103.9402384173661</c:v>
                </c:pt>
                <c:pt idx="190">
                  <c:v>105.13161994448021</c:v>
                </c:pt>
                <c:pt idx="191">
                  <c:v>104.7605474978125</c:v>
                </c:pt>
                <c:pt idx="192">
                  <c:v>107.0335736757622</c:v>
                </c:pt>
                <c:pt idx="193">
                  <c:v>106.6529588920267</c:v>
                </c:pt>
                <c:pt idx="194">
                  <c:v>105.2953332578244</c:v>
                </c:pt>
                <c:pt idx="195">
                  <c:v>105.5645516283998</c:v>
                </c:pt>
                <c:pt idx="196">
                  <c:v>105.0379390875285</c:v>
                </c:pt>
                <c:pt idx="197">
                  <c:v>104.5152679467504</c:v>
                </c:pt>
                <c:pt idx="198">
                  <c:v>101.99273039869129</c:v>
                </c:pt>
                <c:pt idx="199">
                  <c:v>103.6569554717212</c:v>
                </c:pt>
                <c:pt idx="200">
                  <c:v>102.42790245740071</c:v>
                </c:pt>
                <c:pt idx="201">
                  <c:v>101.4098180691205</c:v>
                </c:pt>
                <c:pt idx="202">
                  <c:v>103.200956225151</c:v>
                </c:pt>
                <c:pt idx="203">
                  <c:v>104.201325057223</c:v>
                </c:pt>
                <c:pt idx="204">
                  <c:v>105.3006852642667</c:v>
                </c:pt>
                <c:pt idx="205">
                  <c:v>104.8446860176965</c:v>
                </c:pt>
                <c:pt idx="206">
                  <c:v>105.63657552905001</c:v>
                </c:pt>
                <c:pt idx="207">
                  <c:v>106.3556113713127</c:v>
                </c:pt>
                <c:pt idx="208">
                  <c:v>108.61793353637771</c:v>
                </c:pt>
                <c:pt idx="209">
                  <c:v>108.6632388932382</c:v>
                </c:pt>
                <c:pt idx="210">
                  <c:v>107.8255046755377</c:v>
                </c:pt>
                <c:pt idx="211">
                  <c:v>105.3274038080563</c:v>
                </c:pt>
                <c:pt idx="212">
                  <c:v>104.9096568866009</c:v>
                </c:pt>
                <c:pt idx="213">
                  <c:v>104.05503688113281</c:v>
                </c:pt>
                <c:pt idx="214">
                  <c:v>104.9211906679263</c:v>
                </c:pt>
                <c:pt idx="215">
                  <c:v>105.4354396590315</c:v>
                </c:pt>
                <c:pt idx="216">
                  <c:v>103.79341089178951</c:v>
                </c:pt>
                <c:pt idx="217">
                  <c:v>101.5040797639807</c:v>
                </c:pt>
                <c:pt idx="218">
                  <c:v>101.5001383638875</c:v>
                </c:pt>
                <c:pt idx="219">
                  <c:v>101.5001383638875</c:v>
                </c:pt>
                <c:pt idx="220">
                  <c:v>100.7585743084606</c:v>
                </c:pt>
                <c:pt idx="221">
                  <c:v>102.22846761268571</c:v>
                </c:pt>
                <c:pt idx="222">
                  <c:v>102.6785755033271</c:v>
                </c:pt>
                <c:pt idx="223">
                  <c:v>105.2413153323368</c:v>
                </c:pt>
                <c:pt idx="224">
                  <c:v>105.1268487759463</c:v>
                </c:pt>
                <c:pt idx="225">
                  <c:v>105.9550406565792</c:v>
                </c:pt>
                <c:pt idx="226">
                  <c:v>107.149782745878</c:v>
                </c:pt>
                <c:pt idx="227">
                  <c:v>103.83336424220779</c:v>
                </c:pt>
                <c:pt idx="228">
                  <c:v>103.83336424220779</c:v>
                </c:pt>
                <c:pt idx="229">
                  <c:v>103.5039461712617</c:v>
                </c:pt>
                <c:pt idx="230">
                  <c:v>101.1859050554057</c:v>
                </c:pt>
                <c:pt idx="231">
                  <c:v>101.3282518314027</c:v>
                </c:pt>
                <c:pt idx="232">
                  <c:v>101.108280217781</c:v>
                </c:pt>
                <c:pt idx="233">
                  <c:v>101.7597729089731</c:v>
                </c:pt>
                <c:pt idx="234">
                  <c:v>102.05064823585001</c:v>
                </c:pt>
                <c:pt idx="235">
                  <c:v>99.9892130102713</c:v>
                </c:pt>
                <c:pt idx="236">
                  <c:v>97.883551126804733</c:v>
                </c:pt>
                <c:pt idx="237">
                  <c:v>98.226494423333733</c:v>
                </c:pt>
                <c:pt idx="238">
                  <c:v>96.766184944598436</c:v>
                </c:pt>
                <c:pt idx="239">
                  <c:v>94.840873231711583</c:v>
                </c:pt>
                <c:pt idx="240">
                  <c:v>93.122298325817681</c:v>
                </c:pt>
                <c:pt idx="241">
                  <c:v>90.412399063855247</c:v>
                </c:pt>
                <c:pt idx="242">
                  <c:v>90.412399063855247</c:v>
                </c:pt>
                <c:pt idx="243">
                  <c:v>94.919078907244753</c:v>
                </c:pt>
                <c:pt idx="244">
                  <c:v>95.999312951731113</c:v>
                </c:pt>
                <c:pt idx="245">
                  <c:v>95.68225843055103</c:v>
                </c:pt>
                <c:pt idx="246">
                  <c:v>96.781950544971167</c:v>
                </c:pt>
                <c:pt idx="247">
                  <c:v>96.781950544971167</c:v>
                </c:pt>
                <c:pt idx="248">
                  <c:v>96.859865801550072</c:v>
                </c:pt>
                <c:pt idx="249">
                  <c:v>94.121546970494634</c:v>
                </c:pt>
                <c:pt idx="250">
                  <c:v>97.220483165865332</c:v>
                </c:pt>
                <c:pt idx="251">
                  <c:v>97.627857981812298</c:v>
                </c:pt>
                <c:pt idx="252">
                  <c:v>98.690376470090357</c:v>
                </c:pt>
                <c:pt idx="253">
                  <c:v>99.070700834871445</c:v>
                </c:pt>
                <c:pt idx="254">
                  <c:v>99.580178657442929</c:v>
                </c:pt>
                <c:pt idx="255">
                  <c:v>99.555410069488929</c:v>
                </c:pt>
                <c:pt idx="256">
                  <c:v>99.198153267358464</c:v>
                </c:pt>
                <c:pt idx="257">
                  <c:v>99.844335440530287</c:v>
                </c:pt>
                <c:pt idx="258">
                  <c:v>100.4316870312586</c:v>
                </c:pt>
                <c:pt idx="259">
                  <c:v>101.1076993798726</c:v>
                </c:pt>
                <c:pt idx="260">
                  <c:v>102.50274757074909</c:v>
                </c:pt>
                <c:pt idx="261">
                  <c:v>102.50274757074909</c:v>
                </c:pt>
                <c:pt idx="262">
                  <c:v>101.25033657482371</c:v>
                </c:pt>
                <c:pt idx="263">
                  <c:v>101.96036942950521</c:v>
                </c:pt>
                <c:pt idx="264">
                  <c:v>101.8675183409942</c:v>
                </c:pt>
                <c:pt idx="265">
                  <c:v>102.6307393527225</c:v>
                </c:pt>
                <c:pt idx="266">
                  <c:v>101.7637143090663</c:v>
                </c:pt>
                <c:pt idx="267">
                  <c:v>101.9783754046677</c:v>
                </c:pt>
                <c:pt idx="268">
                  <c:v>103.7827068789048</c:v>
                </c:pt>
                <c:pt idx="269">
                  <c:v>103.71968596583601</c:v>
                </c:pt>
                <c:pt idx="270">
                  <c:v>103.9861246121351</c:v>
                </c:pt>
                <c:pt idx="271">
                  <c:v>104.7141634419791</c:v>
                </c:pt>
                <c:pt idx="272">
                  <c:v>105.4283866272858</c:v>
                </c:pt>
                <c:pt idx="273">
                  <c:v>105.3403481957307</c:v>
                </c:pt>
                <c:pt idx="274">
                  <c:v>104.424408302497</c:v>
                </c:pt>
                <c:pt idx="275">
                  <c:v>104.1622014752453</c:v>
                </c:pt>
                <c:pt idx="276">
                  <c:v>103.94140009318301</c:v>
                </c:pt>
                <c:pt idx="277">
                  <c:v>105.4874661402616</c:v>
                </c:pt>
                <c:pt idx="278">
                  <c:v>105.97499658757729</c:v>
                </c:pt>
                <c:pt idx="279">
                  <c:v>105.5440148594932</c:v>
                </c:pt>
                <c:pt idx="280">
                  <c:v>107.3855199598724</c:v>
                </c:pt>
                <c:pt idx="281">
                  <c:v>107.3855199598724</c:v>
                </c:pt>
                <c:pt idx="282">
                  <c:v>107.4190011164534</c:v>
                </c:pt>
                <c:pt idx="283">
                  <c:v>107.6808760363289</c:v>
                </c:pt>
                <c:pt idx="284">
                  <c:v>107.2501847271991</c:v>
                </c:pt>
                <c:pt idx="285">
                  <c:v>108.00187195760211</c:v>
                </c:pt>
                <c:pt idx="286">
                  <c:v>108.25138332771169</c:v>
                </c:pt>
                <c:pt idx="287">
                  <c:v>108.11044715806381</c:v>
                </c:pt>
                <c:pt idx="288">
                  <c:v>107.8083284688158</c:v>
                </c:pt>
                <c:pt idx="289">
                  <c:v>107.5213945420321</c:v>
                </c:pt>
              </c:numCache>
            </c:numRef>
          </c:val>
          <c:smooth val="0"/>
        </c:ser>
        <c:ser>
          <c:idx val="1"/>
          <c:order val="1"/>
          <c:tx>
            <c:strRef>
              <c:f>Index_Charts!$D$1</c:f>
              <c:strCache>
                <c:ptCount val="1"/>
                <c:pt idx="0">
                  <c:v>NASDAQ Composite</c:v>
                </c:pt>
              </c:strCache>
            </c:strRef>
          </c:tx>
          <c:spPr>
            <a:ln w="28575" cap="rnd">
              <a:solidFill>
                <a:schemeClr val="accent2"/>
              </a:solidFill>
              <a:round/>
            </a:ln>
            <a:effectLst/>
          </c:spPr>
          <c:marker>
            <c:symbol val="none"/>
          </c:marker>
          <c:cat>
            <c:numRef>
              <c:f>Index_Charts!$B$3:$B$292</c:f>
              <c:numCache>
                <c:formatCode>[$-409]mmmm\-yy;@</c:formatCode>
                <c:ptCount val="290"/>
                <c:pt idx="0">
                  <c:v>43191</c:v>
                </c:pt>
                <c:pt idx="1">
                  <c:v>43192</c:v>
                </c:pt>
                <c:pt idx="2">
                  <c:v>43193</c:v>
                </c:pt>
                <c:pt idx="3">
                  <c:v>43194</c:v>
                </c:pt>
                <c:pt idx="4">
                  <c:v>43195</c:v>
                </c:pt>
                <c:pt idx="5">
                  <c:v>43196</c:v>
                </c:pt>
                <c:pt idx="6">
                  <c:v>43197</c:v>
                </c:pt>
                <c:pt idx="7">
                  <c:v>43198</c:v>
                </c:pt>
                <c:pt idx="8">
                  <c:v>43199</c:v>
                </c:pt>
                <c:pt idx="9">
                  <c:v>43200</c:v>
                </c:pt>
                <c:pt idx="10">
                  <c:v>43201</c:v>
                </c:pt>
                <c:pt idx="11">
                  <c:v>43202</c:v>
                </c:pt>
                <c:pt idx="12">
                  <c:v>43203</c:v>
                </c:pt>
                <c:pt idx="13">
                  <c:v>43204</c:v>
                </c:pt>
                <c:pt idx="14">
                  <c:v>43205</c:v>
                </c:pt>
                <c:pt idx="15">
                  <c:v>43206</c:v>
                </c:pt>
                <c:pt idx="16">
                  <c:v>43207</c:v>
                </c:pt>
                <c:pt idx="17">
                  <c:v>43208</c:v>
                </c:pt>
                <c:pt idx="18">
                  <c:v>43209</c:v>
                </c:pt>
                <c:pt idx="19">
                  <c:v>43210</c:v>
                </c:pt>
                <c:pt idx="20">
                  <c:v>43211</c:v>
                </c:pt>
                <c:pt idx="21">
                  <c:v>43212</c:v>
                </c:pt>
                <c:pt idx="22">
                  <c:v>43213</c:v>
                </c:pt>
                <c:pt idx="23">
                  <c:v>43214</c:v>
                </c:pt>
                <c:pt idx="24">
                  <c:v>43215</c:v>
                </c:pt>
                <c:pt idx="25">
                  <c:v>43216</c:v>
                </c:pt>
                <c:pt idx="26">
                  <c:v>43217</c:v>
                </c:pt>
                <c:pt idx="27">
                  <c:v>43218</c:v>
                </c:pt>
                <c:pt idx="28">
                  <c:v>43219</c:v>
                </c:pt>
                <c:pt idx="29">
                  <c:v>43220</c:v>
                </c:pt>
                <c:pt idx="30">
                  <c:v>43221</c:v>
                </c:pt>
                <c:pt idx="31">
                  <c:v>43222</c:v>
                </c:pt>
                <c:pt idx="32">
                  <c:v>43223</c:v>
                </c:pt>
                <c:pt idx="33">
                  <c:v>43224</c:v>
                </c:pt>
                <c:pt idx="34">
                  <c:v>43225</c:v>
                </c:pt>
                <c:pt idx="35">
                  <c:v>43226</c:v>
                </c:pt>
                <c:pt idx="36">
                  <c:v>43227</c:v>
                </c:pt>
                <c:pt idx="37">
                  <c:v>43228</c:v>
                </c:pt>
                <c:pt idx="38">
                  <c:v>43229</c:v>
                </c:pt>
                <c:pt idx="39">
                  <c:v>43230</c:v>
                </c:pt>
                <c:pt idx="40">
                  <c:v>43231</c:v>
                </c:pt>
                <c:pt idx="41">
                  <c:v>43232</c:v>
                </c:pt>
                <c:pt idx="42">
                  <c:v>43233</c:v>
                </c:pt>
                <c:pt idx="43">
                  <c:v>43234</c:v>
                </c:pt>
                <c:pt idx="44">
                  <c:v>43235</c:v>
                </c:pt>
                <c:pt idx="45">
                  <c:v>43236</c:v>
                </c:pt>
                <c:pt idx="46">
                  <c:v>43237</c:v>
                </c:pt>
                <c:pt idx="47">
                  <c:v>43238</c:v>
                </c:pt>
                <c:pt idx="48">
                  <c:v>43239</c:v>
                </c:pt>
                <c:pt idx="49">
                  <c:v>43240</c:v>
                </c:pt>
                <c:pt idx="50">
                  <c:v>43241</c:v>
                </c:pt>
                <c:pt idx="51">
                  <c:v>43242</c:v>
                </c:pt>
                <c:pt idx="52">
                  <c:v>43243</c:v>
                </c:pt>
                <c:pt idx="53">
                  <c:v>43244</c:v>
                </c:pt>
                <c:pt idx="54">
                  <c:v>43245</c:v>
                </c:pt>
                <c:pt idx="55">
                  <c:v>43246</c:v>
                </c:pt>
                <c:pt idx="56">
                  <c:v>43247</c:v>
                </c:pt>
                <c:pt idx="57">
                  <c:v>43248</c:v>
                </c:pt>
                <c:pt idx="58">
                  <c:v>43249</c:v>
                </c:pt>
                <c:pt idx="59">
                  <c:v>43250</c:v>
                </c:pt>
                <c:pt idx="60">
                  <c:v>43251</c:v>
                </c:pt>
                <c:pt idx="61">
                  <c:v>43252</c:v>
                </c:pt>
                <c:pt idx="62">
                  <c:v>43253</c:v>
                </c:pt>
                <c:pt idx="63">
                  <c:v>43254</c:v>
                </c:pt>
                <c:pt idx="64">
                  <c:v>43255</c:v>
                </c:pt>
                <c:pt idx="65">
                  <c:v>43256</c:v>
                </c:pt>
                <c:pt idx="66">
                  <c:v>43257</c:v>
                </c:pt>
                <c:pt idx="67">
                  <c:v>43258</c:v>
                </c:pt>
                <c:pt idx="68">
                  <c:v>43259</c:v>
                </c:pt>
                <c:pt idx="69">
                  <c:v>43260</c:v>
                </c:pt>
                <c:pt idx="70">
                  <c:v>43261</c:v>
                </c:pt>
                <c:pt idx="71">
                  <c:v>43262</c:v>
                </c:pt>
                <c:pt idx="72">
                  <c:v>43263</c:v>
                </c:pt>
                <c:pt idx="73">
                  <c:v>43264</c:v>
                </c:pt>
                <c:pt idx="74">
                  <c:v>43265</c:v>
                </c:pt>
                <c:pt idx="75">
                  <c:v>43266</c:v>
                </c:pt>
                <c:pt idx="76">
                  <c:v>43267</c:v>
                </c:pt>
                <c:pt idx="77">
                  <c:v>43268</c:v>
                </c:pt>
                <c:pt idx="78">
                  <c:v>43269</c:v>
                </c:pt>
                <c:pt idx="79">
                  <c:v>43270</c:v>
                </c:pt>
                <c:pt idx="80">
                  <c:v>43271</c:v>
                </c:pt>
                <c:pt idx="81">
                  <c:v>43272</c:v>
                </c:pt>
                <c:pt idx="82">
                  <c:v>43273</c:v>
                </c:pt>
                <c:pt idx="83">
                  <c:v>43274</c:v>
                </c:pt>
                <c:pt idx="84">
                  <c:v>43275</c:v>
                </c:pt>
                <c:pt idx="85">
                  <c:v>43276</c:v>
                </c:pt>
                <c:pt idx="86">
                  <c:v>43277</c:v>
                </c:pt>
                <c:pt idx="87">
                  <c:v>43278</c:v>
                </c:pt>
                <c:pt idx="88">
                  <c:v>43279</c:v>
                </c:pt>
                <c:pt idx="89">
                  <c:v>43280</c:v>
                </c:pt>
                <c:pt idx="90">
                  <c:v>43281</c:v>
                </c:pt>
                <c:pt idx="91">
                  <c:v>43282</c:v>
                </c:pt>
                <c:pt idx="92">
                  <c:v>43283</c:v>
                </c:pt>
                <c:pt idx="93">
                  <c:v>43284</c:v>
                </c:pt>
                <c:pt idx="94">
                  <c:v>43285</c:v>
                </c:pt>
                <c:pt idx="95">
                  <c:v>43286</c:v>
                </c:pt>
                <c:pt idx="96">
                  <c:v>43287</c:v>
                </c:pt>
                <c:pt idx="97">
                  <c:v>43288</c:v>
                </c:pt>
                <c:pt idx="98">
                  <c:v>43289</c:v>
                </c:pt>
                <c:pt idx="99">
                  <c:v>43290</c:v>
                </c:pt>
                <c:pt idx="100">
                  <c:v>43291</c:v>
                </c:pt>
                <c:pt idx="101">
                  <c:v>43292</c:v>
                </c:pt>
                <c:pt idx="102">
                  <c:v>43293</c:v>
                </c:pt>
                <c:pt idx="103">
                  <c:v>43294</c:v>
                </c:pt>
                <c:pt idx="104">
                  <c:v>43295</c:v>
                </c:pt>
                <c:pt idx="105">
                  <c:v>43296</c:v>
                </c:pt>
                <c:pt idx="106">
                  <c:v>43297</c:v>
                </c:pt>
                <c:pt idx="107">
                  <c:v>43298</c:v>
                </c:pt>
                <c:pt idx="108">
                  <c:v>43299</c:v>
                </c:pt>
                <c:pt idx="109">
                  <c:v>43300</c:v>
                </c:pt>
                <c:pt idx="110">
                  <c:v>43301</c:v>
                </c:pt>
                <c:pt idx="111">
                  <c:v>43302</c:v>
                </c:pt>
                <c:pt idx="112">
                  <c:v>43303</c:v>
                </c:pt>
                <c:pt idx="113">
                  <c:v>43304</c:v>
                </c:pt>
                <c:pt idx="114">
                  <c:v>43305</c:v>
                </c:pt>
                <c:pt idx="115">
                  <c:v>43306</c:v>
                </c:pt>
                <c:pt idx="116">
                  <c:v>43307</c:v>
                </c:pt>
                <c:pt idx="117">
                  <c:v>43308</c:v>
                </c:pt>
                <c:pt idx="118">
                  <c:v>43309</c:v>
                </c:pt>
                <c:pt idx="119">
                  <c:v>43310</c:v>
                </c:pt>
                <c:pt idx="120">
                  <c:v>43311</c:v>
                </c:pt>
                <c:pt idx="121">
                  <c:v>43312</c:v>
                </c:pt>
                <c:pt idx="122">
                  <c:v>43313</c:v>
                </c:pt>
                <c:pt idx="123">
                  <c:v>43314</c:v>
                </c:pt>
                <c:pt idx="124">
                  <c:v>43315</c:v>
                </c:pt>
                <c:pt idx="125">
                  <c:v>43316</c:v>
                </c:pt>
                <c:pt idx="126">
                  <c:v>43317</c:v>
                </c:pt>
                <c:pt idx="127">
                  <c:v>43318</c:v>
                </c:pt>
                <c:pt idx="128">
                  <c:v>43319</c:v>
                </c:pt>
                <c:pt idx="129">
                  <c:v>43320</c:v>
                </c:pt>
                <c:pt idx="130">
                  <c:v>43321</c:v>
                </c:pt>
                <c:pt idx="131">
                  <c:v>43322</c:v>
                </c:pt>
                <c:pt idx="132">
                  <c:v>43323</c:v>
                </c:pt>
                <c:pt idx="133">
                  <c:v>43324</c:v>
                </c:pt>
                <c:pt idx="134">
                  <c:v>43325</c:v>
                </c:pt>
                <c:pt idx="135">
                  <c:v>43326</c:v>
                </c:pt>
                <c:pt idx="136">
                  <c:v>43327</c:v>
                </c:pt>
                <c:pt idx="137">
                  <c:v>43328</c:v>
                </c:pt>
                <c:pt idx="138">
                  <c:v>43329</c:v>
                </c:pt>
                <c:pt idx="139">
                  <c:v>43330</c:v>
                </c:pt>
                <c:pt idx="140">
                  <c:v>43331</c:v>
                </c:pt>
                <c:pt idx="141">
                  <c:v>43332</c:v>
                </c:pt>
                <c:pt idx="142">
                  <c:v>43333</c:v>
                </c:pt>
                <c:pt idx="143">
                  <c:v>43334</c:v>
                </c:pt>
                <c:pt idx="144">
                  <c:v>43335</c:v>
                </c:pt>
                <c:pt idx="145">
                  <c:v>43336</c:v>
                </c:pt>
                <c:pt idx="146">
                  <c:v>43337</c:v>
                </c:pt>
                <c:pt idx="147">
                  <c:v>43338</c:v>
                </c:pt>
                <c:pt idx="148">
                  <c:v>43339</c:v>
                </c:pt>
                <c:pt idx="149">
                  <c:v>43340</c:v>
                </c:pt>
                <c:pt idx="150">
                  <c:v>43341</c:v>
                </c:pt>
                <c:pt idx="151">
                  <c:v>43342</c:v>
                </c:pt>
                <c:pt idx="152">
                  <c:v>43343</c:v>
                </c:pt>
                <c:pt idx="153">
                  <c:v>43344</c:v>
                </c:pt>
                <c:pt idx="154">
                  <c:v>43345</c:v>
                </c:pt>
                <c:pt idx="155">
                  <c:v>43346</c:v>
                </c:pt>
                <c:pt idx="156">
                  <c:v>43347</c:v>
                </c:pt>
                <c:pt idx="157">
                  <c:v>43348</c:v>
                </c:pt>
                <c:pt idx="158">
                  <c:v>43349</c:v>
                </c:pt>
                <c:pt idx="159">
                  <c:v>43350</c:v>
                </c:pt>
                <c:pt idx="160">
                  <c:v>43351</c:v>
                </c:pt>
                <c:pt idx="161">
                  <c:v>43352</c:v>
                </c:pt>
                <c:pt idx="162">
                  <c:v>43353</c:v>
                </c:pt>
                <c:pt idx="163">
                  <c:v>43354</c:v>
                </c:pt>
                <c:pt idx="164">
                  <c:v>43355</c:v>
                </c:pt>
                <c:pt idx="165">
                  <c:v>43356</c:v>
                </c:pt>
                <c:pt idx="166">
                  <c:v>43357</c:v>
                </c:pt>
                <c:pt idx="167">
                  <c:v>43358</c:v>
                </c:pt>
                <c:pt idx="168">
                  <c:v>43359</c:v>
                </c:pt>
                <c:pt idx="169">
                  <c:v>43360</c:v>
                </c:pt>
                <c:pt idx="170">
                  <c:v>43361</c:v>
                </c:pt>
                <c:pt idx="171">
                  <c:v>43362</c:v>
                </c:pt>
                <c:pt idx="172">
                  <c:v>43363</c:v>
                </c:pt>
                <c:pt idx="173">
                  <c:v>43364</c:v>
                </c:pt>
                <c:pt idx="174">
                  <c:v>43365</c:v>
                </c:pt>
                <c:pt idx="175">
                  <c:v>43366</c:v>
                </c:pt>
                <c:pt idx="176">
                  <c:v>43367</c:v>
                </c:pt>
                <c:pt idx="177">
                  <c:v>43368</c:v>
                </c:pt>
                <c:pt idx="178">
                  <c:v>43369</c:v>
                </c:pt>
                <c:pt idx="179">
                  <c:v>43370</c:v>
                </c:pt>
                <c:pt idx="180">
                  <c:v>43371</c:v>
                </c:pt>
                <c:pt idx="181">
                  <c:v>43374</c:v>
                </c:pt>
                <c:pt idx="182">
                  <c:v>43375</c:v>
                </c:pt>
                <c:pt idx="183">
                  <c:v>43376</c:v>
                </c:pt>
                <c:pt idx="184">
                  <c:v>43377</c:v>
                </c:pt>
                <c:pt idx="185">
                  <c:v>43378</c:v>
                </c:pt>
                <c:pt idx="186">
                  <c:v>43381</c:v>
                </c:pt>
                <c:pt idx="187">
                  <c:v>43382</c:v>
                </c:pt>
                <c:pt idx="188">
                  <c:v>43383</c:v>
                </c:pt>
                <c:pt idx="189">
                  <c:v>43384</c:v>
                </c:pt>
                <c:pt idx="190">
                  <c:v>43385</c:v>
                </c:pt>
                <c:pt idx="191">
                  <c:v>43388</c:v>
                </c:pt>
                <c:pt idx="192">
                  <c:v>43389</c:v>
                </c:pt>
                <c:pt idx="193">
                  <c:v>43390</c:v>
                </c:pt>
                <c:pt idx="194">
                  <c:v>43391</c:v>
                </c:pt>
                <c:pt idx="195">
                  <c:v>43392</c:v>
                </c:pt>
                <c:pt idx="196">
                  <c:v>43395</c:v>
                </c:pt>
                <c:pt idx="197">
                  <c:v>43396</c:v>
                </c:pt>
                <c:pt idx="198">
                  <c:v>43397</c:v>
                </c:pt>
                <c:pt idx="199">
                  <c:v>43398</c:v>
                </c:pt>
                <c:pt idx="200">
                  <c:v>43399</c:v>
                </c:pt>
                <c:pt idx="201">
                  <c:v>43402</c:v>
                </c:pt>
                <c:pt idx="202">
                  <c:v>43403</c:v>
                </c:pt>
                <c:pt idx="203">
                  <c:v>43404</c:v>
                </c:pt>
                <c:pt idx="204">
                  <c:v>43405</c:v>
                </c:pt>
                <c:pt idx="205">
                  <c:v>43406</c:v>
                </c:pt>
                <c:pt idx="206">
                  <c:v>43409</c:v>
                </c:pt>
                <c:pt idx="207">
                  <c:v>43410</c:v>
                </c:pt>
                <c:pt idx="208">
                  <c:v>43411</c:v>
                </c:pt>
                <c:pt idx="209">
                  <c:v>43412</c:v>
                </c:pt>
                <c:pt idx="210">
                  <c:v>43413</c:v>
                </c:pt>
                <c:pt idx="211">
                  <c:v>43416</c:v>
                </c:pt>
                <c:pt idx="212">
                  <c:v>43417</c:v>
                </c:pt>
                <c:pt idx="213">
                  <c:v>43418</c:v>
                </c:pt>
                <c:pt idx="214">
                  <c:v>43419</c:v>
                </c:pt>
                <c:pt idx="215">
                  <c:v>43420</c:v>
                </c:pt>
                <c:pt idx="216">
                  <c:v>43423</c:v>
                </c:pt>
                <c:pt idx="217">
                  <c:v>43424</c:v>
                </c:pt>
                <c:pt idx="218">
                  <c:v>43425</c:v>
                </c:pt>
                <c:pt idx="219">
                  <c:v>43426</c:v>
                </c:pt>
                <c:pt idx="220">
                  <c:v>43427</c:v>
                </c:pt>
                <c:pt idx="221">
                  <c:v>43430</c:v>
                </c:pt>
                <c:pt idx="222">
                  <c:v>43431</c:v>
                </c:pt>
                <c:pt idx="223">
                  <c:v>43432</c:v>
                </c:pt>
                <c:pt idx="224">
                  <c:v>43433</c:v>
                </c:pt>
                <c:pt idx="225">
                  <c:v>43434</c:v>
                </c:pt>
                <c:pt idx="226">
                  <c:v>43437</c:v>
                </c:pt>
                <c:pt idx="227">
                  <c:v>43438</c:v>
                </c:pt>
                <c:pt idx="228">
                  <c:v>43439</c:v>
                </c:pt>
                <c:pt idx="229">
                  <c:v>43440</c:v>
                </c:pt>
                <c:pt idx="230">
                  <c:v>43441</c:v>
                </c:pt>
                <c:pt idx="231">
                  <c:v>43444</c:v>
                </c:pt>
                <c:pt idx="232">
                  <c:v>43445</c:v>
                </c:pt>
                <c:pt idx="233">
                  <c:v>43446</c:v>
                </c:pt>
                <c:pt idx="234">
                  <c:v>43447</c:v>
                </c:pt>
                <c:pt idx="235">
                  <c:v>43448</c:v>
                </c:pt>
                <c:pt idx="236">
                  <c:v>43451</c:v>
                </c:pt>
                <c:pt idx="237">
                  <c:v>43452</c:v>
                </c:pt>
                <c:pt idx="238">
                  <c:v>43453</c:v>
                </c:pt>
                <c:pt idx="239">
                  <c:v>43454</c:v>
                </c:pt>
                <c:pt idx="240">
                  <c:v>43455</c:v>
                </c:pt>
                <c:pt idx="241">
                  <c:v>43458</c:v>
                </c:pt>
                <c:pt idx="242">
                  <c:v>43459</c:v>
                </c:pt>
                <c:pt idx="243">
                  <c:v>43460</c:v>
                </c:pt>
                <c:pt idx="244">
                  <c:v>43461</c:v>
                </c:pt>
                <c:pt idx="245">
                  <c:v>43462</c:v>
                </c:pt>
                <c:pt idx="246">
                  <c:v>43465</c:v>
                </c:pt>
                <c:pt idx="247">
                  <c:v>43466</c:v>
                </c:pt>
                <c:pt idx="248">
                  <c:v>43467</c:v>
                </c:pt>
                <c:pt idx="249">
                  <c:v>43468</c:v>
                </c:pt>
                <c:pt idx="250">
                  <c:v>43469</c:v>
                </c:pt>
                <c:pt idx="251">
                  <c:v>43472</c:v>
                </c:pt>
                <c:pt idx="252">
                  <c:v>43473</c:v>
                </c:pt>
                <c:pt idx="253">
                  <c:v>43474</c:v>
                </c:pt>
                <c:pt idx="254">
                  <c:v>43475</c:v>
                </c:pt>
                <c:pt idx="255">
                  <c:v>43476</c:v>
                </c:pt>
                <c:pt idx="256">
                  <c:v>43479</c:v>
                </c:pt>
                <c:pt idx="257">
                  <c:v>43480</c:v>
                </c:pt>
                <c:pt idx="258">
                  <c:v>43481</c:v>
                </c:pt>
                <c:pt idx="259">
                  <c:v>43482</c:v>
                </c:pt>
                <c:pt idx="260">
                  <c:v>43483</c:v>
                </c:pt>
                <c:pt idx="261">
                  <c:v>43486</c:v>
                </c:pt>
                <c:pt idx="262">
                  <c:v>43487</c:v>
                </c:pt>
                <c:pt idx="263">
                  <c:v>43488</c:v>
                </c:pt>
                <c:pt idx="264">
                  <c:v>43489</c:v>
                </c:pt>
                <c:pt idx="265">
                  <c:v>43490</c:v>
                </c:pt>
                <c:pt idx="266">
                  <c:v>43493</c:v>
                </c:pt>
                <c:pt idx="267">
                  <c:v>43494</c:v>
                </c:pt>
                <c:pt idx="268">
                  <c:v>43495</c:v>
                </c:pt>
                <c:pt idx="269">
                  <c:v>43496</c:v>
                </c:pt>
                <c:pt idx="270">
                  <c:v>43497</c:v>
                </c:pt>
                <c:pt idx="271">
                  <c:v>43500</c:v>
                </c:pt>
                <c:pt idx="272">
                  <c:v>43501</c:v>
                </c:pt>
                <c:pt idx="273">
                  <c:v>43502</c:v>
                </c:pt>
                <c:pt idx="274">
                  <c:v>43503</c:v>
                </c:pt>
                <c:pt idx="275">
                  <c:v>43504</c:v>
                </c:pt>
                <c:pt idx="276">
                  <c:v>43507</c:v>
                </c:pt>
                <c:pt idx="277">
                  <c:v>43508</c:v>
                </c:pt>
                <c:pt idx="278">
                  <c:v>43509</c:v>
                </c:pt>
                <c:pt idx="279">
                  <c:v>43510</c:v>
                </c:pt>
                <c:pt idx="280">
                  <c:v>43511</c:v>
                </c:pt>
                <c:pt idx="281">
                  <c:v>43514</c:v>
                </c:pt>
                <c:pt idx="282">
                  <c:v>43515</c:v>
                </c:pt>
                <c:pt idx="283">
                  <c:v>43516</c:v>
                </c:pt>
                <c:pt idx="284">
                  <c:v>43517</c:v>
                </c:pt>
                <c:pt idx="285">
                  <c:v>43518</c:v>
                </c:pt>
                <c:pt idx="286">
                  <c:v>43521</c:v>
                </c:pt>
                <c:pt idx="287">
                  <c:v>43522</c:v>
                </c:pt>
                <c:pt idx="288">
                  <c:v>43523</c:v>
                </c:pt>
                <c:pt idx="289">
                  <c:v>43524</c:v>
                </c:pt>
              </c:numCache>
            </c:numRef>
          </c:cat>
          <c:val>
            <c:numRef>
              <c:f>Index_Charts!$D$3:$D$292</c:f>
              <c:numCache>
                <c:formatCode>0.00</c:formatCode>
                <c:ptCount val="290"/>
                <c:pt idx="0">
                  <c:v>100</c:v>
                </c:pt>
                <c:pt idx="1">
                  <c:v>97.263006932169759</c:v>
                </c:pt>
                <c:pt idx="2">
                  <c:v>98.270489824724294</c:v>
                </c:pt>
                <c:pt idx="3">
                  <c:v>99.697909447868597</c:v>
                </c:pt>
                <c:pt idx="4">
                  <c:v>100.1855610116593</c:v>
                </c:pt>
                <c:pt idx="5">
                  <c:v>97.899976569506777</c:v>
                </c:pt>
                <c:pt idx="6">
                  <c:v>97.899976569506777</c:v>
                </c:pt>
                <c:pt idx="7">
                  <c:v>97.899976569506777</c:v>
                </c:pt>
                <c:pt idx="8">
                  <c:v>98.39878416268543</c:v>
                </c:pt>
                <c:pt idx="9">
                  <c:v>100.4368265060463</c:v>
                </c:pt>
                <c:pt idx="10">
                  <c:v>100.079012436566</c:v>
                </c:pt>
                <c:pt idx="11">
                  <c:v>101.0873306155849</c:v>
                </c:pt>
                <c:pt idx="12">
                  <c:v>100.6116703676464</c:v>
                </c:pt>
                <c:pt idx="13">
                  <c:v>100.6116703676464</c:v>
                </c:pt>
                <c:pt idx="14">
                  <c:v>100.6116703676464</c:v>
                </c:pt>
                <c:pt idx="15">
                  <c:v>101.3143728025064</c:v>
                </c:pt>
                <c:pt idx="16">
                  <c:v>103.081414239086</c:v>
                </c:pt>
                <c:pt idx="17">
                  <c:v>103.2815573703766</c:v>
                </c:pt>
                <c:pt idx="18">
                  <c:v>102.472037369867</c:v>
                </c:pt>
                <c:pt idx="19">
                  <c:v>101.17054779926789</c:v>
                </c:pt>
                <c:pt idx="20">
                  <c:v>101.17054779926789</c:v>
                </c:pt>
                <c:pt idx="21">
                  <c:v>101.17054779926789</c:v>
                </c:pt>
                <c:pt idx="22">
                  <c:v>100.92245356196599</c:v>
                </c:pt>
                <c:pt idx="23">
                  <c:v>99.205883248188385</c:v>
                </c:pt>
                <c:pt idx="24">
                  <c:v>99.154690098103686</c:v>
                </c:pt>
                <c:pt idx="25">
                  <c:v>100.7819413897893</c:v>
                </c:pt>
                <c:pt idx="26">
                  <c:v>100.7978259900091</c:v>
                </c:pt>
                <c:pt idx="27">
                  <c:v>100.7978259900091</c:v>
                </c:pt>
                <c:pt idx="28">
                  <c:v>100.7978259900091</c:v>
                </c:pt>
                <c:pt idx="29">
                  <c:v>100.03993801891281</c:v>
                </c:pt>
                <c:pt idx="30">
                  <c:v>100.95221241193209</c:v>
                </c:pt>
                <c:pt idx="31">
                  <c:v>100.5302087012782</c:v>
                </c:pt>
                <c:pt idx="32">
                  <c:v>100.34977266758639</c:v>
                </c:pt>
                <c:pt idx="33">
                  <c:v>102.0694292940626</c:v>
                </c:pt>
                <c:pt idx="34">
                  <c:v>102.0694292940626</c:v>
                </c:pt>
                <c:pt idx="35">
                  <c:v>102.0694292940626</c:v>
                </c:pt>
                <c:pt idx="36">
                  <c:v>102.8565098192171</c:v>
                </c:pt>
                <c:pt idx="37">
                  <c:v>102.88042166393311</c:v>
                </c:pt>
                <c:pt idx="38">
                  <c:v>103.9139541682564</c:v>
                </c:pt>
                <c:pt idx="39">
                  <c:v>104.8351760366223</c:v>
                </c:pt>
                <c:pt idx="40">
                  <c:v>104.8055587606331</c:v>
                </c:pt>
                <c:pt idx="41">
                  <c:v>104.8055587606331</c:v>
                </c:pt>
                <c:pt idx="42">
                  <c:v>104.8055587606331</c:v>
                </c:pt>
                <c:pt idx="43">
                  <c:v>104.924933938043</c:v>
                </c:pt>
                <c:pt idx="44">
                  <c:v>104.0799071841007</c:v>
                </c:pt>
                <c:pt idx="45">
                  <c:v>104.7406046199836</c:v>
                </c:pt>
                <c:pt idx="46">
                  <c:v>104.5166062735677</c:v>
                </c:pt>
                <c:pt idx="47">
                  <c:v>104.1183020466642</c:v>
                </c:pt>
                <c:pt idx="48">
                  <c:v>104.1183020466642</c:v>
                </c:pt>
                <c:pt idx="49">
                  <c:v>104.1183020466642</c:v>
                </c:pt>
                <c:pt idx="50">
                  <c:v>104.68030826317749</c:v>
                </c:pt>
                <c:pt idx="51">
                  <c:v>104.4597218496074</c:v>
                </c:pt>
                <c:pt idx="52">
                  <c:v>105.13221239777469</c:v>
                </c:pt>
                <c:pt idx="53">
                  <c:v>105.1105940514862</c:v>
                </c:pt>
                <c:pt idx="54">
                  <c:v>105.24402752481259</c:v>
                </c:pt>
                <c:pt idx="55">
                  <c:v>105.24402752481259</c:v>
                </c:pt>
                <c:pt idx="56">
                  <c:v>105.24402752481259</c:v>
                </c:pt>
                <c:pt idx="57">
                  <c:v>105.24402752481259</c:v>
                </c:pt>
                <c:pt idx="58">
                  <c:v>104.7165228864952</c:v>
                </c:pt>
                <c:pt idx="59">
                  <c:v>105.64892909904449</c:v>
                </c:pt>
                <c:pt idx="60">
                  <c:v>105.36101010201109</c:v>
                </c:pt>
                <c:pt idx="61">
                  <c:v>106.94968248496311</c:v>
                </c:pt>
                <c:pt idx="62">
                  <c:v>106.94968248496311</c:v>
                </c:pt>
                <c:pt idx="63">
                  <c:v>106.94968248496311</c:v>
                </c:pt>
                <c:pt idx="64">
                  <c:v>107.6876651548925</c:v>
                </c:pt>
                <c:pt idx="65">
                  <c:v>108.1322640722764</c:v>
                </c:pt>
                <c:pt idx="66">
                  <c:v>108.8596711661236</c:v>
                </c:pt>
                <c:pt idx="67">
                  <c:v>108.0927224604991</c:v>
                </c:pt>
                <c:pt idx="68">
                  <c:v>108.2405398498891</c:v>
                </c:pt>
                <c:pt idx="69">
                  <c:v>108.2405398498891</c:v>
                </c:pt>
                <c:pt idx="70">
                  <c:v>108.2405398498891</c:v>
                </c:pt>
                <c:pt idx="71">
                  <c:v>108.444604580343</c:v>
                </c:pt>
                <c:pt idx="72">
                  <c:v>109.06567546006239</c:v>
                </c:pt>
                <c:pt idx="73">
                  <c:v>108.9510713256775</c:v>
                </c:pt>
                <c:pt idx="74">
                  <c:v>109.8761581636156</c:v>
                </c:pt>
                <c:pt idx="75">
                  <c:v>109.66855408373679</c:v>
                </c:pt>
                <c:pt idx="76">
                  <c:v>109.66855408373679</c:v>
                </c:pt>
                <c:pt idx="77">
                  <c:v>109.66855408373679</c:v>
                </c:pt>
                <c:pt idx="78">
                  <c:v>109.677713920049</c:v>
                </c:pt>
                <c:pt idx="79">
                  <c:v>109.374179313352</c:v>
                </c:pt>
                <c:pt idx="80">
                  <c:v>110.1660025667362</c:v>
                </c:pt>
                <c:pt idx="81">
                  <c:v>109.1953289082027</c:v>
                </c:pt>
                <c:pt idx="82">
                  <c:v>108.910269705505</c:v>
                </c:pt>
                <c:pt idx="83">
                  <c:v>108.910269705505</c:v>
                </c:pt>
                <c:pt idx="84">
                  <c:v>108.910269705505</c:v>
                </c:pt>
                <c:pt idx="85">
                  <c:v>106.63360442390361</c:v>
                </c:pt>
                <c:pt idx="86">
                  <c:v>107.0529607011876</c:v>
                </c:pt>
                <c:pt idx="87">
                  <c:v>105.403029258386</c:v>
                </c:pt>
                <c:pt idx="88">
                  <c:v>106.2326244488348</c:v>
                </c:pt>
                <c:pt idx="89">
                  <c:v>106.3263605790092</c:v>
                </c:pt>
                <c:pt idx="90">
                  <c:v>106.3263605790092</c:v>
                </c:pt>
                <c:pt idx="91">
                  <c:v>106.3263605790092</c:v>
                </c:pt>
                <c:pt idx="92">
                  <c:v>107.1387545312521</c:v>
                </c:pt>
                <c:pt idx="93">
                  <c:v>106.21832547715741</c:v>
                </c:pt>
                <c:pt idx="94">
                  <c:v>106.21832547715741</c:v>
                </c:pt>
                <c:pt idx="95">
                  <c:v>107.4040500067602</c:v>
                </c:pt>
                <c:pt idx="96">
                  <c:v>108.8475524336921</c:v>
                </c:pt>
                <c:pt idx="97">
                  <c:v>108.8475524336921</c:v>
                </c:pt>
                <c:pt idx="98">
                  <c:v>108.8475524336921</c:v>
                </c:pt>
                <c:pt idx="99">
                  <c:v>109.807622201348</c:v>
                </c:pt>
                <c:pt idx="100">
                  <c:v>109.8500519222561</c:v>
                </c:pt>
                <c:pt idx="101">
                  <c:v>109.2471308263886</c:v>
                </c:pt>
                <c:pt idx="102">
                  <c:v>110.7662903866315</c:v>
                </c:pt>
                <c:pt idx="103">
                  <c:v>110.79545462589429</c:v>
                </c:pt>
                <c:pt idx="104">
                  <c:v>110.79545462589429</c:v>
                </c:pt>
                <c:pt idx="105">
                  <c:v>110.79545462589429</c:v>
                </c:pt>
                <c:pt idx="106">
                  <c:v>110.508668220677</c:v>
                </c:pt>
                <c:pt idx="107">
                  <c:v>111.2080295096798</c:v>
                </c:pt>
                <c:pt idx="108">
                  <c:v>111.1984874236297</c:v>
                </c:pt>
                <c:pt idx="109">
                  <c:v>110.785827595458</c:v>
                </c:pt>
                <c:pt idx="110">
                  <c:v>110.7136531819813</c:v>
                </c:pt>
                <c:pt idx="111">
                  <c:v>110.7136531819813</c:v>
                </c:pt>
                <c:pt idx="112">
                  <c:v>110.7136531819813</c:v>
                </c:pt>
                <c:pt idx="113">
                  <c:v>111.02051477713781</c:v>
                </c:pt>
                <c:pt idx="114">
                  <c:v>111.00487085267881</c:v>
                </c:pt>
                <c:pt idx="115">
                  <c:v>112.2998621777334</c:v>
                </c:pt>
                <c:pt idx="116">
                  <c:v>111.1665058622245</c:v>
                </c:pt>
                <c:pt idx="117">
                  <c:v>109.5417179577388</c:v>
                </c:pt>
                <c:pt idx="118">
                  <c:v>109.5417179577388</c:v>
                </c:pt>
                <c:pt idx="119">
                  <c:v>109.5417179577388</c:v>
                </c:pt>
                <c:pt idx="120">
                  <c:v>108.0210010837488</c:v>
                </c:pt>
                <c:pt idx="121">
                  <c:v>108.6125679466606</c:v>
                </c:pt>
                <c:pt idx="122">
                  <c:v>109.1151130928322</c:v>
                </c:pt>
                <c:pt idx="123">
                  <c:v>110.46571467605401</c:v>
                </c:pt>
                <c:pt idx="124">
                  <c:v>110.5978031965988</c:v>
                </c:pt>
                <c:pt idx="125">
                  <c:v>110.5978031965988</c:v>
                </c:pt>
                <c:pt idx="126">
                  <c:v>110.5978031965988</c:v>
                </c:pt>
                <c:pt idx="127">
                  <c:v>111.2725872431937</c:v>
                </c:pt>
                <c:pt idx="128">
                  <c:v>111.6121665844358</c:v>
                </c:pt>
                <c:pt idx="129">
                  <c:v>111.6781683725151</c:v>
                </c:pt>
                <c:pt idx="130">
                  <c:v>111.7270963389678</c:v>
                </c:pt>
                <c:pt idx="131">
                  <c:v>110.98139788729149</c:v>
                </c:pt>
                <c:pt idx="132">
                  <c:v>110.98139788729149</c:v>
                </c:pt>
                <c:pt idx="133">
                  <c:v>110.98139788729149</c:v>
                </c:pt>
                <c:pt idx="134">
                  <c:v>110.7066877423127</c:v>
                </c:pt>
                <c:pt idx="135">
                  <c:v>111.4313907731992</c:v>
                </c:pt>
                <c:pt idx="136">
                  <c:v>110.0612802959463</c:v>
                </c:pt>
                <c:pt idx="137">
                  <c:v>110.52006492582601</c:v>
                </c:pt>
                <c:pt idx="138">
                  <c:v>110.6588923676761</c:v>
                </c:pt>
                <c:pt idx="139">
                  <c:v>110.6588923676761</c:v>
                </c:pt>
                <c:pt idx="140">
                  <c:v>110.6588923676761</c:v>
                </c:pt>
                <c:pt idx="141">
                  <c:v>110.7250923593233</c:v>
                </c:pt>
                <c:pt idx="142">
                  <c:v>111.2654377573549</c:v>
                </c:pt>
                <c:pt idx="143">
                  <c:v>111.6890837261421</c:v>
                </c:pt>
                <c:pt idx="144">
                  <c:v>111.5384631720074</c:v>
                </c:pt>
                <c:pt idx="145">
                  <c:v>112.49432819254631</c:v>
                </c:pt>
                <c:pt idx="146">
                  <c:v>112.49432819254631</c:v>
                </c:pt>
                <c:pt idx="147">
                  <c:v>112.49432819254631</c:v>
                </c:pt>
                <c:pt idx="148">
                  <c:v>113.5125282351601</c:v>
                </c:pt>
                <c:pt idx="149">
                  <c:v>113.68445567283391</c:v>
                </c:pt>
                <c:pt idx="150">
                  <c:v>114.8120782422741</c:v>
                </c:pt>
                <c:pt idx="151">
                  <c:v>114.5101717363128</c:v>
                </c:pt>
                <c:pt idx="152">
                  <c:v>114.8099404752214</c:v>
                </c:pt>
                <c:pt idx="153">
                  <c:v>114.8099404752214</c:v>
                </c:pt>
                <c:pt idx="154">
                  <c:v>114.8099404752214</c:v>
                </c:pt>
                <c:pt idx="155">
                  <c:v>114.8099404752214</c:v>
                </c:pt>
                <c:pt idx="156">
                  <c:v>114.5509875138831</c:v>
                </c:pt>
                <c:pt idx="157">
                  <c:v>113.19082968721349</c:v>
                </c:pt>
                <c:pt idx="158">
                  <c:v>112.16518285340931</c:v>
                </c:pt>
                <c:pt idx="159">
                  <c:v>111.87942993822421</c:v>
                </c:pt>
                <c:pt idx="160">
                  <c:v>111.87942993822421</c:v>
                </c:pt>
                <c:pt idx="161">
                  <c:v>111.87942993822421</c:v>
                </c:pt>
                <c:pt idx="162">
                  <c:v>112.1854845617117</c:v>
                </c:pt>
                <c:pt idx="163">
                  <c:v>112.86948507420951</c:v>
                </c:pt>
                <c:pt idx="164">
                  <c:v>112.6111833531655</c:v>
                </c:pt>
                <c:pt idx="165">
                  <c:v>113.4532795257838</c:v>
                </c:pt>
                <c:pt idx="166">
                  <c:v>113.40136434841639</c:v>
                </c:pt>
                <c:pt idx="167">
                  <c:v>113.40136434841639</c:v>
                </c:pt>
                <c:pt idx="168">
                  <c:v>113.40136434841639</c:v>
                </c:pt>
                <c:pt idx="169">
                  <c:v>111.78386750374639</c:v>
                </c:pt>
                <c:pt idx="170">
                  <c:v>112.6377709460469</c:v>
                </c:pt>
                <c:pt idx="171">
                  <c:v>112.55184969940311</c:v>
                </c:pt>
                <c:pt idx="172">
                  <c:v>113.65887325518921</c:v>
                </c:pt>
                <c:pt idx="173">
                  <c:v>113.0744983503092</c:v>
                </c:pt>
                <c:pt idx="174">
                  <c:v>113.0744983503092</c:v>
                </c:pt>
                <c:pt idx="175">
                  <c:v>113.0744983503092</c:v>
                </c:pt>
                <c:pt idx="176">
                  <c:v>113.16359085403791</c:v>
                </c:pt>
                <c:pt idx="177">
                  <c:v>113.3649515215309</c:v>
                </c:pt>
                <c:pt idx="178">
                  <c:v>113.1227892338653</c:v>
                </c:pt>
                <c:pt idx="179">
                  <c:v>113.8533392700021</c:v>
                </c:pt>
                <c:pt idx="180">
                  <c:v>113.91541945891851</c:v>
                </c:pt>
                <c:pt idx="181">
                  <c:v>113.7872808523319</c:v>
                </c:pt>
                <c:pt idx="182">
                  <c:v>113.2527683021528</c:v>
                </c:pt>
                <c:pt idx="183">
                  <c:v>113.614319924626</c:v>
                </c:pt>
                <c:pt idx="184">
                  <c:v>111.5533567543882</c:v>
                </c:pt>
                <c:pt idx="185">
                  <c:v>110.26414164759549</c:v>
                </c:pt>
                <c:pt idx="186">
                  <c:v>109.5209065831191</c:v>
                </c:pt>
                <c:pt idx="187">
                  <c:v>109.550169924166</c:v>
                </c:pt>
                <c:pt idx="188">
                  <c:v>105.0769136023569</c:v>
                </c:pt>
                <c:pt idx="189">
                  <c:v>103.7604313475931</c:v>
                </c:pt>
                <c:pt idx="190">
                  <c:v>106.1365098758467</c:v>
                </c:pt>
                <c:pt idx="191">
                  <c:v>105.1999980179643</c:v>
                </c:pt>
                <c:pt idx="192">
                  <c:v>108.24022838713969</c:v>
                </c:pt>
                <c:pt idx="193">
                  <c:v>108.2007858771463</c:v>
                </c:pt>
                <c:pt idx="194">
                  <c:v>105.97008966587831</c:v>
                </c:pt>
                <c:pt idx="195">
                  <c:v>105.4588235627233</c:v>
                </c:pt>
                <c:pt idx="196">
                  <c:v>105.7363510298445</c:v>
                </c:pt>
                <c:pt idx="197">
                  <c:v>105.29619753533861</c:v>
                </c:pt>
                <c:pt idx="198">
                  <c:v>100.6364599710198</c:v>
                </c:pt>
                <c:pt idx="199">
                  <c:v>103.6085932572562</c:v>
                </c:pt>
                <c:pt idx="200">
                  <c:v>101.469070687179</c:v>
                </c:pt>
                <c:pt idx="201">
                  <c:v>99.813787748046451</c:v>
                </c:pt>
                <c:pt idx="202">
                  <c:v>101.3903272411692</c:v>
                </c:pt>
                <c:pt idx="203">
                  <c:v>103.4325177020561</c:v>
                </c:pt>
                <c:pt idx="204">
                  <c:v>105.2469014765458</c:v>
                </c:pt>
                <c:pt idx="205">
                  <c:v>104.1558899375588</c:v>
                </c:pt>
                <c:pt idx="206">
                  <c:v>103.7574582940761</c:v>
                </c:pt>
                <c:pt idx="207">
                  <c:v>104.4244557719357</c:v>
                </c:pt>
                <c:pt idx="208">
                  <c:v>107.18217526999921</c:v>
                </c:pt>
                <c:pt idx="209">
                  <c:v>106.6177339810815</c:v>
                </c:pt>
                <c:pt idx="210">
                  <c:v>104.862457341991</c:v>
                </c:pt>
                <c:pt idx="211">
                  <c:v>101.9455662215817</c:v>
                </c:pt>
                <c:pt idx="212">
                  <c:v>101.945651165968</c:v>
                </c:pt>
                <c:pt idx="213">
                  <c:v>101.0327538474498</c:v>
                </c:pt>
                <c:pt idx="214">
                  <c:v>102.769002944031</c:v>
                </c:pt>
                <c:pt idx="215">
                  <c:v>102.6110205430919</c:v>
                </c:pt>
                <c:pt idx="216">
                  <c:v>99.504944117211906</c:v>
                </c:pt>
                <c:pt idx="217">
                  <c:v>97.810954852766585</c:v>
                </c:pt>
                <c:pt idx="218">
                  <c:v>98.708930274108468</c:v>
                </c:pt>
                <c:pt idx="219">
                  <c:v>98.708930274108468</c:v>
                </c:pt>
                <c:pt idx="220">
                  <c:v>98.237956124808804</c:v>
                </c:pt>
                <c:pt idx="221">
                  <c:v>100.2606093768692</c:v>
                </c:pt>
                <c:pt idx="222">
                  <c:v>100.2726006927215</c:v>
                </c:pt>
                <c:pt idx="223">
                  <c:v>103.22996781315631</c:v>
                </c:pt>
                <c:pt idx="224">
                  <c:v>102.9679285391194</c:v>
                </c:pt>
                <c:pt idx="225">
                  <c:v>103.781327666599</c:v>
                </c:pt>
                <c:pt idx="226">
                  <c:v>105.3524448764024</c:v>
                </c:pt>
                <c:pt idx="227">
                  <c:v>101.344683790983</c:v>
                </c:pt>
                <c:pt idx="228">
                  <c:v>101.344683790983</c:v>
                </c:pt>
                <c:pt idx="229">
                  <c:v>101.7670272791818</c:v>
                </c:pt>
                <c:pt idx="230">
                  <c:v>98.66647223840485</c:v>
                </c:pt>
                <c:pt idx="231">
                  <c:v>99.392307861107412</c:v>
                </c:pt>
                <c:pt idx="232">
                  <c:v>99.552442186496748</c:v>
                </c:pt>
                <c:pt idx="233">
                  <c:v>100.4936259856204</c:v>
                </c:pt>
                <c:pt idx="234">
                  <c:v>100.0975303127581</c:v>
                </c:pt>
                <c:pt idx="235">
                  <c:v>97.837032779330769</c:v>
                </c:pt>
                <c:pt idx="236">
                  <c:v>95.615269886011717</c:v>
                </c:pt>
                <c:pt idx="237">
                  <c:v>96.042540148610215</c:v>
                </c:pt>
                <c:pt idx="238">
                  <c:v>93.960199307844832</c:v>
                </c:pt>
                <c:pt idx="239">
                  <c:v>92.425254249165974</c:v>
                </c:pt>
                <c:pt idx="240">
                  <c:v>89.65872884973264</c:v>
                </c:pt>
                <c:pt idx="241">
                  <c:v>87.67561720944947</c:v>
                </c:pt>
                <c:pt idx="242">
                  <c:v>87.67561720944947</c:v>
                </c:pt>
                <c:pt idx="243">
                  <c:v>92.792610404696305</c:v>
                </c:pt>
                <c:pt idx="244">
                  <c:v>93.148484910691536</c:v>
                </c:pt>
                <c:pt idx="245">
                  <c:v>93.219696621124697</c:v>
                </c:pt>
                <c:pt idx="246">
                  <c:v>93.938255341409203</c:v>
                </c:pt>
                <c:pt idx="247">
                  <c:v>93.938255341409203</c:v>
                </c:pt>
                <c:pt idx="248">
                  <c:v>94.372335312301502</c:v>
                </c:pt>
                <c:pt idx="249">
                  <c:v>91.506396666216006</c:v>
                </c:pt>
                <c:pt idx="250">
                  <c:v>95.404678595218101</c:v>
                </c:pt>
                <c:pt idx="251">
                  <c:v>96.602592644240872</c:v>
                </c:pt>
                <c:pt idx="252">
                  <c:v>97.643557782356908</c:v>
                </c:pt>
                <c:pt idx="253">
                  <c:v>98.494105921402394</c:v>
                </c:pt>
                <c:pt idx="254">
                  <c:v>98.904543038135103</c:v>
                </c:pt>
                <c:pt idx="255">
                  <c:v>98.697958290890611</c:v>
                </c:pt>
                <c:pt idx="256">
                  <c:v>97.769799297651474</c:v>
                </c:pt>
                <c:pt idx="257">
                  <c:v>99.439211319688908</c:v>
                </c:pt>
                <c:pt idx="258">
                  <c:v>99.592946501317698</c:v>
                </c:pt>
                <c:pt idx="259">
                  <c:v>100.29756018486729</c:v>
                </c:pt>
                <c:pt idx="260">
                  <c:v>101.32772322853801</c:v>
                </c:pt>
                <c:pt idx="261">
                  <c:v>101.32772322853801</c:v>
                </c:pt>
                <c:pt idx="262">
                  <c:v>99.389971890486777</c:v>
                </c:pt>
                <c:pt idx="263">
                  <c:v>99.466591726841514</c:v>
                </c:pt>
                <c:pt idx="264">
                  <c:v>100.14180049536741</c:v>
                </c:pt>
                <c:pt idx="265">
                  <c:v>101.4358291173783</c:v>
                </c:pt>
                <c:pt idx="266">
                  <c:v>100.3148605248572</c:v>
                </c:pt>
                <c:pt idx="267">
                  <c:v>99.502310841239648</c:v>
                </c:pt>
                <c:pt idx="268">
                  <c:v>101.693720273889</c:v>
                </c:pt>
                <c:pt idx="269">
                  <c:v>103.09044665881881</c:v>
                </c:pt>
                <c:pt idx="270">
                  <c:v>102.8374681193101</c:v>
                </c:pt>
                <c:pt idx="271">
                  <c:v>104.02198927010831</c:v>
                </c:pt>
                <c:pt idx="272">
                  <c:v>104.7942469998705</c:v>
                </c:pt>
                <c:pt idx="273">
                  <c:v>104.4147862693063</c:v>
                </c:pt>
                <c:pt idx="274">
                  <c:v>103.184097844607</c:v>
                </c:pt>
                <c:pt idx="275">
                  <c:v>103.32349158236519</c:v>
                </c:pt>
                <c:pt idx="276">
                  <c:v>103.46091744184319</c:v>
                </c:pt>
                <c:pt idx="277">
                  <c:v>104.9717099800452</c:v>
                </c:pt>
                <c:pt idx="278">
                  <c:v>105.05324243340181</c:v>
                </c:pt>
                <c:pt idx="279">
                  <c:v>105.14635563807749</c:v>
                </c:pt>
                <c:pt idx="280">
                  <c:v>105.78988015054981</c:v>
                </c:pt>
                <c:pt idx="281">
                  <c:v>105.78988015054981</c:v>
                </c:pt>
                <c:pt idx="282">
                  <c:v>105.99312375193701</c:v>
                </c:pt>
                <c:pt idx="283">
                  <c:v>106.025728238841</c:v>
                </c:pt>
                <c:pt idx="284">
                  <c:v>105.6100528849591</c:v>
                </c:pt>
                <c:pt idx="285">
                  <c:v>106.57044827276211</c:v>
                </c:pt>
                <c:pt idx="286">
                  <c:v>106.9514946318687</c:v>
                </c:pt>
                <c:pt idx="287">
                  <c:v>106.8784141449392</c:v>
                </c:pt>
                <c:pt idx="288">
                  <c:v>106.952188344356</c:v>
                </c:pt>
                <c:pt idx="289">
                  <c:v>106.64105121509409</c:v>
                </c:pt>
              </c:numCache>
            </c:numRef>
          </c:val>
          <c:smooth val="0"/>
        </c:ser>
        <c:ser>
          <c:idx val="2"/>
          <c:order val="2"/>
          <c:tx>
            <c:strRef>
              <c:f>Index_Charts!$E$1</c:f>
              <c:strCache>
                <c:ptCount val="1"/>
                <c:pt idx="0">
                  <c:v>FTSE 100</c:v>
                </c:pt>
              </c:strCache>
            </c:strRef>
          </c:tx>
          <c:spPr>
            <a:ln w="28575" cap="rnd">
              <a:solidFill>
                <a:schemeClr val="accent3"/>
              </a:solidFill>
              <a:round/>
            </a:ln>
            <a:effectLst/>
          </c:spPr>
          <c:marker>
            <c:symbol val="none"/>
          </c:marker>
          <c:cat>
            <c:numRef>
              <c:f>Index_Charts!$B$3:$B$292</c:f>
              <c:numCache>
                <c:formatCode>[$-409]mmmm\-yy;@</c:formatCode>
                <c:ptCount val="290"/>
                <c:pt idx="0">
                  <c:v>43191</c:v>
                </c:pt>
                <c:pt idx="1">
                  <c:v>43192</c:v>
                </c:pt>
                <c:pt idx="2">
                  <c:v>43193</c:v>
                </c:pt>
                <c:pt idx="3">
                  <c:v>43194</c:v>
                </c:pt>
                <c:pt idx="4">
                  <c:v>43195</c:v>
                </c:pt>
                <c:pt idx="5">
                  <c:v>43196</c:v>
                </c:pt>
                <c:pt idx="6">
                  <c:v>43197</c:v>
                </c:pt>
                <c:pt idx="7">
                  <c:v>43198</c:v>
                </c:pt>
                <c:pt idx="8">
                  <c:v>43199</c:v>
                </c:pt>
                <c:pt idx="9">
                  <c:v>43200</c:v>
                </c:pt>
                <c:pt idx="10">
                  <c:v>43201</c:v>
                </c:pt>
                <c:pt idx="11">
                  <c:v>43202</c:v>
                </c:pt>
                <c:pt idx="12">
                  <c:v>43203</c:v>
                </c:pt>
                <c:pt idx="13">
                  <c:v>43204</c:v>
                </c:pt>
                <c:pt idx="14">
                  <c:v>43205</c:v>
                </c:pt>
                <c:pt idx="15">
                  <c:v>43206</c:v>
                </c:pt>
                <c:pt idx="16">
                  <c:v>43207</c:v>
                </c:pt>
                <c:pt idx="17">
                  <c:v>43208</c:v>
                </c:pt>
                <c:pt idx="18">
                  <c:v>43209</c:v>
                </c:pt>
                <c:pt idx="19">
                  <c:v>43210</c:v>
                </c:pt>
                <c:pt idx="20">
                  <c:v>43211</c:v>
                </c:pt>
                <c:pt idx="21">
                  <c:v>43212</c:v>
                </c:pt>
                <c:pt idx="22">
                  <c:v>43213</c:v>
                </c:pt>
                <c:pt idx="23">
                  <c:v>43214</c:v>
                </c:pt>
                <c:pt idx="24">
                  <c:v>43215</c:v>
                </c:pt>
                <c:pt idx="25">
                  <c:v>43216</c:v>
                </c:pt>
                <c:pt idx="26">
                  <c:v>43217</c:v>
                </c:pt>
                <c:pt idx="27">
                  <c:v>43218</c:v>
                </c:pt>
                <c:pt idx="28">
                  <c:v>43219</c:v>
                </c:pt>
                <c:pt idx="29">
                  <c:v>43220</c:v>
                </c:pt>
                <c:pt idx="30">
                  <c:v>43221</c:v>
                </c:pt>
                <c:pt idx="31">
                  <c:v>43222</c:v>
                </c:pt>
                <c:pt idx="32">
                  <c:v>43223</c:v>
                </c:pt>
                <c:pt idx="33">
                  <c:v>43224</c:v>
                </c:pt>
                <c:pt idx="34">
                  <c:v>43225</c:v>
                </c:pt>
                <c:pt idx="35">
                  <c:v>43226</c:v>
                </c:pt>
                <c:pt idx="36">
                  <c:v>43227</c:v>
                </c:pt>
                <c:pt idx="37">
                  <c:v>43228</c:v>
                </c:pt>
                <c:pt idx="38">
                  <c:v>43229</c:v>
                </c:pt>
                <c:pt idx="39">
                  <c:v>43230</c:v>
                </c:pt>
                <c:pt idx="40">
                  <c:v>43231</c:v>
                </c:pt>
                <c:pt idx="41">
                  <c:v>43232</c:v>
                </c:pt>
                <c:pt idx="42">
                  <c:v>43233</c:v>
                </c:pt>
                <c:pt idx="43">
                  <c:v>43234</c:v>
                </c:pt>
                <c:pt idx="44">
                  <c:v>43235</c:v>
                </c:pt>
                <c:pt idx="45">
                  <c:v>43236</c:v>
                </c:pt>
                <c:pt idx="46">
                  <c:v>43237</c:v>
                </c:pt>
                <c:pt idx="47">
                  <c:v>43238</c:v>
                </c:pt>
                <c:pt idx="48">
                  <c:v>43239</c:v>
                </c:pt>
                <c:pt idx="49">
                  <c:v>43240</c:v>
                </c:pt>
                <c:pt idx="50">
                  <c:v>43241</c:v>
                </c:pt>
                <c:pt idx="51">
                  <c:v>43242</c:v>
                </c:pt>
                <c:pt idx="52">
                  <c:v>43243</c:v>
                </c:pt>
                <c:pt idx="53">
                  <c:v>43244</c:v>
                </c:pt>
                <c:pt idx="54">
                  <c:v>43245</c:v>
                </c:pt>
                <c:pt idx="55">
                  <c:v>43246</c:v>
                </c:pt>
                <c:pt idx="56">
                  <c:v>43247</c:v>
                </c:pt>
                <c:pt idx="57">
                  <c:v>43248</c:v>
                </c:pt>
                <c:pt idx="58">
                  <c:v>43249</c:v>
                </c:pt>
                <c:pt idx="59">
                  <c:v>43250</c:v>
                </c:pt>
                <c:pt idx="60">
                  <c:v>43251</c:v>
                </c:pt>
                <c:pt idx="61">
                  <c:v>43252</c:v>
                </c:pt>
                <c:pt idx="62">
                  <c:v>43253</c:v>
                </c:pt>
                <c:pt idx="63">
                  <c:v>43254</c:v>
                </c:pt>
                <c:pt idx="64">
                  <c:v>43255</c:v>
                </c:pt>
                <c:pt idx="65">
                  <c:v>43256</c:v>
                </c:pt>
                <c:pt idx="66">
                  <c:v>43257</c:v>
                </c:pt>
                <c:pt idx="67">
                  <c:v>43258</c:v>
                </c:pt>
                <c:pt idx="68">
                  <c:v>43259</c:v>
                </c:pt>
                <c:pt idx="69">
                  <c:v>43260</c:v>
                </c:pt>
                <c:pt idx="70">
                  <c:v>43261</c:v>
                </c:pt>
                <c:pt idx="71">
                  <c:v>43262</c:v>
                </c:pt>
                <c:pt idx="72">
                  <c:v>43263</c:v>
                </c:pt>
                <c:pt idx="73">
                  <c:v>43264</c:v>
                </c:pt>
                <c:pt idx="74">
                  <c:v>43265</c:v>
                </c:pt>
                <c:pt idx="75">
                  <c:v>43266</c:v>
                </c:pt>
                <c:pt idx="76">
                  <c:v>43267</c:v>
                </c:pt>
                <c:pt idx="77">
                  <c:v>43268</c:v>
                </c:pt>
                <c:pt idx="78">
                  <c:v>43269</c:v>
                </c:pt>
                <c:pt idx="79">
                  <c:v>43270</c:v>
                </c:pt>
                <c:pt idx="80">
                  <c:v>43271</c:v>
                </c:pt>
                <c:pt idx="81">
                  <c:v>43272</c:v>
                </c:pt>
                <c:pt idx="82">
                  <c:v>43273</c:v>
                </c:pt>
                <c:pt idx="83">
                  <c:v>43274</c:v>
                </c:pt>
                <c:pt idx="84">
                  <c:v>43275</c:v>
                </c:pt>
                <c:pt idx="85">
                  <c:v>43276</c:v>
                </c:pt>
                <c:pt idx="86">
                  <c:v>43277</c:v>
                </c:pt>
                <c:pt idx="87">
                  <c:v>43278</c:v>
                </c:pt>
                <c:pt idx="88">
                  <c:v>43279</c:v>
                </c:pt>
                <c:pt idx="89">
                  <c:v>43280</c:v>
                </c:pt>
                <c:pt idx="90">
                  <c:v>43281</c:v>
                </c:pt>
                <c:pt idx="91">
                  <c:v>43282</c:v>
                </c:pt>
                <c:pt idx="92">
                  <c:v>43283</c:v>
                </c:pt>
                <c:pt idx="93">
                  <c:v>43284</c:v>
                </c:pt>
                <c:pt idx="94">
                  <c:v>43285</c:v>
                </c:pt>
                <c:pt idx="95">
                  <c:v>43286</c:v>
                </c:pt>
                <c:pt idx="96">
                  <c:v>43287</c:v>
                </c:pt>
                <c:pt idx="97">
                  <c:v>43288</c:v>
                </c:pt>
                <c:pt idx="98">
                  <c:v>43289</c:v>
                </c:pt>
                <c:pt idx="99">
                  <c:v>43290</c:v>
                </c:pt>
                <c:pt idx="100">
                  <c:v>43291</c:v>
                </c:pt>
                <c:pt idx="101">
                  <c:v>43292</c:v>
                </c:pt>
                <c:pt idx="102">
                  <c:v>43293</c:v>
                </c:pt>
                <c:pt idx="103">
                  <c:v>43294</c:v>
                </c:pt>
                <c:pt idx="104">
                  <c:v>43295</c:v>
                </c:pt>
                <c:pt idx="105">
                  <c:v>43296</c:v>
                </c:pt>
                <c:pt idx="106">
                  <c:v>43297</c:v>
                </c:pt>
                <c:pt idx="107">
                  <c:v>43298</c:v>
                </c:pt>
                <c:pt idx="108">
                  <c:v>43299</c:v>
                </c:pt>
                <c:pt idx="109">
                  <c:v>43300</c:v>
                </c:pt>
                <c:pt idx="110">
                  <c:v>43301</c:v>
                </c:pt>
                <c:pt idx="111">
                  <c:v>43302</c:v>
                </c:pt>
                <c:pt idx="112">
                  <c:v>43303</c:v>
                </c:pt>
                <c:pt idx="113">
                  <c:v>43304</c:v>
                </c:pt>
                <c:pt idx="114">
                  <c:v>43305</c:v>
                </c:pt>
                <c:pt idx="115">
                  <c:v>43306</c:v>
                </c:pt>
                <c:pt idx="116">
                  <c:v>43307</c:v>
                </c:pt>
                <c:pt idx="117">
                  <c:v>43308</c:v>
                </c:pt>
                <c:pt idx="118">
                  <c:v>43309</c:v>
                </c:pt>
                <c:pt idx="119">
                  <c:v>43310</c:v>
                </c:pt>
                <c:pt idx="120">
                  <c:v>43311</c:v>
                </c:pt>
                <c:pt idx="121">
                  <c:v>43312</c:v>
                </c:pt>
                <c:pt idx="122">
                  <c:v>43313</c:v>
                </c:pt>
                <c:pt idx="123">
                  <c:v>43314</c:v>
                </c:pt>
                <c:pt idx="124">
                  <c:v>43315</c:v>
                </c:pt>
                <c:pt idx="125">
                  <c:v>43316</c:v>
                </c:pt>
                <c:pt idx="126">
                  <c:v>43317</c:v>
                </c:pt>
                <c:pt idx="127">
                  <c:v>43318</c:v>
                </c:pt>
                <c:pt idx="128">
                  <c:v>43319</c:v>
                </c:pt>
                <c:pt idx="129">
                  <c:v>43320</c:v>
                </c:pt>
                <c:pt idx="130">
                  <c:v>43321</c:v>
                </c:pt>
                <c:pt idx="131">
                  <c:v>43322</c:v>
                </c:pt>
                <c:pt idx="132">
                  <c:v>43323</c:v>
                </c:pt>
                <c:pt idx="133">
                  <c:v>43324</c:v>
                </c:pt>
                <c:pt idx="134">
                  <c:v>43325</c:v>
                </c:pt>
                <c:pt idx="135">
                  <c:v>43326</c:v>
                </c:pt>
                <c:pt idx="136">
                  <c:v>43327</c:v>
                </c:pt>
                <c:pt idx="137">
                  <c:v>43328</c:v>
                </c:pt>
                <c:pt idx="138">
                  <c:v>43329</c:v>
                </c:pt>
                <c:pt idx="139">
                  <c:v>43330</c:v>
                </c:pt>
                <c:pt idx="140">
                  <c:v>43331</c:v>
                </c:pt>
                <c:pt idx="141">
                  <c:v>43332</c:v>
                </c:pt>
                <c:pt idx="142">
                  <c:v>43333</c:v>
                </c:pt>
                <c:pt idx="143">
                  <c:v>43334</c:v>
                </c:pt>
                <c:pt idx="144">
                  <c:v>43335</c:v>
                </c:pt>
                <c:pt idx="145">
                  <c:v>43336</c:v>
                </c:pt>
                <c:pt idx="146">
                  <c:v>43337</c:v>
                </c:pt>
                <c:pt idx="147">
                  <c:v>43338</c:v>
                </c:pt>
                <c:pt idx="148">
                  <c:v>43339</c:v>
                </c:pt>
                <c:pt idx="149">
                  <c:v>43340</c:v>
                </c:pt>
                <c:pt idx="150">
                  <c:v>43341</c:v>
                </c:pt>
                <c:pt idx="151">
                  <c:v>43342</c:v>
                </c:pt>
                <c:pt idx="152">
                  <c:v>43343</c:v>
                </c:pt>
                <c:pt idx="153">
                  <c:v>43344</c:v>
                </c:pt>
                <c:pt idx="154">
                  <c:v>43345</c:v>
                </c:pt>
                <c:pt idx="155">
                  <c:v>43346</c:v>
                </c:pt>
                <c:pt idx="156">
                  <c:v>43347</c:v>
                </c:pt>
                <c:pt idx="157">
                  <c:v>43348</c:v>
                </c:pt>
                <c:pt idx="158">
                  <c:v>43349</c:v>
                </c:pt>
                <c:pt idx="159">
                  <c:v>43350</c:v>
                </c:pt>
                <c:pt idx="160">
                  <c:v>43351</c:v>
                </c:pt>
                <c:pt idx="161">
                  <c:v>43352</c:v>
                </c:pt>
                <c:pt idx="162">
                  <c:v>43353</c:v>
                </c:pt>
                <c:pt idx="163">
                  <c:v>43354</c:v>
                </c:pt>
                <c:pt idx="164">
                  <c:v>43355</c:v>
                </c:pt>
                <c:pt idx="165">
                  <c:v>43356</c:v>
                </c:pt>
                <c:pt idx="166">
                  <c:v>43357</c:v>
                </c:pt>
                <c:pt idx="167">
                  <c:v>43358</c:v>
                </c:pt>
                <c:pt idx="168">
                  <c:v>43359</c:v>
                </c:pt>
                <c:pt idx="169">
                  <c:v>43360</c:v>
                </c:pt>
                <c:pt idx="170">
                  <c:v>43361</c:v>
                </c:pt>
                <c:pt idx="171">
                  <c:v>43362</c:v>
                </c:pt>
                <c:pt idx="172">
                  <c:v>43363</c:v>
                </c:pt>
                <c:pt idx="173">
                  <c:v>43364</c:v>
                </c:pt>
                <c:pt idx="174">
                  <c:v>43365</c:v>
                </c:pt>
                <c:pt idx="175">
                  <c:v>43366</c:v>
                </c:pt>
                <c:pt idx="176">
                  <c:v>43367</c:v>
                </c:pt>
                <c:pt idx="177">
                  <c:v>43368</c:v>
                </c:pt>
                <c:pt idx="178">
                  <c:v>43369</c:v>
                </c:pt>
                <c:pt idx="179">
                  <c:v>43370</c:v>
                </c:pt>
                <c:pt idx="180">
                  <c:v>43371</c:v>
                </c:pt>
                <c:pt idx="181">
                  <c:v>43374</c:v>
                </c:pt>
                <c:pt idx="182">
                  <c:v>43375</c:v>
                </c:pt>
                <c:pt idx="183">
                  <c:v>43376</c:v>
                </c:pt>
                <c:pt idx="184">
                  <c:v>43377</c:v>
                </c:pt>
                <c:pt idx="185">
                  <c:v>43378</c:v>
                </c:pt>
                <c:pt idx="186">
                  <c:v>43381</c:v>
                </c:pt>
                <c:pt idx="187">
                  <c:v>43382</c:v>
                </c:pt>
                <c:pt idx="188">
                  <c:v>43383</c:v>
                </c:pt>
                <c:pt idx="189">
                  <c:v>43384</c:v>
                </c:pt>
                <c:pt idx="190">
                  <c:v>43385</c:v>
                </c:pt>
                <c:pt idx="191">
                  <c:v>43388</c:v>
                </c:pt>
                <c:pt idx="192">
                  <c:v>43389</c:v>
                </c:pt>
                <c:pt idx="193">
                  <c:v>43390</c:v>
                </c:pt>
                <c:pt idx="194">
                  <c:v>43391</c:v>
                </c:pt>
                <c:pt idx="195">
                  <c:v>43392</c:v>
                </c:pt>
                <c:pt idx="196">
                  <c:v>43395</c:v>
                </c:pt>
                <c:pt idx="197">
                  <c:v>43396</c:v>
                </c:pt>
                <c:pt idx="198">
                  <c:v>43397</c:v>
                </c:pt>
                <c:pt idx="199">
                  <c:v>43398</c:v>
                </c:pt>
                <c:pt idx="200">
                  <c:v>43399</c:v>
                </c:pt>
                <c:pt idx="201">
                  <c:v>43402</c:v>
                </c:pt>
                <c:pt idx="202">
                  <c:v>43403</c:v>
                </c:pt>
                <c:pt idx="203">
                  <c:v>43404</c:v>
                </c:pt>
                <c:pt idx="204">
                  <c:v>43405</c:v>
                </c:pt>
                <c:pt idx="205">
                  <c:v>43406</c:v>
                </c:pt>
                <c:pt idx="206">
                  <c:v>43409</c:v>
                </c:pt>
                <c:pt idx="207">
                  <c:v>43410</c:v>
                </c:pt>
                <c:pt idx="208">
                  <c:v>43411</c:v>
                </c:pt>
                <c:pt idx="209">
                  <c:v>43412</c:v>
                </c:pt>
                <c:pt idx="210">
                  <c:v>43413</c:v>
                </c:pt>
                <c:pt idx="211">
                  <c:v>43416</c:v>
                </c:pt>
                <c:pt idx="212">
                  <c:v>43417</c:v>
                </c:pt>
                <c:pt idx="213">
                  <c:v>43418</c:v>
                </c:pt>
                <c:pt idx="214">
                  <c:v>43419</c:v>
                </c:pt>
                <c:pt idx="215">
                  <c:v>43420</c:v>
                </c:pt>
                <c:pt idx="216">
                  <c:v>43423</c:v>
                </c:pt>
                <c:pt idx="217">
                  <c:v>43424</c:v>
                </c:pt>
                <c:pt idx="218">
                  <c:v>43425</c:v>
                </c:pt>
                <c:pt idx="219">
                  <c:v>43426</c:v>
                </c:pt>
                <c:pt idx="220">
                  <c:v>43427</c:v>
                </c:pt>
                <c:pt idx="221">
                  <c:v>43430</c:v>
                </c:pt>
                <c:pt idx="222">
                  <c:v>43431</c:v>
                </c:pt>
                <c:pt idx="223">
                  <c:v>43432</c:v>
                </c:pt>
                <c:pt idx="224">
                  <c:v>43433</c:v>
                </c:pt>
                <c:pt idx="225">
                  <c:v>43434</c:v>
                </c:pt>
                <c:pt idx="226">
                  <c:v>43437</c:v>
                </c:pt>
                <c:pt idx="227">
                  <c:v>43438</c:v>
                </c:pt>
                <c:pt idx="228">
                  <c:v>43439</c:v>
                </c:pt>
                <c:pt idx="229">
                  <c:v>43440</c:v>
                </c:pt>
                <c:pt idx="230">
                  <c:v>43441</c:v>
                </c:pt>
                <c:pt idx="231">
                  <c:v>43444</c:v>
                </c:pt>
                <c:pt idx="232">
                  <c:v>43445</c:v>
                </c:pt>
                <c:pt idx="233">
                  <c:v>43446</c:v>
                </c:pt>
                <c:pt idx="234">
                  <c:v>43447</c:v>
                </c:pt>
                <c:pt idx="235">
                  <c:v>43448</c:v>
                </c:pt>
                <c:pt idx="236">
                  <c:v>43451</c:v>
                </c:pt>
                <c:pt idx="237">
                  <c:v>43452</c:v>
                </c:pt>
                <c:pt idx="238">
                  <c:v>43453</c:v>
                </c:pt>
                <c:pt idx="239">
                  <c:v>43454</c:v>
                </c:pt>
                <c:pt idx="240">
                  <c:v>43455</c:v>
                </c:pt>
                <c:pt idx="241">
                  <c:v>43458</c:v>
                </c:pt>
                <c:pt idx="242">
                  <c:v>43459</c:v>
                </c:pt>
                <c:pt idx="243">
                  <c:v>43460</c:v>
                </c:pt>
                <c:pt idx="244">
                  <c:v>43461</c:v>
                </c:pt>
                <c:pt idx="245">
                  <c:v>43462</c:v>
                </c:pt>
                <c:pt idx="246">
                  <c:v>43465</c:v>
                </c:pt>
                <c:pt idx="247">
                  <c:v>43466</c:v>
                </c:pt>
                <c:pt idx="248">
                  <c:v>43467</c:v>
                </c:pt>
                <c:pt idx="249">
                  <c:v>43468</c:v>
                </c:pt>
                <c:pt idx="250">
                  <c:v>43469</c:v>
                </c:pt>
                <c:pt idx="251">
                  <c:v>43472</c:v>
                </c:pt>
                <c:pt idx="252">
                  <c:v>43473</c:v>
                </c:pt>
                <c:pt idx="253">
                  <c:v>43474</c:v>
                </c:pt>
                <c:pt idx="254">
                  <c:v>43475</c:v>
                </c:pt>
                <c:pt idx="255">
                  <c:v>43476</c:v>
                </c:pt>
                <c:pt idx="256">
                  <c:v>43479</c:v>
                </c:pt>
                <c:pt idx="257">
                  <c:v>43480</c:v>
                </c:pt>
                <c:pt idx="258">
                  <c:v>43481</c:v>
                </c:pt>
                <c:pt idx="259">
                  <c:v>43482</c:v>
                </c:pt>
                <c:pt idx="260">
                  <c:v>43483</c:v>
                </c:pt>
                <c:pt idx="261">
                  <c:v>43486</c:v>
                </c:pt>
                <c:pt idx="262">
                  <c:v>43487</c:v>
                </c:pt>
                <c:pt idx="263">
                  <c:v>43488</c:v>
                </c:pt>
                <c:pt idx="264">
                  <c:v>43489</c:v>
                </c:pt>
                <c:pt idx="265">
                  <c:v>43490</c:v>
                </c:pt>
                <c:pt idx="266">
                  <c:v>43493</c:v>
                </c:pt>
                <c:pt idx="267">
                  <c:v>43494</c:v>
                </c:pt>
                <c:pt idx="268">
                  <c:v>43495</c:v>
                </c:pt>
                <c:pt idx="269">
                  <c:v>43496</c:v>
                </c:pt>
                <c:pt idx="270">
                  <c:v>43497</c:v>
                </c:pt>
                <c:pt idx="271">
                  <c:v>43500</c:v>
                </c:pt>
                <c:pt idx="272">
                  <c:v>43501</c:v>
                </c:pt>
                <c:pt idx="273">
                  <c:v>43502</c:v>
                </c:pt>
                <c:pt idx="274">
                  <c:v>43503</c:v>
                </c:pt>
                <c:pt idx="275">
                  <c:v>43504</c:v>
                </c:pt>
                <c:pt idx="276">
                  <c:v>43507</c:v>
                </c:pt>
                <c:pt idx="277">
                  <c:v>43508</c:v>
                </c:pt>
                <c:pt idx="278">
                  <c:v>43509</c:v>
                </c:pt>
                <c:pt idx="279">
                  <c:v>43510</c:v>
                </c:pt>
                <c:pt idx="280">
                  <c:v>43511</c:v>
                </c:pt>
                <c:pt idx="281">
                  <c:v>43514</c:v>
                </c:pt>
                <c:pt idx="282">
                  <c:v>43515</c:v>
                </c:pt>
                <c:pt idx="283">
                  <c:v>43516</c:v>
                </c:pt>
                <c:pt idx="284">
                  <c:v>43517</c:v>
                </c:pt>
                <c:pt idx="285">
                  <c:v>43518</c:v>
                </c:pt>
                <c:pt idx="286">
                  <c:v>43521</c:v>
                </c:pt>
                <c:pt idx="287">
                  <c:v>43522</c:v>
                </c:pt>
                <c:pt idx="288">
                  <c:v>43523</c:v>
                </c:pt>
                <c:pt idx="289">
                  <c:v>43524</c:v>
                </c:pt>
              </c:numCache>
            </c:numRef>
          </c:cat>
          <c:val>
            <c:numRef>
              <c:f>Index_Charts!$E$3:$E$292</c:f>
              <c:numCache>
                <c:formatCode>0.00</c:formatCode>
                <c:ptCount val="290"/>
                <c:pt idx="0">
                  <c:v>100</c:v>
                </c:pt>
                <c:pt idx="1">
                  <c:v>100</c:v>
                </c:pt>
                <c:pt idx="2">
                  <c:v>99.629425460667363</c:v>
                </c:pt>
                <c:pt idx="3">
                  <c:v>99.679732902909421</c:v>
                </c:pt>
                <c:pt idx="4">
                  <c:v>102.0249099780206</c:v>
                </c:pt>
                <c:pt idx="5">
                  <c:v>101.8001561656376</c:v>
                </c:pt>
                <c:pt idx="6">
                  <c:v>101.8001561656376</c:v>
                </c:pt>
                <c:pt idx="7">
                  <c:v>101.8001561656376</c:v>
                </c:pt>
                <c:pt idx="8">
                  <c:v>101.95759720318959</c:v>
                </c:pt>
                <c:pt idx="9">
                  <c:v>102.9779171585223</c:v>
                </c:pt>
                <c:pt idx="10">
                  <c:v>102.8417327867063</c:v>
                </c:pt>
                <c:pt idx="11">
                  <c:v>102.8587381192952</c:v>
                </c:pt>
                <c:pt idx="12">
                  <c:v>102.9468824265476</c:v>
                </c:pt>
                <c:pt idx="13">
                  <c:v>102.9468824265476</c:v>
                </c:pt>
                <c:pt idx="14">
                  <c:v>102.9468824265476</c:v>
                </c:pt>
                <c:pt idx="15">
                  <c:v>102.0064875343826</c:v>
                </c:pt>
                <c:pt idx="16">
                  <c:v>102.4011529615495</c:v>
                </c:pt>
                <c:pt idx="17">
                  <c:v>103.6948336382484</c:v>
                </c:pt>
                <c:pt idx="18">
                  <c:v>103.85893509773111</c:v>
                </c:pt>
                <c:pt idx="19">
                  <c:v>104.4151511844923</c:v>
                </c:pt>
                <c:pt idx="20">
                  <c:v>104.4151511844923</c:v>
                </c:pt>
                <c:pt idx="21">
                  <c:v>104.4151511844923</c:v>
                </c:pt>
                <c:pt idx="22">
                  <c:v>104.8502042765577</c:v>
                </c:pt>
                <c:pt idx="23">
                  <c:v>105.2261638378768</c:v>
                </c:pt>
                <c:pt idx="24">
                  <c:v>104.5731590664639</c:v>
                </c:pt>
                <c:pt idx="25">
                  <c:v>105.1699045292286</c:v>
                </c:pt>
                <c:pt idx="26">
                  <c:v>106.3146468346699</c:v>
                </c:pt>
                <c:pt idx="27">
                  <c:v>106.3146468346699</c:v>
                </c:pt>
                <c:pt idx="28">
                  <c:v>106.3146468346699</c:v>
                </c:pt>
                <c:pt idx="29">
                  <c:v>106.4151200080492</c:v>
                </c:pt>
                <c:pt idx="30">
                  <c:v>106.57185249007669</c:v>
                </c:pt>
                <c:pt idx="31">
                  <c:v>106.895520653685</c:v>
                </c:pt>
                <c:pt idx="32">
                  <c:v>106.32144896770551</c:v>
                </c:pt>
                <c:pt idx="33">
                  <c:v>107.2347770388331</c:v>
                </c:pt>
                <c:pt idx="34">
                  <c:v>107.2347770388331</c:v>
                </c:pt>
                <c:pt idx="35">
                  <c:v>107.2347770388331</c:v>
                </c:pt>
                <c:pt idx="36">
                  <c:v>107.2347770388331</c:v>
                </c:pt>
                <c:pt idx="37">
                  <c:v>107.21507919525099</c:v>
                </c:pt>
                <c:pt idx="38">
                  <c:v>108.58641755743911</c:v>
                </c:pt>
                <c:pt idx="39">
                  <c:v>109.1312967558077</c:v>
                </c:pt>
                <c:pt idx="40">
                  <c:v>109.46545154117911</c:v>
                </c:pt>
                <c:pt idx="41">
                  <c:v>109.46545154117911</c:v>
                </c:pt>
                <c:pt idx="42">
                  <c:v>109.46545154117911</c:v>
                </c:pt>
                <c:pt idx="43">
                  <c:v>109.2731495718199</c:v>
                </c:pt>
                <c:pt idx="44">
                  <c:v>109.4432028977087</c:v>
                </c:pt>
                <c:pt idx="45">
                  <c:v>109.6022027574146</c:v>
                </c:pt>
                <c:pt idx="46">
                  <c:v>110.3641833685013</c:v>
                </c:pt>
                <c:pt idx="47">
                  <c:v>110.2340925741964</c:v>
                </c:pt>
                <c:pt idx="48">
                  <c:v>110.2340925741964</c:v>
                </c:pt>
                <c:pt idx="49">
                  <c:v>110.2340925741964</c:v>
                </c:pt>
                <c:pt idx="50">
                  <c:v>111.37316643544141</c:v>
                </c:pt>
                <c:pt idx="51">
                  <c:v>111.632214335212</c:v>
                </c:pt>
                <c:pt idx="52">
                  <c:v>110.37084379043191</c:v>
                </c:pt>
                <c:pt idx="53">
                  <c:v>109.3547751682465</c:v>
                </c:pt>
                <c:pt idx="54">
                  <c:v>109.546652004291</c:v>
                </c:pt>
                <c:pt idx="55">
                  <c:v>109.546652004291</c:v>
                </c:pt>
                <c:pt idx="56">
                  <c:v>109.546652004291</c:v>
                </c:pt>
                <c:pt idx="57">
                  <c:v>109.546652004291</c:v>
                </c:pt>
                <c:pt idx="58">
                  <c:v>108.162984775976</c:v>
                </c:pt>
                <c:pt idx="59">
                  <c:v>108.9697460962134</c:v>
                </c:pt>
                <c:pt idx="60">
                  <c:v>108.80862056993369</c:v>
                </c:pt>
                <c:pt idx="61">
                  <c:v>109.1426336442003</c:v>
                </c:pt>
                <c:pt idx="62">
                  <c:v>109.1426336442003</c:v>
                </c:pt>
                <c:pt idx="63">
                  <c:v>109.1426336442003</c:v>
                </c:pt>
                <c:pt idx="64">
                  <c:v>109.702675930794</c:v>
                </c:pt>
                <c:pt idx="65">
                  <c:v>108.930492120154</c:v>
                </c:pt>
                <c:pt idx="66">
                  <c:v>109.29284741540199</c:v>
                </c:pt>
                <c:pt idx="67">
                  <c:v>109.1799036647909</c:v>
                </c:pt>
                <c:pt idx="68">
                  <c:v>108.8492916570421</c:v>
                </c:pt>
                <c:pt idx="69">
                  <c:v>108.8492916570421</c:v>
                </c:pt>
                <c:pt idx="70">
                  <c:v>108.8492916570421</c:v>
                </c:pt>
                <c:pt idx="71">
                  <c:v>109.6479754442998</c:v>
                </c:pt>
                <c:pt idx="72">
                  <c:v>109.1715427096014</c:v>
                </c:pt>
                <c:pt idx="73">
                  <c:v>109.1701255985523</c:v>
                </c:pt>
                <c:pt idx="74">
                  <c:v>110.0498681378169</c:v>
                </c:pt>
                <c:pt idx="75">
                  <c:v>108.1809820862992</c:v>
                </c:pt>
                <c:pt idx="76">
                  <c:v>108.1809820862992</c:v>
                </c:pt>
                <c:pt idx="77">
                  <c:v>108.1809820862992</c:v>
                </c:pt>
                <c:pt idx="78">
                  <c:v>108.14442062123319</c:v>
                </c:pt>
                <c:pt idx="79">
                  <c:v>107.75499850494801</c:v>
                </c:pt>
                <c:pt idx="80">
                  <c:v>108.0887281570045</c:v>
                </c:pt>
                <c:pt idx="81">
                  <c:v>107.0831461565822</c:v>
                </c:pt>
                <c:pt idx="82">
                  <c:v>108.866296989631</c:v>
                </c:pt>
                <c:pt idx="83">
                  <c:v>108.866296989631</c:v>
                </c:pt>
                <c:pt idx="84">
                  <c:v>108.866296989631</c:v>
                </c:pt>
                <c:pt idx="85">
                  <c:v>106.42277240771421</c:v>
                </c:pt>
                <c:pt idx="86">
                  <c:v>106.8206971902939</c:v>
                </c:pt>
                <c:pt idx="87">
                  <c:v>108.0078111161025</c:v>
                </c:pt>
                <c:pt idx="88">
                  <c:v>107.9219341865287</c:v>
                </c:pt>
                <c:pt idx="89">
                  <c:v>108.22377883998119</c:v>
                </c:pt>
                <c:pt idx="90">
                  <c:v>108.22377883998119</c:v>
                </c:pt>
                <c:pt idx="91">
                  <c:v>108.22377883998119</c:v>
                </c:pt>
                <c:pt idx="92">
                  <c:v>106.9614163174669</c:v>
                </c:pt>
                <c:pt idx="93">
                  <c:v>107.6053515781657</c:v>
                </c:pt>
                <c:pt idx="94">
                  <c:v>107.31909514625291</c:v>
                </c:pt>
                <c:pt idx="95">
                  <c:v>107.7460707053387</c:v>
                </c:pt>
                <c:pt idx="96">
                  <c:v>107.9512683852445</c:v>
                </c:pt>
                <c:pt idx="97">
                  <c:v>107.9512683852445</c:v>
                </c:pt>
                <c:pt idx="98">
                  <c:v>107.9512683852445</c:v>
                </c:pt>
                <c:pt idx="99">
                  <c:v>108.94735574163801</c:v>
                </c:pt>
                <c:pt idx="100">
                  <c:v>109.0047487391254</c:v>
                </c:pt>
                <c:pt idx="101">
                  <c:v>107.5865040012131</c:v>
                </c:pt>
                <c:pt idx="102">
                  <c:v>108.4278428310478</c:v>
                </c:pt>
                <c:pt idx="103">
                  <c:v>108.5772063356201</c:v>
                </c:pt>
                <c:pt idx="104">
                  <c:v>108.5772063356201</c:v>
                </c:pt>
                <c:pt idx="105">
                  <c:v>108.5772063356201</c:v>
                </c:pt>
                <c:pt idx="106">
                  <c:v>107.7068167292794</c:v>
                </c:pt>
                <c:pt idx="107">
                  <c:v>108.0735650687795</c:v>
                </c:pt>
                <c:pt idx="108">
                  <c:v>108.7814120377915</c:v>
                </c:pt>
                <c:pt idx="109">
                  <c:v>108.8903878774652</c:v>
                </c:pt>
                <c:pt idx="110">
                  <c:v>108.8169815251233</c:v>
                </c:pt>
                <c:pt idx="111">
                  <c:v>108.8169815251233</c:v>
                </c:pt>
                <c:pt idx="112">
                  <c:v>108.8169815251233</c:v>
                </c:pt>
                <c:pt idx="113">
                  <c:v>108.4910459838364</c:v>
                </c:pt>
                <c:pt idx="114">
                  <c:v>109.2457993285728</c:v>
                </c:pt>
                <c:pt idx="115">
                  <c:v>108.5260486267485</c:v>
                </c:pt>
                <c:pt idx="116">
                  <c:v>108.59562877925801</c:v>
                </c:pt>
                <c:pt idx="117">
                  <c:v>109.1361149333745</c:v>
                </c:pt>
                <c:pt idx="118">
                  <c:v>109.1361149333745</c:v>
                </c:pt>
                <c:pt idx="119">
                  <c:v>109.1361149333745</c:v>
                </c:pt>
                <c:pt idx="120">
                  <c:v>109.1295962225488</c:v>
                </c:pt>
                <c:pt idx="121">
                  <c:v>109.8085341261597</c:v>
                </c:pt>
                <c:pt idx="122">
                  <c:v>108.45023318562311</c:v>
                </c:pt>
                <c:pt idx="123">
                  <c:v>107.35934110004661</c:v>
                </c:pt>
                <c:pt idx="124">
                  <c:v>108.53795235956071</c:v>
                </c:pt>
                <c:pt idx="125">
                  <c:v>108.53795235956071</c:v>
                </c:pt>
                <c:pt idx="126">
                  <c:v>108.53795235956071</c:v>
                </c:pt>
                <c:pt idx="127">
                  <c:v>108.6042731566574</c:v>
                </c:pt>
                <c:pt idx="128">
                  <c:v>109.3794329005004</c:v>
                </c:pt>
                <c:pt idx="129">
                  <c:v>110.20376639774619</c:v>
                </c:pt>
                <c:pt idx="130">
                  <c:v>109.70947806382949</c:v>
                </c:pt>
                <c:pt idx="131">
                  <c:v>108.6500458435424</c:v>
                </c:pt>
                <c:pt idx="132">
                  <c:v>108.6500458435424</c:v>
                </c:pt>
                <c:pt idx="133">
                  <c:v>108.6500458435424</c:v>
                </c:pt>
                <c:pt idx="134">
                  <c:v>108.3020033698901</c:v>
                </c:pt>
                <c:pt idx="135">
                  <c:v>107.8653914556706</c:v>
                </c:pt>
                <c:pt idx="136">
                  <c:v>106.2531442151402</c:v>
                </c:pt>
                <c:pt idx="137">
                  <c:v>107.0822958899528</c:v>
                </c:pt>
                <c:pt idx="138">
                  <c:v>107.11361404413741</c:v>
                </c:pt>
                <c:pt idx="139">
                  <c:v>107.11361404413741</c:v>
                </c:pt>
                <c:pt idx="140">
                  <c:v>107.11361404413741</c:v>
                </c:pt>
                <c:pt idx="141">
                  <c:v>107.5765842238695</c:v>
                </c:pt>
                <c:pt idx="142">
                  <c:v>107.2143706397265</c:v>
                </c:pt>
                <c:pt idx="143">
                  <c:v>107.3353919233173</c:v>
                </c:pt>
                <c:pt idx="144">
                  <c:v>107.1792262857094</c:v>
                </c:pt>
                <c:pt idx="145">
                  <c:v>107.38144803241219</c:v>
                </c:pt>
                <c:pt idx="146">
                  <c:v>107.38144803241219</c:v>
                </c:pt>
                <c:pt idx="147">
                  <c:v>107.38144803241219</c:v>
                </c:pt>
                <c:pt idx="148">
                  <c:v>107.38144803241219</c:v>
                </c:pt>
                <c:pt idx="149">
                  <c:v>107.944466252209</c:v>
                </c:pt>
                <c:pt idx="150">
                  <c:v>107.1790845746045</c:v>
                </c:pt>
                <c:pt idx="151">
                  <c:v>106.51049158165181</c:v>
                </c:pt>
                <c:pt idx="152">
                  <c:v>105.32564503352179</c:v>
                </c:pt>
                <c:pt idx="153">
                  <c:v>105.32564503352179</c:v>
                </c:pt>
                <c:pt idx="154">
                  <c:v>105.32564503352179</c:v>
                </c:pt>
                <c:pt idx="155">
                  <c:v>106.3485157887428</c:v>
                </c:pt>
                <c:pt idx="156">
                  <c:v>105.686158084406</c:v>
                </c:pt>
                <c:pt idx="157">
                  <c:v>104.62927666400719</c:v>
                </c:pt>
                <c:pt idx="158">
                  <c:v>103.7177908372434</c:v>
                </c:pt>
                <c:pt idx="159">
                  <c:v>103.1330908183958</c:v>
                </c:pt>
                <c:pt idx="160">
                  <c:v>103.1330908183958</c:v>
                </c:pt>
                <c:pt idx="161">
                  <c:v>103.1330908183958</c:v>
                </c:pt>
                <c:pt idx="162">
                  <c:v>103.155764595181</c:v>
                </c:pt>
                <c:pt idx="163">
                  <c:v>103.07413899875441</c:v>
                </c:pt>
                <c:pt idx="164">
                  <c:v>103.6384326184952</c:v>
                </c:pt>
                <c:pt idx="165">
                  <c:v>103.1879330159949</c:v>
                </c:pt>
                <c:pt idx="166">
                  <c:v>103.50635786872159</c:v>
                </c:pt>
                <c:pt idx="167">
                  <c:v>103.50635786872159</c:v>
                </c:pt>
                <c:pt idx="168">
                  <c:v>103.50635786872159</c:v>
                </c:pt>
                <c:pt idx="169">
                  <c:v>103.47886591436961</c:v>
                </c:pt>
                <c:pt idx="170">
                  <c:v>103.45236593775201</c:v>
                </c:pt>
                <c:pt idx="171">
                  <c:v>103.89011154081069</c:v>
                </c:pt>
                <c:pt idx="172">
                  <c:v>104.4031057405752</c:v>
                </c:pt>
                <c:pt idx="173">
                  <c:v>106.1448769309909</c:v>
                </c:pt>
                <c:pt idx="174">
                  <c:v>106.1448769309909</c:v>
                </c:pt>
                <c:pt idx="175">
                  <c:v>106.1448769309909</c:v>
                </c:pt>
                <c:pt idx="176">
                  <c:v>105.6939521951759</c:v>
                </c:pt>
                <c:pt idx="177">
                  <c:v>106.3904622757953</c:v>
                </c:pt>
                <c:pt idx="178">
                  <c:v>106.446154740024</c:v>
                </c:pt>
                <c:pt idx="179">
                  <c:v>106.92726394118419</c:v>
                </c:pt>
                <c:pt idx="180">
                  <c:v>106.4278740074908</c:v>
                </c:pt>
                <c:pt idx="181">
                  <c:v>106.22196777206049</c:v>
                </c:pt>
                <c:pt idx="182">
                  <c:v>105.9226739184963</c:v>
                </c:pt>
                <c:pt idx="183">
                  <c:v>106.4290076963301</c:v>
                </c:pt>
                <c:pt idx="184">
                  <c:v>105.1261157978123</c:v>
                </c:pt>
                <c:pt idx="185">
                  <c:v>103.71183897083731</c:v>
                </c:pt>
                <c:pt idx="186">
                  <c:v>102.5043186459221</c:v>
                </c:pt>
                <c:pt idx="187">
                  <c:v>102.5646875766126</c:v>
                </c:pt>
                <c:pt idx="188">
                  <c:v>101.26307107803891</c:v>
                </c:pt>
                <c:pt idx="189">
                  <c:v>99.295979230820478</c:v>
                </c:pt>
                <c:pt idx="190">
                  <c:v>99.139813593212622</c:v>
                </c:pt>
                <c:pt idx="191">
                  <c:v>99.611853283658874</c:v>
                </c:pt>
                <c:pt idx="192">
                  <c:v>100.0395373982691</c:v>
                </c:pt>
                <c:pt idx="193">
                  <c:v>99.971516067913655</c:v>
                </c:pt>
                <c:pt idx="194">
                  <c:v>99.580251707264509</c:v>
                </c:pt>
                <c:pt idx="195">
                  <c:v>99.903494737558105</c:v>
                </c:pt>
                <c:pt idx="196">
                  <c:v>99.804296964123026</c:v>
                </c:pt>
                <c:pt idx="197">
                  <c:v>98.563049396239848</c:v>
                </c:pt>
                <c:pt idx="198">
                  <c:v>98.673158924752784</c:v>
                </c:pt>
                <c:pt idx="199">
                  <c:v>99.255874988131708</c:v>
                </c:pt>
                <c:pt idx="200">
                  <c:v>98.341271517059866</c:v>
                </c:pt>
                <c:pt idx="201">
                  <c:v>99.570757063235718</c:v>
                </c:pt>
                <c:pt idx="202">
                  <c:v>99.705807746212429</c:v>
                </c:pt>
                <c:pt idx="203">
                  <c:v>101.0130926889824</c:v>
                </c:pt>
                <c:pt idx="204">
                  <c:v>100.8226329639869</c:v>
                </c:pt>
                <c:pt idx="205">
                  <c:v>100.5315583545073</c:v>
                </c:pt>
                <c:pt idx="206">
                  <c:v>100.66930154847719</c:v>
                </c:pt>
                <c:pt idx="207">
                  <c:v>99.774254209882685</c:v>
                </c:pt>
                <c:pt idx="208">
                  <c:v>100.8597612734727</c:v>
                </c:pt>
                <c:pt idx="209">
                  <c:v>101.1913652589558</c:v>
                </c:pt>
                <c:pt idx="210">
                  <c:v>100.6905582142134</c:v>
                </c:pt>
                <c:pt idx="211">
                  <c:v>99.949975979967761</c:v>
                </c:pt>
                <c:pt idx="212">
                  <c:v>99.959612335101411</c:v>
                </c:pt>
                <c:pt idx="213">
                  <c:v>99.676615258601487</c:v>
                </c:pt>
                <c:pt idx="214">
                  <c:v>99.736417344872393</c:v>
                </c:pt>
                <c:pt idx="215">
                  <c:v>99.394468448731061</c:v>
                </c:pt>
                <c:pt idx="216">
                  <c:v>99.210385723456426</c:v>
                </c:pt>
                <c:pt idx="217">
                  <c:v>98.459742000762375</c:v>
                </c:pt>
                <c:pt idx="218">
                  <c:v>99.909588315069101</c:v>
                </c:pt>
                <c:pt idx="219">
                  <c:v>98.635463770847494</c:v>
                </c:pt>
                <c:pt idx="220">
                  <c:v>98.529747286586556</c:v>
                </c:pt>
                <c:pt idx="221">
                  <c:v>99.707933412786005</c:v>
                </c:pt>
                <c:pt idx="222">
                  <c:v>99.436556646888533</c:v>
                </c:pt>
                <c:pt idx="223">
                  <c:v>99.261826854537816</c:v>
                </c:pt>
                <c:pt idx="224">
                  <c:v>99.749738188733659</c:v>
                </c:pt>
                <c:pt idx="225">
                  <c:v>98.917752291822865</c:v>
                </c:pt>
                <c:pt idx="226">
                  <c:v>100.0821924408462</c:v>
                </c:pt>
                <c:pt idx="227">
                  <c:v>99.520307909888714</c:v>
                </c:pt>
                <c:pt idx="228">
                  <c:v>98.090159439164154</c:v>
                </c:pt>
                <c:pt idx="229">
                  <c:v>95.003833285387785</c:v>
                </c:pt>
                <c:pt idx="230">
                  <c:v>96.053345728331308</c:v>
                </c:pt>
                <c:pt idx="231">
                  <c:v>95.251686007870646</c:v>
                </c:pt>
                <c:pt idx="232">
                  <c:v>96.461898843779082</c:v>
                </c:pt>
                <c:pt idx="233">
                  <c:v>97.499932687225197</c:v>
                </c:pt>
                <c:pt idx="234">
                  <c:v>97.461812400005115</c:v>
                </c:pt>
                <c:pt idx="235">
                  <c:v>97.003660397839752</c:v>
                </c:pt>
                <c:pt idx="236">
                  <c:v>95.984332420241444</c:v>
                </c:pt>
                <c:pt idx="237">
                  <c:v>94.968972353580497</c:v>
                </c:pt>
                <c:pt idx="238">
                  <c:v>95.880883313659041</c:v>
                </c:pt>
                <c:pt idx="239">
                  <c:v>95.11550163605466</c:v>
                </c:pt>
                <c:pt idx="240">
                  <c:v>95.24644269698905</c:v>
                </c:pt>
                <c:pt idx="241">
                  <c:v>94.747903029925183</c:v>
                </c:pt>
                <c:pt idx="242">
                  <c:v>94.747903029925183</c:v>
                </c:pt>
                <c:pt idx="243">
                  <c:v>94.747903029925183</c:v>
                </c:pt>
                <c:pt idx="244">
                  <c:v>93.312227826109151</c:v>
                </c:pt>
                <c:pt idx="245">
                  <c:v>95.427832911270443</c:v>
                </c:pt>
                <c:pt idx="246">
                  <c:v>95.345073626004549</c:v>
                </c:pt>
                <c:pt idx="247">
                  <c:v>95.345073626004549</c:v>
                </c:pt>
                <c:pt idx="248">
                  <c:v>95.431517399998015</c:v>
                </c:pt>
                <c:pt idx="249">
                  <c:v>94.842424336898304</c:v>
                </c:pt>
                <c:pt idx="250">
                  <c:v>96.893834291536578</c:v>
                </c:pt>
                <c:pt idx="251">
                  <c:v>96.517733019112598</c:v>
                </c:pt>
                <c:pt idx="252">
                  <c:v>97.236491743202507</c:v>
                </c:pt>
                <c:pt idx="253">
                  <c:v>97.874616848600112</c:v>
                </c:pt>
                <c:pt idx="254">
                  <c:v>98.388177892784128</c:v>
                </c:pt>
                <c:pt idx="255">
                  <c:v>98.038293174768071</c:v>
                </c:pt>
                <c:pt idx="256">
                  <c:v>97.143245836173449</c:v>
                </c:pt>
                <c:pt idx="257">
                  <c:v>97.710090255802726</c:v>
                </c:pt>
                <c:pt idx="258">
                  <c:v>97.251796542532446</c:v>
                </c:pt>
                <c:pt idx="259">
                  <c:v>96.858406515309724</c:v>
                </c:pt>
                <c:pt idx="260">
                  <c:v>98.748974365878254</c:v>
                </c:pt>
                <c:pt idx="261">
                  <c:v>98.781001075587298</c:v>
                </c:pt>
                <c:pt idx="262">
                  <c:v>97.80036022962868</c:v>
                </c:pt>
                <c:pt idx="263">
                  <c:v>96.971208554816002</c:v>
                </c:pt>
                <c:pt idx="264">
                  <c:v>96.632093880772786</c:v>
                </c:pt>
                <c:pt idx="265">
                  <c:v>96.494208975698001</c:v>
                </c:pt>
                <c:pt idx="266">
                  <c:v>95.613899592013738</c:v>
                </c:pt>
                <c:pt idx="267">
                  <c:v>96.844377115923891</c:v>
                </c:pt>
                <c:pt idx="268">
                  <c:v>98.37060571577571</c:v>
                </c:pt>
                <c:pt idx="269">
                  <c:v>98.756343343333413</c:v>
                </c:pt>
                <c:pt idx="270">
                  <c:v>99.484313289242294</c:v>
                </c:pt>
                <c:pt idx="271">
                  <c:v>99.681433436168348</c:v>
                </c:pt>
                <c:pt idx="272">
                  <c:v>101.7113033028607</c:v>
                </c:pt>
                <c:pt idx="273">
                  <c:v>101.65065094996039</c:v>
                </c:pt>
                <c:pt idx="274">
                  <c:v>100.52390595484241</c:v>
                </c:pt>
                <c:pt idx="275">
                  <c:v>100.20647307985</c:v>
                </c:pt>
                <c:pt idx="276">
                  <c:v>101.02740551057801</c:v>
                </c:pt>
                <c:pt idx="277">
                  <c:v>101.0845150858557</c:v>
                </c:pt>
                <c:pt idx="278">
                  <c:v>101.9021881611709</c:v>
                </c:pt>
                <c:pt idx="279">
                  <c:v>101.98962391289869</c:v>
                </c:pt>
                <c:pt idx="280">
                  <c:v>102.551791866066</c:v>
                </c:pt>
                <c:pt idx="281">
                  <c:v>102.3079070545205</c:v>
                </c:pt>
                <c:pt idx="282">
                  <c:v>101.736811301744</c:v>
                </c:pt>
                <c:pt idx="283">
                  <c:v>102.4375727155107</c:v>
                </c:pt>
                <c:pt idx="284">
                  <c:v>101.5698756201632</c:v>
                </c:pt>
                <c:pt idx="285">
                  <c:v>101.7287337687643</c:v>
                </c:pt>
                <c:pt idx="286">
                  <c:v>101.8015732766867</c:v>
                </c:pt>
                <c:pt idx="287">
                  <c:v>101.339311652479</c:v>
                </c:pt>
                <c:pt idx="288">
                  <c:v>100.71691647972609</c:v>
                </c:pt>
                <c:pt idx="289">
                  <c:v>100.256780522092</c:v>
                </c:pt>
              </c:numCache>
            </c:numRef>
          </c:val>
          <c:smooth val="0"/>
        </c:ser>
        <c:ser>
          <c:idx val="3"/>
          <c:order val="3"/>
          <c:tx>
            <c:strRef>
              <c:f>Index_Charts!$F$1</c:f>
              <c:strCache>
                <c:ptCount val="1"/>
                <c:pt idx="0">
                  <c:v>DAX</c:v>
                </c:pt>
              </c:strCache>
            </c:strRef>
          </c:tx>
          <c:spPr>
            <a:ln w="28575" cap="rnd">
              <a:solidFill>
                <a:schemeClr val="accent4"/>
              </a:solidFill>
              <a:round/>
            </a:ln>
            <a:effectLst/>
          </c:spPr>
          <c:marker>
            <c:symbol val="none"/>
          </c:marker>
          <c:cat>
            <c:numRef>
              <c:f>Index_Charts!$B$3:$B$292</c:f>
              <c:numCache>
                <c:formatCode>[$-409]mmmm\-yy;@</c:formatCode>
                <c:ptCount val="290"/>
                <c:pt idx="0">
                  <c:v>43191</c:v>
                </c:pt>
                <c:pt idx="1">
                  <c:v>43192</c:v>
                </c:pt>
                <c:pt idx="2">
                  <c:v>43193</c:v>
                </c:pt>
                <c:pt idx="3">
                  <c:v>43194</c:v>
                </c:pt>
                <c:pt idx="4">
                  <c:v>43195</c:v>
                </c:pt>
                <c:pt idx="5">
                  <c:v>43196</c:v>
                </c:pt>
                <c:pt idx="6">
                  <c:v>43197</c:v>
                </c:pt>
                <c:pt idx="7">
                  <c:v>43198</c:v>
                </c:pt>
                <c:pt idx="8">
                  <c:v>43199</c:v>
                </c:pt>
                <c:pt idx="9">
                  <c:v>43200</c:v>
                </c:pt>
                <c:pt idx="10">
                  <c:v>43201</c:v>
                </c:pt>
                <c:pt idx="11">
                  <c:v>43202</c:v>
                </c:pt>
                <c:pt idx="12">
                  <c:v>43203</c:v>
                </c:pt>
                <c:pt idx="13">
                  <c:v>43204</c:v>
                </c:pt>
                <c:pt idx="14">
                  <c:v>43205</c:v>
                </c:pt>
                <c:pt idx="15">
                  <c:v>43206</c:v>
                </c:pt>
                <c:pt idx="16">
                  <c:v>43207</c:v>
                </c:pt>
                <c:pt idx="17">
                  <c:v>43208</c:v>
                </c:pt>
                <c:pt idx="18">
                  <c:v>43209</c:v>
                </c:pt>
                <c:pt idx="19">
                  <c:v>43210</c:v>
                </c:pt>
                <c:pt idx="20">
                  <c:v>43211</c:v>
                </c:pt>
                <c:pt idx="21">
                  <c:v>43212</c:v>
                </c:pt>
                <c:pt idx="22">
                  <c:v>43213</c:v>
                </c:pt>
                <c:pt idx="23">
                  <c:v>43214</c:v>
                </c:pt>
                <c:pt idx="24">
                  <c:v>43215</c:v>
                </c:pt>
                <c:pt idx="25">
                  <c:v>43216</c:v>
                </c:pt>
                <c:pt idx="26">
                  <c:v>43217</c:v>
                </c:pt>
                <c:pt idx="27">
                  <c:v>43218</c:v>
                </c:pt>
                <c:pt idx="28">
                  <c:v>43219</c:v>
                </c:pt>
                <c:pt idx="29">
                  <c:v>43220</c:v>
                </c:pt>
                <c:pt idx="30">
                  <c:v>43221</c:v>
                </c:pt>
                <c:pt idx="31">
                  <c:v>43222</c:v>
                </c:pt>
                <c:pt idx="32">
                  <c:v>43223</c:v>
                </c:pt>
                <c:pt idx="33">
                  <c:v>43224</c:v>
                </c:pt>
                <c:pt idx="34">
                  <c:v>43225</c:v>
                </c:pt>
                <c:pt idx="35">
                  <c:v>43226</c:v>
                </c:pt>
                <c:pt idx="36">
                  <c:v>43227</c:v>
                </c:pt>
                <c:pt idx="37">
                  <c:v>43228</c:v>
                </c:pt>
                <c:pt idx="38">
                  <c:v>43229</c:v>
                </c:pt>
                <c:pt idx="39">
                  <c:v>43230</c:v>
                </c:pt>
                <c:pt idx="40">
                  <c:v>43231</c:v>
                </c:pt>
                <c:pt idx="41">
                  <c:v>43232</c:v>
                </c:pt>
                <c:pt idx="42">
                  <c:v>43233</c:v>
                </c:pt>
                <c:pt idx="43">
                  <c:v>43234</c:v>
                </c:pt>
                <c:pt idx="44">
                  <c:v>43235</c:v>
                </c:pt>
                <c:pt idx="45">
                  <c:v>43236</c:v>
                </c:pt>
                <c:pt idx="46">
                  <c:v>43237</c:v>
                </c:pt>
                <c:pt idx="47">
                  <c:v>43238</c:v>
                </c:pt>
                <c:pt idx="48">
                  <c:v>43239</c:v>
                </c:pt>
                <c:pt idx="49">
                  <c:v>43240</c:v>
                </c:pt>
                <c:pt idx="50">
                  <c:v>43241</c:v>
                </c:pt>
                <c:pt idx="51">
                  <c:v>43242</c:v>
                </c:pt>
                <c:pt idx="52">
                  <c:v>43243</c:v>
                </c:pt>
                <c:pt idx="53">
                  <c:v>43244</c:v>
                </c:pt>
                <c:pt idx="54">
                  <c:v>43245</c:v>
                </c:pt>
                <c:pt idx="55">
                  <c:v>43246</c:v>
                </c:pt>
                <c:pt idx="56">
                  <c:v>43247</c:v>
                </c:pt>
                <c:pt idx="57">
                  <c:v>43248</c:v>
                </c:pt>
                <c:pt idx="58">
                  <c:v>43249</c:v>
                </c:pt>
                <c:pt idx="59">
                  <c:v>43250</c:v>
                </c:pt>
                <c:pt idx="60">
                  <c:v>43251</c:v>
                </c:pt>
                <c:pt idx="61">
                  <c:v>43252</c:v>
                </c:pt>
                <c:pt idx="62">
                  <c:v>43253</c:v>
                </c:pt>
                <c:pt idx="63">
                  <c:v>43254</c:v>
                </c:pt>
                <c:pt idx="64">
                  <c:v>43255</c:v>
                </c:pt>
                <c:pt idx="65">
                  <c:v>43256</c:v>
                </c:pt>
                <c:pt idx="66">
                  <c:v>43257</c:v>
                </c:pt>
                <c:pt idx="67">
                  <c:v>43258</c:v>
                </c:pt>
                <c:pt idx="68">
                  <c:v>43259</c:v>
                </c:pt>
                <c:pt idx="69">
                  <c:v>43260</c:v>
                </c:pt>
                <c:pt idx="70">
                  <c:v>43261</c:v>
                </c:pt>
                <c:pt idx="71">
                  <c:v>43262</c:v>
                </c:pt>
                <c:pt idx="72">
                  <c:v>43263</c:v>
                </c:pt>
                <c:pt idx="73">
                  <c:v>43264</c:v>
                </c:pt>
                <c:pt idx="74">
                  <c:v>43265</c:v>
                </c:pt>
                <c:pt idx="75">
                  <c:v>43266</c:v>
                </c:pt>
                <c:pt idx="76">
                  <c:v>43267</c:v>
                </c:pt>
                <c:pt idx="77">
                  <c:v>43268</c:v>
                </c:pt>
                <c:pt idx="78">
                  <c:v>43269</c:v>
                </c:pt>
                <c:pt idx="79">
                  <c:v>43270</c:v>
                </c:pt>
                <c:pt idx="80">
                  <c:v>43271</c:v>
                </c:pt>
                <c:pt idx="81">
                  <c:v>43272</c:v>
                </c:pt>
                <c:pt idx="82">
                  <c:v>43273</c:v>
                </c:pt>
                <c:pt idx="83">
                  <c:v>43274</c:v>
                </c:pt>
                <c:pt idx="84">
                  <c:v>43275</c:v>
                </c:pt>
                <c:pt idx="85">
                  <c:v>43276</c:v>
                </c:pt>
                <c:pt idx="86">
                  <c:v>43277</c:v>
                </c:pt>
                <c:pt idx="87">
                  <c:v>43278</c:v>
                </c:pt>
                <c:pt idx="88">
                  <c:v>43279</c:v>
                </c:pt>
                <c:pt idx="89">
                  <c:v>43280</c:v>
                </c:pt>
                <c:pt idx="90">
                  <c:v>43281</c:v>
                </c:pt>
                <c:pt idx="91">
                  <c:v>43282</c:v>
                </c:pt>
                <c:pt idx="92">
                  <c:v>43283</c:v>
                </c:pt>
                <c:pt idx="93">
                  <c:v>43284</c:v>
                </c:pt>
                <c:pt idx="94">
                  <c:v>43285</c:v>
                </c:pt>
                <c:pt idx="95">
                  <c:v>43286</c:v>
                </c:pt>
                <c:pt idx="96">
                  <c:v>43287</c:v>
                </c:pt>
                <c:pt idx="97">
                  <c:v>43288</c:v>
                </c:pt>
                <c:pt idx="98">
                  <c:v>43289</c:v>
                </c:pt>
                <c:pt idx="99">
                  <c:v>43290</c:v>
                </c:pt>
                <c:pt idx="100">
                  <c:v>43291</c:v>
                </c:pt>
                <c:pt idx="101">
                  <c:v>43292</c:v>
                </c:pt>
                <c:pt idx="102">
                  <c:v>43293</c:v>
                </c:pt>
                <c:pt idx="103">
                  <c:v>43294</c:v>
                </c:pt>
                <c:pt idx="104">
                  <c:v>43295</c:v>
                </c:pt>
                <c:pt idx="105">
                  <c:v>43296</c:v>
                </c:pt>
                <c:pt idx="106">
                  <c:v>43297</c:v>
                </c:pt>
                <c:pt idx="107">
                  <c:v>43298</c:v>
                </c:pt>
                <c:pt idx="108">
                  <c:v>43299</c:v>
                </c:pt>
                <c:pt idx="109">
                  <c:v>43300</c:v>
                </c:pt>
                <c:pt idx="110">
                  <c:v>43301</c:v>
                </c:pt>
                <c:pt idx="111">
                  <c:v>43302</c:v>
                </c:pt>
                <c:pt idx="112">
                  <c:v>43303</c:v>
                </c:pt>
                <c:pt idx="113">
                  <c:v>43304</c:v>
                </c:pt>
                <c:pt idx="114">
                  <c:v>43305</c:v>
                </c:pt>
                <c:pt idx="115">
                  <c:v>43306</c:v>
                </c:pt>
                <c:pt idx="116">
                  <c:v>43307</c:v>
                </c:pt>
                <c:pt idx="117">
                  <c:v>43308</c:v>
                </c:pt>
                <c:pt idx="118">
                  <c:v>43309</c:v>
                </c:pt>
                <c:pt idx="119">
                  <c:v>43310</c:v>
                </c:pt>
                <c:pt idx="120">
                  <c:v>43311</c:v>
                </c:pt>
                <c:pt idx="121">
                  <c:v>43312</c:v>
                </c:pt>
                <c:pt idx="122">
                  <c:v>43313</c:v>
                </c:pt>
                <c:pt idx="123">
                  <c:v>43314</c:v>
                </c:pt>
                <c:pt idx="124">
                  <c:v>43315</c:v>
                </c:pt>
                <c:pt idx="125">
                  <c:v>43316</c:v>
                </c:pt>
                <c:pt idx="126">
                  <c:v>43317</c:v>
                </c:pt>
                <c:pt idx="127">
                  <c:v>43318</c:v>
                </c:pt>
                <c:pt idx="128">
                  <c:v>43319</c:v>
                </c:pt>
                <c:pt idx="129">
                  <c:v>43320</c:v>
                </c:pt>
                <c:pt idx="130">
                  <c:v>43321</c:v>
                </c:pt>
                <c:pt idx="131">
                  <c:v>43322</c:v>
                </c:pt>
                <c:pt idx="132">
                  <c:v>43323</c:v>
                </c:pt>
                <c:pt idx="133">
                  <c:v>43324</c:v>
                </c:pt>
                <c:pt idx="134">
                  <c:v>43325</c:v>
                </c:pt>
                <c:pt idx="135">
                  <c:v>43326</c:v>
                </c:pt>
                <c:pt idx="136">
                  <c:v>43327</c:v>
                </c:pt>
                <c:pt idx="137">
                  <c:v>43328</c:v>
                </c:pt>
                <c:pt idx="138">
                  <c:v>43329</c:v>
                </c:pt>
                <c:pt idx="139">
                  <c:v>43330</c:v>
                </c:pt>
                <c:pt idx="140">
                  <c:v>43331</c:v>
                </c:pt>
                <c:pt idx="141">
                  <c:v>43332</c:v>
                </c:pt>
                <c:pt idx="142">
                  <c:v>43333</c:v>
                </c:pt>
                <c:pt idx="143">
                  <c:v>43334</c:v>
                </c:pt>
                <c:pt idx="144">
                  <c:v>43335</c:v>
                </c:pt>
                <c:pt idx="145">
                  <c:v>43336</c:v>
                </c:pt>
                <c:pt idx="146">
                  <c:v>43337</c:v>
                </c:pt>
                <c:pt idx="147">
                  <c:v>43338</c:v>
                </c:pt>
                <c:pt idx="148">
                  <c:v>43339</c:v>
                </c:pt>
                <c:pt idx="149">
                  <c:v>43340</c:v>
                </c:pt>
                <c:pt idx="150">
                  <c:v>43341</c:v>
                </c:pt>
                <c:pt idx="151">
                  <c:v>43342</c:v>
                </c:pt>
                <c:pt idx="152">
                  <c:v>43343</c:v>
                </c:pt>
                <c:pt idx="153">
                  <c:v>43344</c:v>
                </c:pt>
                <c:pt idx="154">
                  <c:v>43345</c:v>
                </c:pt>
                <c:pt idx="155">
                  <c:v>43346</c:v>
                </c:pt>
                <c:pt idx="156">
                  <c:v>43347</c:v>
                </c:pt>
                <c:pt idx="157">
                  <c:v>43348</c:v>
                </c:pt>
                <c:pt idx="158">
                  <c:v>43349</c:v>
                </c:pt>
                <c:pt idx="159">
                  <c:v>43350</c:v>
                </c:pt>
                <c:pt idx="160">
                  <c:v>43351</c:v>
                </c:pt>
                <c:pt idx="161">
                  <c:v>43352</c:v>
                </c:pt>
                <c:pt idx="162">
                  <c:v>43353</c:v>
                </c:pt>
                <c:pt idx="163">
                  <c:v>43354</c:v>
                </c:pt>
                <c:pt idx="164">
                  <c:v>43355</c:v>
                </c:pt>
                <c:pt idx="165">
                  <c:v>43356</c:v>
                </c:pt>
                <c:pt idx="166">
                  <c:v>43357</c:v>
                </c:pt>
                <c:pt idx="167">
                  <c:v>43358</c:v>
                </c:pt>
                <c:pt idx="168">
                  <c:v>43359</c:v>
                </c:pt>
                <c:pt idx="169">
                  <c:v>43360</c:v>
                </c:pt>
                <c:pt idx="170">
                  <c:v>43361</c:v>
                </c:pt>
                <c:pt idx="171">
                  <c:v>43362</c:v>
                </c:pt>
                <c:pt idx="172">
                  <c:v>43363</c:v>
                </c:pt>
                <c:pt idx="173">
                  <c:v>43364</c:v>
                </c:pt>
                <c:pt idx="174">
                  <c:v>43365</c:v>
                </c:pt>
                <c:pt idx="175">
                  <c:v>43366</c:v>
                </c:pt>
                <c:pt idx="176">
                  <c:v>43367</c:v>
                </c:pt>
                <c:pt idx="177">
                  <c:v>43368</c:v>
                </c:pt>
                <c:pt idx="178">
                  <c:v>43369</c:v>
                </c:pt>
                <c:pt idx="179">
                  <c:v>43370</c:v>
                </c:pt>
                <c:pt idx="180">
                  <c:v>43371</c:v>
                </c:pt>
                <c:pt idx="181">
                  <c:v>43374</c:v>
                </c:pt>
                <c:pt idx="182">
                  <c:v>43375</c:v>
                </c:pt>
                <c:pt idx="183">
                  <c:v>43376</c:v>
                </c:pt>
                <c:pt idx="184">
                  <c:v>43377</c:v>
                </c:pt>
                <c:pt idx="185">
                  <c:v>43378</c:v>
                </c:pt>
                <c:pt idx="186">
                  <c:v>43381</c:v>
                </c:pt>
                <c:pt idx="187">
                  <c:v>43382</c:v>
                </c:pt>
                <c:pt idx="188">
                  <c:v>43383</c:v>
                </c:pt>
                <c:pt idx="189">
                  <c:v>43384</c:v>
                </c:pt>
                <c:pt idx="190">
                  <c:v>43385</c:v>
                </c:pt>
                <c:pt idx="191">
                  <c:v>43388</c:v>
                </c:pt>
                <c:pt idx="192">
                  <c:v>43389</c:v>
                </c:pt>
                <c:pt idx="193">
                  <c:v>43390</c:v>
                </c:pt>
                <c:pt idx="194">
                  <c:v>43391</c:v>
                </c:pt>
                <c:pt idx="195">
                  <c:v>43392</c:v>
                </c:pt>
                <c:pt idx="196">
                  <c:v>43395</c:v>
                </c:pt>
                <c:pt idx="197">
                  <c:v>43396</c:v>
                </c:pt>
                <c:pt idx="198">
                  <c:v>43397</c:v>
                </c:pt>
                <c:pt idx="199">
                  <c:v>43398</c:v>
                </c:pt>
                <c:pt idx="200">
                  <c:v>43399</c:v>
                </c:pt>
                <c:pt idx="201">
                  <c:v>43402</c:v>
                </c:pt>
                <c:pt idx="202">
                  <c:v>43403</c:v>
                </c:pt>
                <c:pt idx="203">
                  <c:v>43404</c:v>
                </c:pt>
                <c:pt idx="204">
                  <c:v>43405</c:v>
                </c:pt>
                <c:pt idx="205">
                  <c:v>43406</c:v>
                </c:pt>
                <c:pt idx="206">
                  <c:v>43409</c:v>
                </c:pt>
                <c:pt idx="207">
                  <c:v>43410</c:v>
                </c:pt>
                <c:pt idx="208">
                  <c:v>43411</c:v>
                </c:pt>
                <c:pt idx="209">
                  <c:v>43412</c:v>
                </c:pt>
                <c:pt idx="210">
                  <c:v>43413</c:v>
                </c:pt>
                <c:pt idx="211">
                  <c:v>43416</c:v>
                </c:pt>
                <c:pt idx="212">
                  <c:v>43417</c:v>
                </c:pt>
                <c:pt idx="213">
                  <c:v>43418</c:v>
                </c:pt>
                <c:pt idx="214">
                  <c:v>43419</c:v>
                </c:pt>
                <c:pt idx="215">
                  <c:v>43420</c:v>
                </c:pt>
                <c:pt idx="216">
                  <c:v>43423</c:v>
                </c:pt>
                <c:pt idx="217">
                  <c:v>43424</c:v>
                </c:pt>
                <c:pt idx="218">
                  <c:v>43425</c:v>
                </c:pt>
                <c:pt idx="219">
                  <c:v>43426</c:v>
                </c:pt>
                <c:pt idx="220">
                  <c:v>43427</c:v>
                </c:pt>
                <c:pt idx="221">
                  <c:v>43430</c:v>
                </c:pt>
                <c:pt idx="222">
                  <c:v>43431</c:v>
                </c:pt>
                <c:pt idx="223">
                  <c:v>43432</c:v>
                </c:pt>
                <c:pt idx="224">
                  <c:v>43433</c:v>
                </c:pt>
                <c:pt idx="225">
                  <c:v>43434</c:v>
                </c:pt>
                <c:pt idx="226">
                  <c:v>43437</c:v>
                </c:pt>
                <c:pt idx="227">
                  <c:v>43438</c:v>
                </c:pt>
                <c:pt idx="228">
                  <c:v>43439</c:v>
                </c:pt>
                <c:pt idx="229">
                  <c:v>43440</c:v>
                </c:pt>
                <c:pt idx="230">
                  <c:v>43441</c:v>
                </c:pt>
                <c:pt idx="231">
                  <c:v>43444</c:v>
                </c:pt>
                <c:pt idx="232">
                  <c:v>43445</c:v>
                </c:pt>
                <c:pt idx="233">
                  <c:v>43446</c:v>
                </c:pt>
                <c:pt idx="234">
                  <c:v>43447</c:v>
                </c:pt>
                <c:pt idx="235">
                  <c:v>43448</c:v>
                </c:pt>
                <c:pt idx="236">
                  <c:v>43451</c:v>
                </c:pt>
                <c:pt idx="237">
                  <c:v>43452</c:v>
                </c:pt>
                <c:pt idx="238">
                  <c:v>43453</c:v>
                </c:pt>
                <c:pt idx="239">
                  <c:v>43454</c:v>
                </c:pt>
                <c:pt idx="240">
                  <c:v>43455</c:v>
                </c:pt>
                <c:pt idx="241">
                  <c:v>43458</c:v>
                </c:pt>
                <c:pt idx="242">
                  <c:v>43459</c:v>
                </c:pt>
                <c:pt idx="243">
                  <c:v>43460</c:v>
                </c:pt>
                <c:pt idx="244">
                  <c:v>43461</c:v>
                </c:pt>
                <c:pt idx="245">
                  <c:v>43462</c:v>
                </c:pt>
                <c:pt idx="246">
                  <c:v>43465</c:v>
                </c:pt>
                <c:pt idx="247">
                  <c:v>43466</c:v>
                </c:pt>
                <c:pt idx="248">
                  <c:v>43467</c:v>
                </c:pt>
                <c:pt idx="249">
                  <c:v>43468</c:v>
                </c:pt>
                <c:pt idx="250">
                  <c:v>43469</c:v>
                </c:pt>
                <c:pt idx="251">
                  <c:v>43472</c:v>
                </c:pt>
                <c:pt idx="252">
                  <c:v>43473</c:v>
                </c:pt>
                <c:pt idx="253">
                  <c:v>43474</c:v>
                </c:pt>
                <c:pt idx="254">
                  <c:v>43475</c:v>
                </c:pt>
                <c:pt idx="255">
                  <c:v>43476</c:v>
                </c:pt>
                <c:pt idx="256">
                  <c:v>43479</c:v>
                </c:pt>
                <c:pt idx="257">
                  <c:v>43480</c:v>
                </c:pt>
                <c:pt idx="258">
                  <c:v>43481</c:v>
                </c:pt>
                <c:pt idx="259">
                  <c:v>43482</c:v>
                </c:pt>
                <c:pt idx="260">
                  <c:v>43483</c:v>
                </c:pt>
                <c:pt idx="261">
                  <c:v>43486</c:v>
                </c:pt>
                <c:pt idx="262">
                  <c:v>43487</c:v>
                </c:pt>
                <c:pt idx="263">
                  <c:v>43488</c:v>
                </c:pt>
                <c:pt idx="264">
                  <c:v>43489</c:v>
                </c:pt>
                <c:pt idx="265">
                  <c:v>43490</c:v>
                </c:pt>
                <c:pt idx="266">
                  <c:v>43493</c:v>
                </c:pt>
                <c:pt idx="267">
                  <c:v>43494</c:v>
                </c:pt>
                <c:pt idx="268">
                  <c:v>43495</c:v>
                </c:pt>
                <c:pt idx="269">
                  <c:v>43496</c:v>
                </c:pt>
                <c:pt idx="270">
                  <c:v>43497</c:v>
                </c:pt>
                <c:pt idx="271">
                  <c:v>43500</c:v>
                </c:pt>
                <c:pt idx="272">
                  <c:v>43501</c:v>
                </c:pt>
                <c:pt idx="273">
                  <c:v>43502</c:v>
                </c:pt>
                <c:pt idx="274">
                  <c:v>43503</c:v>
                </c:pt>
                <c:pt idx="275">
                  <c:v>43504</c:v>
                </c:pt>
                <c:pt idx="276">
                  <c:v>43507</c:v>
                </c:pt>
                <c:pt idx="277">
                  <c:v>43508</c:v>
                </c:pt>
                <c:pt idx="278">
                  <c:v>43509</c:v>
                </c:pt>
                <c:pt idx="279">
                  <c:v>43510</c:v>
                </c:pt>
                <c:pt idx="280">
                  <c:v>43511</c:v>
                </c:pt>
                <c:pt idx="281">
                  <c:v>43514</c:v>
                </c:pt>
                <c:pt idx="282">
                  <c:v>43515</c:v>
                </c:pt>
                <c:pt idx="283">
                  <c:v>43516</c:v>
                </c:pt>
                <c:pt idx="284">
                  <c:v>43517</c:v>
                </c:pt>
                <c:pt idx="285">
                  <c:v>43518</c:v>
                </c:pt>
                <c:pt idx="286">
                  <c:v>43521</c:v>
                </c:pt>
                <c:pt idx="287">
                  <c:v>43522</c:v>
                </c:pt>
                <c:pt idx="288">
                  <c:v>43523</c:v>
                </c:pt>
                <c:pt idx="289">
                  <c:v>43524</c:v>
                </c:pt>
              </c:numCache>
            </c:numRef>
          </c:cat>
          <c:val>
            <c:numRef>
              <c:f>Index_Charts!$F$3:$F$292</c:f>
              <c:numCache>
                <c:formatCode>0.00</c:formatCode>
                <c:ptCount val="290"/>
                <c:pt idx="0">
                  <c:v>100</c:v>
                </c:pt>
                <c:pt idx="1">
                  <c:v>100</c:v>
                </c:pt>
                <c:pt idx="2">
                  <c:v>99.220615819316464</c:v>
                </c:pt>
                <c:pt idx="3">
                  <c:v>98.852334473861887</c:v>
                </c:pt>
                <c:pt idx="4">
                  <c:v>101.72327562903369</c:v>
                </c:pt>
                <c:pt idx="5">
                  <c:v>101.1948683652525</c:v>
                </c:pt>
                <c:pt idx="6">
                  <c:v>101.1948683652525</c:v>
                </c:pt>
                <c:pt idx="7">
                  <c:v>101.1948683652525</c:v>
                </c:pt>
                <c:pt idx="8">
                  <c:v>101.36417031710219</c:v>
                </c:pt>
                <c:pt idx="9">
                  <c:v>102.4848864114517</c:v>
                </c:pt>
                <c:pt idx="10">
                  <c:v>101.6305232901784</c:v>
                </c:pt>
                <c:pt idx="11">
                  <c:v>102.63112427904071</c:v>
                </c:pt>
                <c:pt idx="12">
                  <c:v>102.8575491062461</c:v>
                </c:pt>
                <c:pt idx="13">
                  <c:v>102.8575491062461</c:v>
                </c:pt>
                <c:pt idx="14">
                  <c:v>102.8575491062461</c:v>
                </c:pt>
                <c:pt idx="15">
                  <c:v>102.4360302329638</c:v>
                </c:pt>
                <c:pt idx="16">
                  <c:v>104.0410920967898</c:v>
                </c:pt>
                <c:pt idx="17">
                  <c:v>104.08457492231371</c:v>
                </c:pt>
                <c:pt idx="18">
                  <c:v>103.8910515486417</c:v>
                </c:pt>
                <c:pt idx="19">
                  <c:v>103.66851206896411</c:v>
                </c:pt>
                <c:pt idx="20">
                  <c:v>103.66851206896411</c:v>
                </c:pt>
                <c:pt idx="21">
                  <c:v>103.66851206896411</c:v>
                </c:pt>
                <c:pt idx="22">
                  <c:v>103.9321370320739</c:v>
                </c:pt>
                <c:pt idx="23">
                  <c:v>103.75382438063841</c:v>
                </c:pt>
                <c:pt idx="24">
                  <c:v>102.691388499206</c:v>
                </c:pt>
                <c:pt idx="25">
                  <c:v>103.3375961933514</c:v>
                </c:pt>
                <c:pt idx="26">
                  <c:v>104.00223862151179</c:v>
                </c:pt>
                <c:pt idx="27">
                  <c:v>104.00223862151179</c:v>
                </c:pt>
                <c:pt idx="28">
                  <c:v>104.00223862151179</c:v>
                </c:pt>
                <c:pt idx="29">
                  <c:v>104.2604902316577</c:v>
                </c:pt>
                <c:pt idx="30">
                  <c:v>104.2604902316577</c:v>
                </c:pt>
                <c:pt idx="31">
                  <c:v>105.8323199740757</c:v>
                </c:pt>
                <c:pt idx="32">
                  <c:v>104.9056232552103</c:v>
                </c:pt>
                <c:pt idx="33">
                  <c:v>105.9757471647296</c:v>
                </c:pt>
                <c:pt idx="34">
                  <c:v>105.9757471647296</c:v>
                </c:pt>
                <c:pt idx="35">
                  <c:v>105.9757471647296</c:v>
                </c:pt>
                <c:pt idx="36">
                  <c:v>107.03834838009939</c:v>
                </c:pt>
                <c:pt idx="37">
                  <c:v>106.74132596164419</c:v>
                </c:pt>
                <c:pt idx="38">
                  <c:v>106.9963535600117</c:v>
                </c:pt>
                <c:pt idx="39">
                  <c:v>107.6561186370201</c:v>
                </c:pt>
                <c:pt idx="40">
                  <c:v>107.4773099837725</c:v>
                </c:pt>
                <c:pt idx="41">
                  <c:v>107.4773099837725</c:v>
                </c:pt>
                <c:pt idx="42">
                  <c:v>107.4773099837725</c:v>
                </c:pt>
                <c:pt idx="43">
                  <c:v>107.2827946064763</c:v>
                </c:pt>
                <c:pt idx="44">
                  <c:v>107.2193890415013</c:v>
                </c:pt>
                <c:pt idx="45">
                  <c:v>107.4367205021522</c:v>
                </c:pt>
                <c:pt idx="46">
                  <c:v>108.4145054076598</c:v>
                </c:pt>
                <c:pt idx="47">
                  <c:v>108.1095469602116</c:v>
                </c:pt>
                <c:pt idx="48">
                  <c:v>108.1095469602116</c:v>
                </c:pt>
                <c:pt idx="49">
                  <c:v>108.1095469602116</c:v>
                </c:pt>
                <c:pt idx="50">
                  <c:v>108.1095469602116</c:v>
                </c:pt>
                <c:pt idx="51">
                  <c:v>108.8717364114104</c:v>
                </c:pt>
                <c:pt idx="52">
                  <c:v>107.27560258020139</c:v>
                </c:pt>
                <c:pt idx="53">
                  <c:v>106.2691322365631</c:v>
                </c:pt>
                <c:pt idx="54">
                  <c:v>106.95460674083</c:v>
                </c:pt>
                <c:pt idx="55">
                  <c:v>106.95460674083</c:v>
                </c:pt>
                <c:pt idx="56">
                  <c:v>106.95460674083</c:v>
                </c:pt>
                <c:pt idx="57">
                  <c:v>106.3383244893455</c:v>
                </c:pt>
                <c:pt idx="58">
                  <c:v>104.71019854125871</c:v>
                </c:pt>
                <c:pt idx="59">
                  <c:v>105.67946874899251</c:v>
                </c:pt>
                <c:pt idx="60">
                  <c:v>104.20080468027309</c:v>
                </c:pt>
                <c:pt idx="61">
                  <c:v>105.18768295233509</c:v>
                </c:pt>
                <c:pt idx="62">
                  <c:v>105.18768295233509</c:v>
                </c:pt>
                <c:pt idx="63">
                  <c:v>105.18768295233509</c:v>
                </c:pt>
                <c:pt idx="64">
                  <c:v>105.5719190227442</c:v>
                </c:pt>
                <c:pt idx="65">
                  <c:v>105.7073275174365</c:v>
                </c:pt>
                <c:pt idx="66">
                  <c:v>106.0622994809341</c:v>
                </c:pt>
                <c:pt idx="67">
                  <c:v>105.9050669065111</c:v>
                </c:pt>
                <c:pt idx="68">
                  <c:v>105.53719889589991</c:v>
                </c:pt>
                <c:pt idx="69">
                  <c:v>105.53719889589991</c:v>
                </c:pt>
                <c:pt idx="70">
                  <c:v>105.53719889589991</c:v>
                </c:pt>
                <c:pt idx="71">
                  <c:v>106.1684438687149</c:v>
                </c:pt>
                <c:pt idx="72">
                  <c:v>106.16340118362569</c:v>
                </c:pt>
                <c:pt idx="73">
                  <c:v>106.56251730839659</c:v>
                </c:pt>
                <c:pt idx="74">
                  <c:v>108.3524225141836</c:v>
                </c:pt>
                <c:pt idx="75">
                  <c:v>107.5542729316104</c:v>
                </c:pt>
                <c:pt idx="76">
                  <c:v>107.5542729316104</c:v>
                </c:pt>
                <c:pt idx="77">
                  <c:v>107.5542729316104</c:v>
                </c:pt>
                <c:pt idx="78">
                  <c:v>106.0956969362795</c:v>
                </c:pt>
                <c:pt idx="79">
                  <c:v>104.80493488736209</c:v>
                </c:pt>
                <c:pt idx="80">
                  <c:v>104.94703940651731</c:v>
                </c:pt>
                <c:pt idx="81">
                  <c:v>103.4321672055175</c:v>
                </c:pt>
                <c:pt idx="82">
                  <c:v>103.992731920114</c:v>
                </c:pt>
                <c:pt idx="83">
                  <c:v>103.992731920114</c:v>
                </c:pt>
                <c:pt idx="84">
                  <c:v>103.992731920114</c:v>
                </c:pt>
                <c:pt idx="85">
                  <c:v>101.43509857622681</c:v>
                </c:pt>
                <c:pt idx="86">
                  <c:v>101.1375801559595</c:v>
                </c:pt>
                <c:pt idx="87">
                  <c:v>102.08221560702771</c:v>
                </c:pt>
                <c:pt idx="88">
                  <c:v>100.66546909784709</c:v>
                </c:pt>
                <c:pt idx="89">
                  <c:v>101.72997165349641</c:v>
                </c:pt>
                <c:pt idx="90">
                  <c:v>101.72997165349641</c:v>
                </c:pt>
                <c:pt idx="91">
                  <c:v>101.72997165349641</c:v>
                </c:pt>
                <c:pt idx="92">
                  <c:v>101.16924160496271</c:v>
                </c:pt>
                <c:pt idx="93">
                  <c:v>102.0865969563675</c:v>
                </c:pt>
                <c:pt idx="94">
                  <c:v>101.82594800413</c:v>
                </c:pt>
                <c:pt idx="95">
                  <c:v>103.0385071006793</c:v>
                </c:pt>
                <c:pt idx="96">
                  <c:v>103.30204939682039</c:v>
                </c:pt>
                <c:pt idx="97">
                  <c:v>103.30204939682039</c:v>
                </c:pt>
                <c:pt idx="98">
                  <c:v>103.30204939682039</c:v>
                </c:pt>
                <c:pt idx="99">
                  <c:v>103.6965361713455</c:v>
                </c:pt>
                <c:pt idx="100">
                  <c:v>104.2418074967367</c:v>
                </c:pt>
                <c:pt idx="101">
                  <c:v>102.6486496764002</c:v>
                </c:pt>
                <c:pt idx="102">
                  <c:v>103.27559596684389</c:v>
                </c:pt>
                <c:pt idx="103">
                  <c:v>103.67041340924369</c:v>
                </c:pt>
                <c:pt idx="104">
                  <c:v>103.67041340924369</c:v>
                </c:pt>
                <c:pt idx="105">
                  <c:v>103.67041340924369</c:v>
                </c:pt>
                <c:pt idx="106">
                  <c:v>103.8381446886886</c:v>
                </c:pt>
                <c:pt idx="107">
                  <c:v>104.66911305782639</c:v>
                </c:pt>
                <c:pt idx="108">
                  <c:v>105.5321562108107</c:v>
                </c:pt>
                <c:pt idx="109">
                  <c:v>104.87371380530109</c:v>
                </c:pt>
                <c:pt idx="110">
                  <c:v>103.8414513674357</c:v>
                </c:pt>
                <c:pt idx="111">
                  <c:v>103.8414513674357</c:v>
                </c:pt>
                <c:pt idx="112">
                  <c:v>103.8414513674357</c:v>
                </c:pt>
                <c:pt idx="113">
                  <c:v>103.7352243126861</c:v>
                </c:pt>
                <c:pt idx="114">
                  <c:v>104.8993405655909</c:v>
                </c:pt>
                <c:pt idx="115">
                  <c:v>103.9895079083356</c:v>
                </c:pt>
                <c:pt idx="116">
                  <c:v>105.8900215182119</c:v>
                </c:pt>
                <c:pt idx="117">
                  <c:v>106.31302839693041</c:v>
                </c:pt>
                <c:pt idx="118">
                  <c:v>106.31302839693041</c:v>
                </c:pt>
                <c:pt idx="119">
                  <c:v>106.31302839693041</c:v>
                </c:pt>
                <c:pt idx="120">
                  <c:v>105.7988398517616</c:v>
                </c:pt>
                <c:pt idx="121">
                  <c:v>105.8591867388955</c:v>
                </c:pt>
                <c:pt idx="122">
                  <c:v>105.2933313383038</c:v>
                </c:pt>
                <c:pt idx="123">
                  <c:v>103.7167069117026</c:v>
                </c:pt>
                <c:pt idx="124">
                  <c:v>104.29066367522471</c:v>
                </c:pt>
                <c:pt idx="125">
                  <c:v>104.29066367522471</c:v>
                </c:pt>
                <c:pt idx="126">
                  <c:v>104.29066367522471</c:v>
                </c:pt>
                <c:pt idx="127">
                  <c:v>104.14558314519709</c:v>
                </c:pt>
                <c:pt idx="128">
                  <c:v>104.558752654643</c:v>
                </c:pt>
                <c:pt idx="129">
                  <c:v>104.43764554553179</c:v>
                </c:pt>
                <c:pt idx="130">
                  <c:v>104.7895588311883</c:v>
                </c:pt>
                <c:pt idx="131">
                  <c:v>102.7083352277847</c:v>
                </c:pt>
                <c:pt idx="132">
                  <c:v>102.7083352277847</c:v>
                </c:pt>
                <c:pt idx="133">
                  <c:v>102.7083352277847</c:v>
                </c:pt>
                <c:pt idx="134">
                  <c:v>102.1659572462971</c:v>
                </c:pt>
                <c:pt idx="135">
                  <c:v>102.1670319168899</c:v>
                </c:pt>
                <c:pt idx="136">
                  <c:v>100.54791666838901</c:v>
                </c:pt>
                <c:pt idx="137">
                  <c:v>101.160974908095</c:v>
                </c:pt>
                <c:pt idx="138">
                  <c:v>100.9409154374777</c:v>
                </c:pt>
                <c:pt idx="139">
                  <c:v>100.9409154374777</c:v>
                </c:pt>
                <c:pt idx="140">
                  <c:v>100.9409154374777</c:v>
                </c:pt>
                <c:pt idx="141">
                  <c:v>101.9391190842484</c:v>
                </c:pt>
                <c:pt idx="142">
                  <c:v>102.3788246906395</c:v>
                </c:pt>
                <c:pt idx="143">
                  <c:v>102.3888273938494</c:v>
                </c:pt>
                <c:pt idx="144">
                  <c:v>102.222501452872</c:v>
                </c:pt>
                <c:pt idx="145">
                  <c:v>102.46173966022231</c:v>
                </c:pt>
                <c:pt idx="146">
                  <c:v>102.46173966022231</c:v>
                </c:pt>
                <c:pt idx="147">
                  <c:v>102.46173966022231</c:v>
                </c:pt>
                <c:pt idx="148">
                  <c:v>103.65040800282389</c:v>
                </c:pt>
                <c:pt idx="149">
                  <c:v>103.56038367393499</c:v>
                </c:pt>
                <c:pt idx="150">
                  <c:v>103.8436007086213</c:v>
                </c:pt>
                <c:pt idx="151">
                  <c:v>103.286094671866</c:v>
                </c:pt>
                <c:pt idx="152">
                  <c:v>102.2099360736331</c:v>
                </c:pt>
                <c:pt idx="153">
                  <c:v>102.2099360736331</c:v>
                </c:pt>
                <c:pt idx="154">
                  <c:v>102.2099360736331</c:v>
                </c:pt>
                <c:pt idx="155">
                  <c:v>102.0640288739188</c:v>
                </c:pt>
                <c:pt idx="156">
                  <c:v>100.9381047605427</c:v>
                </c:pt>
                <c:pt idx="157">
                  <c:v>99.534832967256406</c:v>
                </c:pt>
                <c:pt idx="158">
                  <c:v>98.830427727162629</c:v>
                </c:pt>
                <c:pt idx="159">
                  <c:v>98.866635859443008</c:v>
                </c:pt>
                <c:pt idx="160">
                  <c:v>98.866635859443008</c:v>
                </c:pt>
                <c:pt idx="161">
                  <c:v>98.866635859443008</c:v>
                </c:pt>
                <c:pt idx="162">
                  <c:v>99.087439332778345</c:v>
                </c:pt>
                <c:pt idx="163">
                  <c:v>98.954593514114976</c:v>
                </c:pt>
                <c:pt idx="164">
                  <c:v>99.467376720816276</c:v>
                </c:pt>
                <c:pt idx="165">
                  <c:v>99.659577422989457</c:v>
                </c:pt>
                <c:pt idx="166">
                  <c:v>100.22816083354761</c:v>
                </c:pt>
                <c:pt idx="167">
                  <c:v>100.22816083354761</c:v>
                </c:pt>
                <c:pt idx="168">
                  <c:v>100.22816083354761</c:v>
                </c:pt>
                <c:pt idx="169">
                  <c:v>99.997354657002376</c:v>
                </c:pt>
                <c:pt idx="170">
                  <c:v>100.5037725071156</c:v>
                </c:pt>
                <c:pt idx="171">
                  <c:v>101.010934359947</c:v>
                </c:pt>
                <c:pt idx="172">
                  <c:v>101.8992736053462</c:v>
                </c:pt>
                <c:pt idx="173">
                  <c:v>102.7623167583306</c:v>
                </c:pt>
                <c:pt idx="174">
                  <c:v>102.7623167583306</c:v>
                </c:pt>
                <c:pt idx="175">
                  <c:v>102.7623167583306</c:v>
                </c:pt>
                <c:pt idx="176">
                  <c:v>102.10048500710521</c:v>
                </c:pt>
                <c:pt idx="177">
                  <c:v>102.29756306043041</c:v>
                </c:pt>
                <c:pt idx="178">
                  <c:v>102.39039806625431</c:v>
                </c:pt>
                <c:pt idx="179">
                  <c:v>102.8012529005773</c:v>
                </c:pt>
                <c:pt idx="180">
                  <c:v>101.24000453015</c:v>
                </c:pt>
                <c:pt idx="181">
                  <c:v>102.0030206510355</c:v>
                </c:pt>
                <c:pt idx="182">
                  <c:v>101.577699097194</c:v>
                </c:pt>
                <c:pt idx="183">
                  <c:v>101.577699097194</c:v>
                </c:pt>
                <c:pt idx="184">
                  <c:v>101.2185937852627</c:v>
                </c:pt>
                <c:pt idx="185">
                  <c:v>100.12540579148251</c:v>
                </c:pt>
                <c:pt idx="186">
                  <c:v>98.763550149503203</c:v>
                </c:pt>
                <c:pt idx="187">
                  <c:v>99.012047057345242</c:v>
                </c:pt>
                <c:pt idx="188">
                  <c:v>96.823687062536692</c:v>
                </c:pt>
                <c:pt idx="189">
                  <c:v>95.392308499900381</c:v>
                </c:pt>
                <c:pt idx="190">
                  <c:v>95.263844030576848</c:v>
                </c:pt>
                <c:pt idx="191">
                  <c:v>96.010740092570444</c:v>
                </c:pt>
                <c:pt idx="192">
                  <c:v>97.353168996910739</c:v>
                </c:pt>
                <c:pt idx="193">
                  <c:v>96.844601805611944</c:v>
                </c:pt>
                <c:pt idx="194">
                  <c:v>95.804486005722183</c:v>
                </c:pt>
                <c:pt idx="195">
                  <c:v>95.512010270544181</c:v>
                </c:pt>
                <c:pt idx="196">
                  <c:v>95.268225379916757</c:v>
                </c:pt>
                <c:pt idx="197">
                  <c:v>93.201055161188194</c:v>
                </c:pt>
                <c:pt idx="198">
                  <c:v>92.517812665075652</c:v>
                </c:pt>
                <c:pt idx="199">
                  <c:v>93.472533486322362</c:v>
                </c:pt>
                <c:pt idx="200">
                  <c:v>92.592130269915927</c:v>
                </c:pt>
                <c:pt idx="201">
                  <c:v>93.706977009489322</c:v>
                </c:pt>
                <c:pt idx="202">
                  <c:v>93.309431557123233</c:v>
                </c:pt>
                <c:pt idx="203">
                  <c:v>94.633095059573947</c:v>
                </c:pt>
                <c:pt idx="204">
                  <c:v>94.806943694700976</c:v>
                </c:pt>
                <c:pt idx="205">
                  <c:v>95.223998551674683</c:v>
                </c:pt>
                <c:pt idx="206">
                  <c:v>95.025349825944659</c:v>
                </c:pt>
                <c:pt idx="207">
                  <c:v>94.937557505210094</c:v>
                </c:pt>
                <c:pt idx="208">
                  <c:v>95.720909700390123</c:v>
                </c:pt>
                <c:pt idx="209">
                  <c:v>95.292860136582306</c:v>
                </c:pt>
                <c:pt idx="210">
                  <c:v>95.308070858818823</c:v>
                </c:pt>
                <c:pt idx="211">
                  <c:v>93.623979372937953</c:v>
                </c:pt>
                <c:pt idx="212">
                  <c:v>94.837365139173968</c:v>
                </c:pt>
                <c:pt idx="213">
                  <c:v>94.343926003143025</c:v>
                </c:pt>
                <c:pt idx="214">
                  <c:v>93.857348225512183</c:v>
                </c:pt>
                <c:pt idx="215">
                  <c:v>93.752609176198845</c:v>
                </c:pt>
                <c:pt idx="216">
                  <c:v>92.955203596343821</c:v>
                </c:pt>
                <c:pt idx="217">
                  <c:v>91.482656883306475</c:v>
                </c:pt>
                <c:pt idx="218">
                  <c:v>92.952144918502782</c:v>
                </c:pt>
                <c:pt idx="219">
                  <c:v>92.078520393527796</c:v>
                </c:pt>
                <c:pt idx="220">
                  <c:v>92.526575363755313</c:v>
                </c:pt>
                <c:pt idx="221">
                  <c:v>93.866028257223206</c:v>
                </c:pt>
                <c:pt idx="222">
                  <c:v>93.488984213088955</c:v>
                </c:pt>
                <c:pt idx="223">
                  <c:v>93.404415904132804</c:v>
                </c:pt>
                <c:pt idx="224">
                  <c:v>93.399042551168776</c:v>
                </c:pt>
                <c:pt idx="225">
                  <c:v>93.060190646563171</c:v>
                </c:pt>
                <c:pt idx="226">
                  <c:v>94.781482268348554</c:v>
                </c:pt>
                <c:pt idx="227">
                  <c:v>93.705654337990509</c:v>
                </c:pt>
                <c:pt idx="228">
                  <c:v>92.588988925106179</c:v>
                </c:pt>
                <c:pt idx="229">
                  <c:v>89.371094502398577</c:v>
                </c:pt>
                <c:pt idx="230">
                  <c:v>89.181869811097712</c:v>
                </c:pt>
                <c:pt idx="231">
                  <c:v>87.809432797127783</c:v>
                </c:pt>
                <c:pt idx="232">
                  <c:v>89.119208248840806</c:v>
                </c:pt>
                <c:pt idx="233">
                  <c:v>90.350284746373603</c:v>
                </c:pt>
                <c:pt idx="234">
                  <c:v>90.311183270189574</c:v>
                </c:pt>
                <c:pt idx="235">
                  <c:v>89.824026823777999</c:v>
                </c:pt>
                <c:pt idx="236">
                  <c:v>89.050511997870501</c:v>
                </c:pt>
                <c:pt idx="237">
                  <c:v>88.791681718943863</c:v>
                </c:pt>
                <c:pt idx="238">
                  <c:v>89.000994483633207</c:v>
                </c:pt>
                <c:pt idx="239">
                  <c:v>87.718747132489426</c:v>
                </c:pt>
                <c:pt idx="240">
                  <c:v>87.906566485322898</c:v>
                </c:pt>
                <c:pt idx="241">
                  <c:v>87.906566485322898</c:v>
                </c:pt>
                <c:pt idx="242">
                  <c:v>87.906566485322898</c:v>
                </c:pt>
                <c:pt idx="243">
                  <c:v>87.906566485322898</c:v>
                </c:pt>
                <c:pt idx="244">
                  <c:v>85.820796198642086</c:v>
                </c:pt>
                <c:pt idx="245">
                  <c:v>87.287721557809405</c:v>
                </c:pt>
                <c:pt idx="246">
                  <c:v>87.287721557809405</c:v>
                </c:pt>
                <c:pt idx="247">
                  <c:v>87.287721557809405</c:v>
                </c:pt>
                <c:pt idx="248">
                  <c:v>87.463223532309996</c:v>
                </c:pt>
                <c:pt idx="249">
                  <c:v>86.111370593540542</c:v>
                </c:pt>
                <c:pt idx="250">
                  <c:v>89.013229194997365</c:v>
                </c:pt>
                <c:pt idx="251">
                  <c:v>88.848887261268132</c:v>
                </c:pt>
                <c:pt idx="252">
                  <c:v>89.313227624324924</c:v>
                </c:pt>
                <c:pt idx="253">
                  <c:v>90.051774322482146</c:v>
                </c:pt>
                <c:pt idx="254">
                  <c:v>90.285473842931083</c:v>
                </c:pt>
                <c:pt idx="255">
                  <c:v>90.003331478837652</c:v>
                </c:pt>
                <c:pt idx="256">
                  <c:v>89.742517192662774</c:v>
                </c:pt>
                <c:pt idx="257">
                  <c:v>90.039126276274672</c:v>
                </c:pt>
                <c:pt idx="258">
                  <c:v>90.36524746770408</c:v>
                </c:pt>
                <c:pt idx="259">
                  <c:v>90.260921753234143</c:v>
                </c:pt>
                <c:pt idx="260">
                  <c:v>92.632802418504781</c:v>
                </c:pt>
                <c:pt idx="261">
                  <c:v>92.059589657700883</c:v>
                </c:pt>
                <c:pt idx="262">
                  <c:v>91.678577599070124</c:v>
                </c:pt>
                <c:pt idx="263">
                  <c:v>91.525065038237614</c:v>
                </c:pt>
                <c:pt idx="264">
                  <c:v>92.009824142557505</c:v>
                </c:pt>
                <c:pt idx="265">
                  <c:v>93.263138054664353</c:v>
                </c:pt>
                <c:pt idx="266">
                  <c:v>92.672234562563546</c:v>
                </c:pt>
                <c:pt idx="267">
                  <c:v>92.742666819876121</c:v>
                </c:pt>
                <c:pt idx="268">
                  <c:v>92.435393697304974</c:v>
                </c:pt>
                <c:pt idx="269">
                  <c:v>92.364630772117764</c:v>
                </c:pt>
                <c:pt idx="270">
                  <c:v>92.427127000437324</c:v>
                </c:pt>
                <c:pt idx="271">
                  <c:v>92.393398877217209</c:v>
                </c:pt>
                <c:pt idx="272">
                  <c:v>93.975644657688477</c:v>
                </c:pt>
                <c:pt idx="273">
                  <c:v>93.618027351193248</c:v>
                </c:pt>
                <c:pt idx="274">
                  <c:v>91.115698209350811</c:v>
                </c:pt>
                <c:pt idx="275">
                  <c:v>90.163044062320978</c:v>
                </c:pt>
                <c:pt idx="276">
                  <c:v>91.054276651624008</c:v>
                </c:pt>
                <c:pt idx="277">
                  <c:v>91.975930685400115</c:v>
                </c:pt>
                <c:pt idx="278">
                  <c:v>92.31602259453588</c:v>
                </c:pt>
                <c:pt idx="279">
                  <c:v>91.675932256072471</c:v>
                </c:pt>
                <c:pt idx="280">
                  <c:v>93.412021265251056</c:v>
                </c:pt>
                <c:pt idx="281">
                  <c:v>93.407061247130457</c:v>
                </c:pt>
                <c:pt idx="282">
                  <c:v>93.489810882775757</c:v>
                </c:pt>
                <c:pt idx="283">
                  <c:v>94.256629684220499</c:v>
                </c:pt>
                <c:pt idx="284">
                  <c:v>94.432792994470404</c:v>
                </c:pt>
                <c:pt idx="285">
                  <c:v>94.717332700655447</c:v>
                </c:pt>
                <c:pt idx="286">
                  <c:v>95.111571474274442</c:v>
                </c:pt>
                <c:pt idx="287">
                  <c:v>95.404212543389832</c:v>
                </c:pt>
                <c:pt idx="288">
                  <c:v>94.962274928844423</c:v>
                </c:pt>
                <c:pt idx="289">
                  <c:v>95.196305117167981</c:v>
                </c:pt>
              </c:numCache>
            </c:numRef>
          </c:val>
          <c:smooth val="0"/>
        </c:ser>
        <c:ser>
          <c:idx val="4"/>
          <c:order val="4"/>
          <c:tx>
            <c:strRef>
              <c:f>Index_Charts!$G$1</c:f>
              <c:strCache>
                <c:ptCount val="1"/>
                <c:pt idx="0">
                  <c:v>Hang Seng</c:v>
                </c:pt>
              </c:strCache>
            </c:strRef>
          </c:tx>
          <c:spPr>
            <a:ln w="28575" cap="rnd">
              <a:solidFill>
                <a:schemeClr val="accent5"/>
              </a:solidFill>
              <a:round/>
            </a:ln>
            <a:effectLst/>
          </c:spPr>
          <c:marker>
            <c:symbol val="none"/>
          </c:marker>
          <c:cat>
            <c:numRef>
              <c:f>Index_Charts!$B$3:$B$292</c:f>
              <c:numCache>
                <c:formatCode>[$-409]mmmm\-yy;@</c:formatCode>
                <c:ptCount val="290"/>
                <c:pt idx="0">
                  <c:v>43191</c:v>
                </c:pt>
                <c:pt idx="1">
                  <c:v>43192</c:v>
                </c:pt>
                <c:pt idx="2">
                  <c:v>43193</c:v>
                </c:pt>
                <c:pt idx="3">
                  <c:v>43194</c:v>
                </c:pt>
                <c:pt idx="4">
                  <c:v>43195</c:v>
                </c:pt>
                <c:pt idx="5">
                  <c:v>43196</c:v>
                </c:pt>
                <c:pt idx="6">
                  <c:v>43197</c:v>
                </c:pt>
                <c:pt idx="7">
                  <c:v>43198</c:v>
                </c:pt>
                <c:pt idx="8">
                  <c:v>43199</c:v>
                </c:pt>
                <c:pt idx="9">
                  <c:v>43200</c:v>
                </c:pt>
                <c:pt idx="10">
                  <c:v>43201</c:v>
                </c:pt>
                <c:pt idx="11">
                  <c:v>43202</c:v>
                </c:pt>
                <c:pt idx="12">
                  <c:v>43203</c:v>
                </c:pt>
                <c:pt idx="13">
                  <c:v>43204</c:v>
                </c:pt>
                <c:pt idx="14">
                  <c:v>43205</c:v>
                </c:pt>
                <c:pt idx="15">
                  <c:v>43206</c:v>
                </c:pt>
                <c:pt idx="16">
                  <c:v>43207</c:v>
                </c:pt>
                <c:pt idx="17">
                  <c:v>43208</c:v>
                </c:pt>
                <c:pt idx="18">
                  <c:v>43209</c:v>
                </c:pt>
                <c:pt idx="19">
                  <c:v>43210</c:v>
                </c:pt>
                <c:pt idx="20">
                  <c:v>43211</c:v>
                </c:pt>
                <c:pt idx="21">
                  <c:v>43212</c:v>
                </c:pt>
                <c:pt idx="22">
                  <c:v>43213</c:v>
                </c:pt>
                <c:pt idx="23">
                  <c:v>43214</c:v>
                </c:pt>
                <c:pt idx="24">
                  <c:v>43215</c:v>
                </c:pt>
                <c:pt idx="25">
                  <c:v>43216</c:v>
                </c:pt>
                <c:pt idx="26">
                  <c:v>43217</c:v>
                </c:pt>
                <c:pt idx="27">
                  <c:v>43218</c:v>
                </c:pt>
                <c:pt idx="28">
                  <c:v>43219</c:v>
                </c:pt>
                <c:pt idx="29">
                  <c:v>43220</c:v>
                </c:pt>
                <c:pt idx="30">
                  <c:v>43221</c:v>
                </c:pt>
                <c:pt idx="31">
                  <c:v>43222</c:v>
                </c:pt>
                <c:pt idx="32">
                  <c:v>43223</c:v>
                </c:pt>
                <c:pt idx="33">
                  <c:v>43224</c:v>
                </c:pt>
                <c:pt idx="34">
                  <c:v>43225</c:v>
                </c:pt>
                <c:pt idx="35">
                  <c:v>43226</c:v>
                </c:pt>
                <c:pt idx="36">
                  <c:v>43227</c:v>
                </c:pt>
                <c:pt idx="37">
                  <c:v>43228</c:v>
                </c:pt>
                <c:pt idx="38">
                  <c:v>43229</c:v>
                </c:pt>
                <c:pt idx="39">
                  <c:v>43230</c:v>
                </c:pt>
                <c:pt idx="40">
                  <c:v>43231</c:v>
                </c:pt>
                <c:pt idx="41">
                  <c:v>43232</c:v>
                </c:pt>
                <c:pt idx="42">
                  <c:v>43233</c:v>
                </c:pt>
                <c:pt idx="43">
                  <c:v>43234</c:v>
                </c:pt>
                <c:pt idx="44">
                  <c:v>43235</c:v>
                </c:pt>
                <c:pt idx="45">
                  <c:v>43236</c:v>
                </c:pt>
                <c:pt idx="46">
                  <c:v>43237</c:v>
                </c:pt>
                <c:pt idx="47">
                  <c:v>43238</c:v>
                </c:pt>
                <c:pt idx="48">
                  <c:v>43239</c:v>
                </c:pt>
                <c:pt idx="49">
                  <c:v>43240</c:v>
                </c:pt>
                <c:pt idx="50">
                  <c:v>43241</c:v>
                </c:pt>
                <c:pt idx="51">
                  <c:v>43242</c:v>
                </c:pt>
                <c:pt idx="52">
                  <c:v>43243</c:v>
                </c:pt>
                <c:pt idx="53">
                  <c:v>43244</c:v>
                </c:pt>
                <c:pt idx="54">
                  <c:v>43245</c:v>
                </c:pt>
                <c:pt idx="55">
                  <c:v>43246</c:v>
                </c:pt>
                <c:pt idx="56">
                  <c:v>43247</c:v>
                </c:pt>
                <c:pt idx="57">
                  <c:v>43248</c:v>
                </c:pt>
                <c:pt idx="58">
                  <c:v>43249</c:v>
                </c:pt>
                <c:pt idx="59">
                  <c:v>43250</c:v>
                </c:pt>
                <c:pt idx="60">
                  <c:v>43251</c:v>
                </c:pt>
                <c:pt idx="61">
                  <c:v>43252</c:v>
                </c:pt>
                <c:pt idx="62">
                  <c:v>43253</c:v>
                </c:pt>
                <c:pt idx="63">
                  <c:v>43254</c:v>
                </c:pt>
                <c:pt idx="64">
                  <c:v>43255</c:v>
                </c:pt>
                <c:pt idx="65">
                  <c:v>43256</c:v>
                </c:pt>
                <c:pt idx="66">
                  <c:v>43257</c:v>
                </c:pt>
                <c:pt idx="67">
                  <c:v>43258</c:v>
                </c:pt>
                <c:pt idx="68">
                  <c:v>43259</c:v>
                </c:pt>
                <c:pt idx="69">
                  <c:v>43260</c:v>
                </c:pt>
                <c:pt idx="70">
                  <c:v>43261</c:v>
                </c:pt>
                <c:pt idx="71">
                  <c:v>43262</c:v>
                </c:pt>
                <c:pt idx="72">
                  <c:v>43263</c:v>
                </c:pt>
                <c:pt idx="73">
                  <c:v>43264</c:v>
                </c:pt>
                <c:pt idx="74">
                  <c:v>43265</c:v>
                </c:pt>
                <c:pt idx="75">
                  <c:v>43266</c:v>
                </c:pt>
                <c:pt idx="76">
                  <c:v>43267</c:v>
                </c:pt>
                <c:pt idx="77">
                  <c:v>43268</c:v>
                </c:pt>
                <c:pt idx="78">
                  <c:v>43269</c:v>
                </c:pt>
                <c:pt idx="79">
                  <c:v>43270</c:v>
                </c:pt>
                <c:pt idx="80">
                  <c:v>43271</c:v>
                </c:pt>
                <c:pt idx="81">
                  <c:v>43272</c:v>
                </c:pt>
                <c:pt idx="82">
                  <c:v>43273</c:v>
                </c:pt>
                <c:pt idx="83">
                  <c:v>43274</c:v>
                </c:pt>
                <c:pt idx="84">
                  <c:v>43275</c:v>
                </c:pt>
                <c:pt idx="85">
                  <c:v>43276</c:v>
                </c:pt>
                <c:pt idx="86">
                  <c:v>43277</c:v>
                </c:pt>
                <c:pt idx="87">
                  <c:v>43278</c:v>
                </c:pt>
                <c:pt idx="88">
                  <c:v>43279</c:v>
                </c:pt>
                <c:pt idx="89">
                  <c:v>43280</c:v>
                </c:pt>
                <c:pt idx="90">
                  <c:v>43281</c:v>
                </c:pt>
                <c:pt idx="91">
                  <c:v>43282</c:v>
                </c:pt>
                <c:pt idx="92">
                  <c:v>43283</c:v>
                </c:pt>
                <c:pt idx="93">
                  <c:v>43284</c:v>
                </c:pt>
                <c:pt idx="94">
                  <c:v>43285</c:v>
                </c:pt>
                <c:pt idx="95">
                  <c:v>43286</c:v>
                </c:pt>
                <c:pt idx="96">
                  <c:v>43287</c:v>
                </c:pt>
                <c:pt idx="97">
                  <c:v>43288</c:v>
                </c:pt>
                <c:pt idx="98">
                  <c:v>43289</c:v>
                </c:pt>
                <c:pt idx="99">
                  <c:v>43290</c:v>
                </c:pt>
                <c:pt idx="100">
                  <c:v>43291</c:v>
                </c:pt>
                <c:pt idx="101">
                  <c:v>43292</c:v>
                </c:pt>
                <c:pt idx="102">
                  <c:v>43293</c:v>
                </c:pt>
                <c:pt idx="103">
                  <c:v>43294</c:v>
                </c:pt>
                <c:pt idx="104">
                  <c:v>43295</c:v>
                </c:pt>
                <c:pt idx="105">
                  <c:v>43296</c:v>
                </c:pt>
                <c:pt idx="106">
                  <c:v>43297</c:v>
                </c:pt>
                <c:pt idx="107">
                  <c:v>43298</c:v>
                </c:pt>
                <c:pt idx="108">
                  <c:v>43299</c:v>
                </c:pt>
                <c:pt idx="109">
                  <c:v>43300</c:v>
                </c:pt>
                <c:pt idx="110">
                  <c:v>43301</c:v>
                </c:pt>
                <c:pt idx="111">
                  <c:v>43302</c:v>
                </c:pt>
                <c:pt idx="112">
                  <c:v>43303</c:v>
                </c:pt>
                <c:pt idx="113">
                  <c:v>43304</c:v>
                </c:pt>
                <c:pt idx="114">
                  <c:v>43305</c:v>
                </c:pt>
                <c:pt idx="115">
                  <c:v>43306</c:v>
                </c:pt>
                <c:pt idx="116">
                  <c:v>43307</c:v>
                </c:pt>
                <c:pt idx="117">
                  <c:v>43308</c:v>
                </c:pt>
                <c:pt idx="118">
                  <c:v>43309</c:v>
                </c:pt>
                <c:pt idx="119">
                  <c:v>43310</c:v>
                </c:pt>
                <c:pt idx="120">
                  <c:v>43311</c:v>
                </c:pt>
                <c:pt idx="121">
                  <c:v>43312</c:v>
                </c:pt>
                <c:pt idx="122">
                  <c:v>43313</c:v>
                </c:pt>
                <c:pt idx="123">
                  <c:v>43314</c:v>
                </c:pt>
                <c:pt idx="124">
                  <c:v>43315</c:v>
                </c:pt>
                <c:pt idx="125">
                  <c:v>43316</c:v>
                </c:pt>
                <c:pt idx="126">
                  <c:v>43317</c:v>
                </c:pt>
                <c:pt idx="127">
                  <c:v>43318</c:v>
                </c:pt>
                <c:pt idx="128">
                  <c:v>43319</c:v>
                </c:pt>
                <c:pt idx="129">
                  <c:v>43320</c:v>
                </c:pt>
                <c:pt idx="130">
                  <c:v>43321</c:v>
                </c:pt>
                <c:pt idx="131">
                  <c:v>43322</c:v>
                </c:pt>
                <c:pt idx="132">
                  <c:v>43323</c:v>
                </c:pt>
                <c:pt idx="133">
                  <c:v>43324</c:v>
                </c:pt>
                <c:pt idx="134">
                  <c:v>43325</c:v>
                </c:pt>
                <c:pt idx="135">
                  <c:v>43326</c:v>
                </c:pt>
                <c:pt idx="136">
                  <c:v>43327</c:v>
                </c:pt>
                <c:pt idx="137">
                  <c:v>43328</c:v>
                </c:pt>
                <c:pt idx="138">
                  <c:v>43329</c:v>
                </c:pt>
                <c:pt idx="139">
                  <c:v>43330</c:v>
                </c:pt>
                <c:pt idx="140">
                  <c:v>43331</c:v>
                </c:pt>
                <c:pt idx="141">
                  <c:v>43332</c:v>
                </c:pt>
                <c:pt idx="142">
                  <c:v>43333</c:v>
                </c:pt>
                <c:pt idx="143">
                  <c:v>43334</c:v>
                </c:pt>
                <c:pt idx="144">
                  <c:v>43335</c:v>
                </c:pt>
                <c:pt idx="145">
                  <c:v>43336</c:v>
                </c:pt>
                <c:pt idx="146">
                  <c:v>43337</c:v>
                </c:pt>
                <c:pt idx="147">
                  <c:v>43338</c:v>
                </c:pt>
                <c:pt idx="148">
                  <c:v>43339</c:v>
                </c:pt>
                <c:pt idx="149">
                  <c:v>43340</c:v>
                </c:pt>
                <c:pt idx="150">
                  <c:v>43341</c:v>
                </c:pt>
                <c:pt idx="151">
                  <c:v>43342</c:v>
                </c:pt>
                <c:pt idx="152">
                  <c:v>43343</c:v>
                </c:pt>
                <c:pt idx="153">
                  <c:v>43344</c:v>
                </c:pt>
                <c:pt idx="154">
                  <c:v>43345</c:v>
                </c:pt>
                <c:pt idx="155">
                  <c:v>43346</c:v>
                </c:pt>
                <c:pt idx="156">
                  <c:v>43347</c:v>
                </c:pt>
                <c:pt idx="157">
                  <c:v>43348</c:v>
                </c:pt>
                <c:pt idx="158">
                  <c:v>43349</c:v>
                </c:pt>
                <c:pt idx="159">
                  <c:v>43350</c:v>
                </c:pt>
                <c:pt idx="160">
                  <c:v>43351</c:v>
                </c:pt>
                <c:pt idx="161">
                  <c:v>43352</c:v>
                </c:pt>
                <c:pt idx="162">
                  <c:v>43353</c:v>
                </c:pt>
                <c:pt idx="163">
                  <c:v>43354</c:v>
                </c:pt>
                <c:pt idx="164">
                  <c:v>43355</c:v>
                </c:pt>
                <c:pt idx="165">
                  <c:v>43356</c:v>
                </c:pt>
                <c:pt idx="166">
                  <c:v>43357</c:v>
                </c:pt>
                <c:pt idx="167">
                  <c:v>43358</c:v>
                </c:pt>
                <c:pt idx="168">
                  <c:v>43359</c:v>
                </c:pt>
                <c:pt idx="169">
                  <c:v>43360</c:v>
                </c:pt>
                <c:pt idx="170">
                  <c:v>43361</c:v>
                </c:pt>
                <c:pt idx="171">
                  <c:v>43362</c:v>
                </c:pt>
                <c:pt idx="172">
                  <c:v>43363</c:v>
                </c:pt>
                <c:pt idx="173">
                  <c:v>43364</c:v>
                </c:pt>
                <c:pt idx="174">
                  <c:v>43365</c:v>
                </c:pt>
                <c:pt idx="175">
                  <c:v>43366</c:v>
                </c:pt>
                <c:pt idx="176">
                  <c:v>43367</c:v>
                </c:pt>
                <c:pt idx="177">
                  <c:v>43368</c:v>
                </c:pt>
                <c:pt idx="178">
                  <c:v>43369</c:v>
                </c:pt>
                <c:pt idx="179">
                  <c:v>43370</c:v>
                </c:pt>
                <c:pt idx="180">
                  <c:v>43371</c:v>
                </c:pt>
                <c:pt idx="181">
                  <c:v>43374</c:v>
                </c:pt>
                <c:pt idx="182">
                  <c:v>43375</c:v>
                </c:pt>
                <c:pt idx="183">
                  <c:v>43376</c:v>
                </c:pt>
                <c:pt idx="184">
                  <c:v>43377</c:v>
                </c:pt>
                <c:pt idx="185">
                  <c:v>43378</c:v>
                </c:pt>
                <c:pt idx="186">
                  <c:v>43381</c:v>
                </c:pt>
                <c:pt idx="187">
                  <c:v>43382</c:v>
                </c:pt>
                <c:pt idx="188">
                  <c:v>43383</c:v>
                </c:pt>
                <c:pt idx="189">
                  <c:v>43384</c:v>
                </c:pt>
                <c:pt idx="190">
                  <c:v>43385</c:v>
                </c:pt>
                <c:pt idx="191">
                  <c:v>43388</c:v>
                </c:pt>
                <c:pt idx="192">
                  <c:v>43389</c:v>
                </c:pt>
                <c:pt idx="193">
                  <c:v>43390</c:v>
                </c:pt>
                <c:pt idx="194">
                  <c:v>43391</c:v>
                </c:pt>
                <c:pt idx="195">
                  <c:v>43392</c:v>
                </c:pt>
                <c:pt idx="196">
                  <c:v>43395</c:v>
                </c:pt>
                <c:pt idx="197">
                  <c:v>43396</c:v>
                </c:pt>
                <c:pt idx="198">
                  <c:v>43397</c:v>
                </c:pt>
                <c:pt idx="199">
                  <c:v>43398</c:v>
                </c:pt>
                <c:pt idx="200">
                  <c:v>43399</c:v>
                </c:pt>
                <c:pt idx="201">
                  <c:v>43402</c:v>
                </c:pt>
                <c:pt idx="202">
                  <c:v>43403</c:v>
                </c:pt>
                <c:pt idx="203">
                  <c:v>43404</c:v>
                </c:pt>
                <c:pt idx="204">
                  <c:v>43405</c:v>
                </c:pt>
                <c:pt idx="205">
                  <c:v>43406</c:v>
                </c:pt>
                <c:pt idx="206">
                  <c:v>43409</c:v>
                </c:pt>
                <c:pt idx="207">
                  <c:v>43410</c:v>
                </c:pt>
                <c:pt idx="208">
                  <c:v>43411</c:v>
                </c:pt>
                <c:pt idx="209">
                  <c:v>43412</c:v>
                </c:pt>
                <c:pt idx="210">
                  <c:v>43413</c:v>
                </c:pt>
                <c:pt idx="211">
                  <c:v>43416</c:v>
                </c:pt>
                <c:pt idx="212">
                  <c:v>43417</c:v>
                </c:pt>
                <c:pt idx="213">
                  <c:v>43418</c:v>
                </c:pt>
                <c:pt idx="214">
                  <c:v>43419</c:v>
                </c:pt>
                <c:pt idx="215">
                  <c:v>43420</c:v>
                </c:pt>
                <c:pt idx="216">
                  <c:v>43423</c:v>
                </c:pt>
                <c:pt idx="217">
                  <c:v>43424</c:v>
                </c:pt>
                <c:pt idx="218">
                  <c:v>43425</c:v>
                </c:pt>
                <c:pt idx="219">
                  <c:v>43426</c:v>
                </c:pt>
                <c:pt idx="220">
                  <c:v>43427</c:v>
                </c:pt>
                <c:pt idx="221">
                  <c:v>43430</c:v>
                </c:pt>
                <c:pt idx="222">
                  <c:v>43431</c:v>
                </c:pt>
                <c:pt idx="223">
                  <c:v>43432</c:v>
                </c:pt>
                <c:pt idx="224">
                  <c:v>43433</c:v>
                </c:pt>
                <c:pt idx="225">
                  <c:v>43434</c:v>
                </c:pt>
                <c:pt idx="226">
                  <c:v>43437</c:v>
                </c:pt>
                <c:pt idx="227">
                  <c:v>43438</c:v>
                </c:pt>
                <c:pt idx="228">
                  <c:v>43439</c:v>
                </c:pt>
                <c:pt idx="229">
                  <c:v>43440</c:v>
                </c:pt>
                <c:pt idx="230">
                  <c:v>43441</c:v>
                </c:pt>
                <c:pt idx="231">
                  <c:v>43444</c:v>
                </c:pt>
                <c:pt idx="232">
                  <c:v>43445</c:v>
                </c:pt>
                <c:pt idx="233">
                  <c:v>43446</c:v>
                </c:pt>
                <c:pt idx="234">
                  <c:v>43447</c:v>
                </c:pt>
                <c:pt idx="235">
                  <c:v>43448</c:v>
                </c:pt>
                <c:pt idx="236">
                  <c:v>43451</c:v>
                </c:pt>
                <c:pt idx="237">
                  <c:v>43452</c:v>
                </c:pt>
                <c:pt idx="238">
                  <c:v>43453</c:v>
                </c:pt>
                <c:pt idx="239">
                  <c:v>43454</c:v>
                </c:pt>
                <c:pt idx="240">
                  <c:v>43455</c:v>
                </c:pt>
                <c:pt idx="241">
                  <c:v>43458</c:v>
                </c:pt>
                <c:pt idx="242">
                  <c:v>43459</c:v>
                </c:pt>
                <c:pt idx="243">
                  <c:v>43460</c:v>
                </c:pt>
                <c:pt idx="244">
                  <c:v>43461</c:v>
                </c:pt>
                <c:pt idx="245">
                  <c:v>43462</c:v>
                </c:pt>
                <c:pt idx="246">
                  <c:v>43465</c:v>
                </c:pt>
                <c:pt idx="247">
                  <c:v>43466</c:v>
                </c:pt>
                <c:pt idx="248">
                  <c:v>43467</c:v>
                </c:pt>
                <c:pt idx="249">
                  <c:v>43468</c:v>
                </c:pt>
                <c:pt idx="250">
                  <c:v>43469</c:v>
                </c:pt>
                <c:pt idx="251">
                  <c:v>43472</c:v>
                </c:pt>
                <c:pt idx="252">
                  <c:v>43473</c:v>
                </c:pt>
                <c:pt idx="253">
                  <c:v>43474</c:v>
                </c:pt>
                <c:pt idx="254">
                  <c:v>43475</c:v>
                </c:pt>
                <c:pt idx="255">
                  <c:v>43476</c:v>
                </c:pt>
                <c:pt idx="256">
                  <c:v>43479</c:v>
                </c:pt>
                <c:pt idx="257">
                  <c:v>43480</c:v>
                </c:pt>
                <c:pt idx="258">
                  <c:v>43481</c:v>
                </c:pt>
                <c:pt idx="259">
                  <c:v>43482</c:v>
                </c:pt>
                <c:pt idx="260">
                  <c:v>43483</c:v>
                </c:pt>
                <c:pt idx="261">
                  <c:v>43486</c:v>
                </c:pt>
                <c:pt idx="262">
                  <c:v>43487</c:v>
                </c:pt>
                <c:pt idx="263">
                  <c:v>43488</c:v>
                </c:pt>
                <c:pt idx="264">
                  <c:v>43489</c:v>
                </c:pt>
                <c:pt idx="265">
                  <c:v>43490</c:v>
                </c:pt>
                <c:pt idx="266">
                  <c:v>43493</c:v>
                </c:pt>
                <c:pt idx="267">
                  <c:v>43494</c:v>
                </c:pt>
                <c:pt idx="268">
                  <c:v>43495</c:v>
                </c:pt>
                <c:pt idx="269">
                  <c:v>43496</c:v>
                </c:pt>
                <c:pt idx="270">
                  <c:v>43497</c:v>
                </c:pt>
                <c:pt idx="271">
                  <c:v>43500</c:v>
                </c:pt>
                <c:pt idx="272">
                  <c:v>43501</c:v>
                </c:pt>
                <c:pt idx="273">
                  <c:v>43502</c:v>
                </c:pt>
                <c:pt idx="274">
                  <c:v>43503</c:v>
                </c:pt>
                <c:pt idx="275">
                  <c:v>43504</c:v>
                </c:pt>
                <c:pt idx="276">
                  <c:v>43507</c:v>
                </c:pt>
                <c:pt idx="277">
                  <c:v>43508</c:v>
                </c:pt>
                <c:pt idx="278">
                  <c:v>43509</c:v>
                </c:pt>
                <c:pt idx="279">
                  <c:v>43510</c:v>
                </c:pt>
                <c:pt idx="280">
                  <c:v>43511</c:v>
                </c:pt>
                <c:pt idx="281">
                  <c:v>43514</c:v>
                </c:pt>
                <c:pt idx="282">
                  <c:v>43515</c:v>
                </c:pt>
                <c:pt idx="283">
                  <c:v>43516</c:v>
                </c:pt>
                <c:pt idx="284">
                  <c:v>43517</c:v>
                </c:pt>
                <c:pt idx="285">
                  <c:v>43518</c:v>
                </c:pt>
                <c:pt idx="286">
                  <c:v>43521</c:v>
                </c:pt>
                <c:pt idx="287">
                  <c:v>43522</c:v>
                </c:pt>
                <c:pt idx="288">
                  <c:v>43523</c:v>
                </c:pt>
                <c:pt idx="289">
                  <c:v>43524</c:v>
                </c:pt>
              </c:numCache>
            </c:numRef>
          </c:cat>
          <c:val>
            <c:numRef>
              <c:f>Index_Charts!$G$3:$G$292</c:f>
              <c:numCache>
                <c:formatCode>0.00</c:formatCode>
                <c:ptCount val="290"/>
                <c:pt idx="0">
                  <c:v>100</c:v>
                </c:pt>
                <c:pt idx="1">
                  <c:v>100</c:v>
                </c:pt>
                <c:pt idx="2">
                  <c:v>100.28816969047681</c:v>
                </c:pt>
                <c:pt idx="3">
                  <c:v>98.090310892295875</c:v>
                </c:pt>
                <c:pt idx="4">
                  <c:v>98.090310892295875</c:v>
                </c:pt>
                <c:pt idx="5">
                  <c:v>99.174436371055634</c:v>
                </c:pt>
                <c:pt idx="6">
                  <c:v>99.174436371055634</c:v>
                </c:pt>
                <c:pt idx="7">
                  <c:v>99.174436371055634</c:v>
                </c:pt>
                <c:pt idx="8">
                  <c:v>100.4525912343512</c:v>
                </c:pt>
                <c:pt idx="9">
                  <c:v>102.1112949093788</c:v>
                </c:pt>
                <c:pt idx="10">
                  <c:v>102.67278052515201</c:v>
                </c:pt>
                <c:pt idx="11">
                  <c:v>102.45203430123171</c:v>
                </c:pt>
                <c:pt idx="12">
                  <c:v>102.3759378308452</c:v>
                </c:pt>
                <c:pt idx="13">
                  <c:v>102.3759378308452</c:v>
                </c:pt>
                <c:pt idx="14">
                  <c:v>102.3759378308452</c:v>
                </c:pt>
                <c:pt idx="15">
                  <c:v>100.738401601947</c:v>
                </c:pt>
                <c:pt idx="16">
                  <c:v>99.898216817120556</c:v>
                </c:pt>
                <c:pt idx="17">
                  <c:v>100.6342590961866</c:v>
                </c:pt>
                <c:pt idx="18">
                  <c:v>102.04383821292259</c:v>
                </c:pt>
                <c:pt idx="19">
                  <c:v>101.0798055917946</c:v>
                </c:pt>
                <c:pt idx="20">
                  <c:v>101.0798055917946</c:v>
                </c:pt>
                <c:pt idx="21">
                  <c:v>101.0798055917946</c:v>
                </c:pt>
                <c:pt idx="22">
                  <c:v>100.5350678454863</c:v>
                </c:pt>
                <c:pt idx="23">
                  <c:v>101.8039183368568</c:v>
                </c:pt>
                <c:pt idx="24">
                  <c:v>100.7801383560105</c:v>
                </c:pt>
                <c:pt idx="25">
                  <c:v>99.715219759295906</c:v>
                </c:pt>
                <c:pt idx="26">
                  <c:v>100.6223627920825</c:v>
                </c:pt>
                <c:pt idx="27">
                  <c:v>100.6223627920825</c:v>
                </c:pt>
                <c:pt idx="28">
                  <c:v>100.6223627920825</c:v>
                </c:pt>
                <c:pt idx="29">
                  <c:v>102.3761704401433</c:v>
                </c:pt>
                <c:pt idx="30">
                  <c:v>102.3761704401433</c:v>
                </c:pt>
                <c:pt idx="31">
                  <c:v>102.09514517810889</c:v>
                </c:pt>
                <c:pt idx="32">
                  <c:v>100.73102456420651</c:v>
                </c:pt>
                <c:pt idx="33">
                  <c:v>99.445459433270699</c:v>
                </c:pt>
                <c:pt idx="34">
                  <c:v>99.445459433270699</c:v>
                </c:pt>
                <c:pt idx="35">
                  <c:v>99.445459433270699</c:v>
                </c:pt>
                <c:pt idx="36">
                  <c:v>99.670625233855404</c:v>
                </c:pt>
                <c:pt idx="37">
                  <c:v>101.0282327874104</c:v>
                </c:pt>
                <c:pt idx="38">
                  <c:v>101.4712870405385</c:v>
                </c:pt>
                <c:pt idx="39">
                  <c:v>102.3787291424226</c:v>
                </c:pt>
                <c:pt idx="40">
                  <c:v>103.4182933256417</c:v>
                </c:pt>
                <c:pt idx="41">
                  <c:v>103.4182933256417</c:v>
                </c:pt>
                <c:pt idx="42">
                  <c:v>103.4182933256417</c:v>
                </c:pt>
                <c:pt idx="43">
                  <c:v>104.8106925842162</c:v>
                </c:pt>
                <c:pt idx="44">
                  <c:v>103.51788333513881</c:v>
                </c:pt>
                <c:pt idx="45">
                  <c:v>103.3788826645594</c:v>
                </c:pt>
                <c:pt idx="46">
                  <c:v>102.8204541995615</c:v>
                </c:pt>
                <c:pt idx="47">
                  <c:v>103.1718936191282</c:v>
                </c:pt>
                <c:pt idx="48">
                  <c:v>103.1718936191282</c:v>
                </c:pt>
                <c:pt idx="49">
                  <c:v>103.1718936191282</c:v>
                </c:pt>
                <c:pt idx="50">
                  <c:v>103.7914318697335</c:v>
                </c:pt>
                <c:pt idx="51">
                  <c:v>103.7914318697335</c:v>
                </c:pt>
                <c:pt idx="52">
                  <c:v>101.9016142420692</c:v>
                </c:pt>
                <c:pt idx="53">
                  <c:v>102.2165340018303</c:v>
                </c:pt>
                <c:pt idx="54">
                  <c:v>101.64375022014811</c:v>
                </c:pt>
                <c:pt idx="55">
                  <c:v>101.64375022014811</c:v>
                </c:pt>
                <c:pt idx="56">
                  <c:v>101.64375022014811</c:v>
                </c:pt>
                <c:pt idx="57">
                  <c:v>102.322371232477</c:v>
                </c:pt>
                <c:pt idx="58">
                  <c:v>101.2999536775198</c:v>
                </c:pt>
                <c:pt idx="59">
                  <c:v>99.878411796880187</c:v>
                </c:pt>
                <c:pt idx="60">
                  <c:v>101.246719378149</c:v>
                </c:pt>
                <c:pt idx="61">
                  <c:v>101.32763418399659</c:v>
                </c:pt>
                <c:pt idx="62">
                  <c:v>101.32763418399659</c:v>
                </c:pt>
                <c:pt idx="63">
                  <c:v>101.32763418399659</c:v>
                </c:pt>
                <c:pt idx="64">
                  <c:v>103.00597672976581</c:v>
                </c:pt>
                <c:pt idx="65">
                  <c:v>103.32322258250819</c:v>
                </c:pt>
                <c:pt idx="66">
                  <c:v>103.8736758715704</c:v>
                </c:pt>
                <c:pt idx="67">
                  <c:v>104.7161535194784</c:v>
                </c:pt>
                <c:pt idx="68">
                  <c:v>102.87382141853119</c:v>
                </c:pt>
                <c:pt idx="69">
                  <c:v>102.87382141853119</c:v>
                </c:pt>
                <c:pt idx="70">
                  <c:v>102.87382141853119</c:v>
                </c:pt>
                <c:pt idx="71">
                  <c:v>103.2243636308052</c:v>
                </c:pt>
                <c:pt idx="72">
                  <c:v>103.3551565161507</c:v>
                </c:pt>
                <c:pt idx="73">
                  <c:v>102.099365375375</c:v>
                </c:pt>
                <c:pt idx="74">
                  <c:v>101.1523796928095</c:v>
                </c:pt>
                <c:pt idx="75">
                  <c:v>100.7181313631104</c:v>
                </c:pt>
                <c:pt idx="76">
                  <c:v>100.7181313631104</c:v>
                </c:pt>
                <c:pt idx="77">
                  <c:v>100.7181313631104</c:v>
                </c:pt>
                <c:pt idx="78">
                  <c:v>100.7181313631104</c:v>
                </c:pt>
                <c:pt idx="79">
                  <c:v>97.922366979049883</c:v>
                </c:pt>
                <c:pt idx="80">
                  <c:v>98.680075152741153</c:v>
                </c:pt>
                <c:pt idx="81">
                  <c:v>97.350480404660388</c:v>
                </c:pt>
                <c:pt idx="82">
                  <c:v>97.492205927017864</c:v>
                </c:pt>
                <c:pt idx="83">
                  <c:v>97.492205927017864</c:v>
                </c:pt>
                <c:pt idx="84">
                  <c:v>97.492205927017864</c:v>
                </c:pt>
                <c:pt idx="85">
                  <c:v>96.238408580225908</c:v>
                </c:pt>
                <c:pt idx="86">
                  <c:v>95.972602612268844</c:v>
                </c:pt>
                <c:pt idx="87">
                  <c:v>94.227567657737353</c:v>
                </c:pt>
                <c:pt idx="88">
                  <c:v>94.696308623358348</c:v>
                </c:pt>
                <c:pt idx="89">
                  <c:v>96.217540203194176</c:v>
                </c:pt>
                <c:pt idx="90">
                  <c:v>96.217540203194176</c:v>
                </c:pt>
                <c:pt idx="91">
                  <c:v>96.217540203194176</c:v>
                </c:pt>
                <c:pt idx="92">
                  <c:v>96.217540203194176</c:v>
                </c:pt>
                <c:pt idx="93">
                  <c:v>94.856642889565748</c:v>
                </c:pt>
                <c:pt idx="94">
                  <c:v>93.846786236707175</c:v>
                </c:pt>
                <c:pt idx="95">
                  <c:v>93.64880249410335</c:v>
                </c:pt>
                <c:pt idx="96">
                  <c:v>94.092521345226103</c:v>
                </c:pt>
                <c:pt idx="97">
                  <c:v>94.092521345226103</c:v>
                </c:pt>
                <c:pt idx="98">
                  <c:v>94.092521345226103</c:v>
                </c:pt>
                <c:pt idx="99">
                  <c:v>95.331597846436622</c:v>
                </c:pt>
                <c:pt idx="100">
                  <c:v>95.310829159104102</c:v>
                </c:pt>
                <c:pt idx="101">
                  <c:v>94.079461994631345</c:v>
                </c:pt>
                <c:pt idx="102">
                  <c:v>94.641512518700139</c:v>
                </c:pt>
                <c:pt idx="103">
                  <c:v>94.789751101404988</c:v>
                </c:pt>
                <c:pt idx="104">
                  <c:v>94.789751101404988</c:v>
                </c:pt>
                <c:pt idx="105">
                  <c:v>94.789751101404988</c:v>
                </c:pt>
                <c:pt idx="106">
                  <c:v>94.837004018824047</c:v>
                </c:pt>
                <c:pt idx="107">
                  <c:v>93.647440068214337</c:v>
                </c:pt>
                <c:pt idx="108">
                  <c:v>93.433904732535851</c:v>
                </c:pt>
                <c:pt idx="109">
                  <c:v>93.079806920990578</c:v>
                </c:pt>
                <c:pt idx="110">
                  <c:v>93.789664039067745</c:v>
                </c:pt>
                <c:pt idx="111">
                  <c:v>93.789664039067745</c:v>
                </c:pt>
                <c:pt idx="112">
                  <c:v>93.789664039067745</c:v>
                </c:pt>
                <c:pt idx="113">
                  <c:v>93.894803441820102</c:v>
                </c:pt>
                <c:pt idx="114">
                  <c:v>95.245432716431253</c:v>
                </c:pt>
                <c:pt idx="115">
                  <c:v>96.103860716210647</c:v>
                </c:pt>
                <c:pt idx="116">
                  <c:v>95.639439637554773</c:v>
                </c:pt>
                <c:pt idx="117">
                  <c:v>95.716333625534915</c:v>
                </c:pt>
                <c:pt idx="118">
                  <c:v>95.716333625534915</c:v>
                </c:pt>
                <c:pt idx="119">
                  <c:v>95.716333625534915</c:v>
                </c:pt>
                <c:pt idx="120">
                  <c:v>95.479902888941012</c:v>
                </c:pt>
                <c:pt idx="121">
                  <c:v>94.981055634162743</c:v>
                </c:pt>
                <c:pt idx="122">
                  <c:v>94.175994853353075</c:v>
                </c:pt>
                <c:pt idx="123">
                  <c:v>92.095204991928455</c:v>
                </c:pt>
                <c:pt idx="124">
                  <c:v>91.968133855352903</c:v>
                </c:pt>
                <c:pt idx="125">
                  <c:v>91.968133855352903</c:v>
                </c:pt>
                <c:pt idx="126">
                  <c:v>91.968133855352903</c:v>
                </c:pt>
                <c:pt idx="127">
                  <c:v>92.444118939115555</c:v>
                </c:pt>
                <c:pt idx="128">
                  <c:v>93.870744994414025</c:v>
                </c:pt>
                <c:pt idx="129">
                  <c:v>94.237137868860202</c:v>
                </c:pt>
                <c:pt idx="130">
                  <c:v>95.061771060612003</c:v>
                </c:pt>
                <c:pt idx="131">
                  <c:v>94.261993833859776</c:v>
                </c:pt>
                <c:pt idx="132">
                  <c:v>94.261993833859776</c:v>
                </c:pt>
                <c:pt idx="133">
                  <c:v>94.261993833859776</c:v>
                </c:pt>
                <c:pt idx="134">
                  <c:v>92.832941995880788</c:v>
                </c:pt>
                <c:pt idx="135">
                  <c:v>92.222708117200455</c:v>
                </c:pt>
                <c:pt idx="136">
                  <c:v>90.796015602102514</c:v>
                </c:pt>
                <c:pt idx="137">
                  <c:v>90.053227653390877</c:v>
                </c:pt>
                <c:pt idx="138">
                  <c:v>90.429888566854174</c:v>
                </c:pt>
                <c:pt idx="139">
                  <c:v>90.429888566854174</c:v>
                </c:pt>
                <c:pt idx="140">
                  <c:v>90.429888566854174</c:v>
                </c:pt>
                <c:pt idx="141">
                  <c:v>91.707943740450546</c:v>
                </c:pt>
                <c:pt idx="142">
                  <c:v>92.222242898604236</c:v>
                </c:pt>
                <c:pt idx="143">
                  <c:v>92.80306831602158</c:v>
                </c:pt>
                <c:pt idx="144">
                  <c:v>92.3474199308951</c:v>
                </c:pt>
                <c:pt idx="145">
                  <c:v>91.953346549972125</c:v>
                </c:pt>
                <c:pt idx="146">
                  <c:v>91.953346549972125</c:v>
                </c:pt>
                <c:pt idx="147">
                  <c:v>91.953346549972125</c:v>
                </c:pt>
                <c:pt idx="148">
                  <c:v>93.945146739914222</c:v>
                </c:pt>
                <c:pt idx="149">
                  <c:v>94.212148984261646</c:v>
                </c:pt>
                <c:pt idx="150">
                  <c:v>94.427545194325106</c:v>
                </c:pt>
                <c:pt idx="151">
                  <c:v>93.588855754986596</c:v>
                </c:pt>
                <c:pt idx="152">
                  <c:v>92.673372017367214</c:v>
                </c:pt>
                <c:pt idx="153">
                  <c:v>92.673372017367214</c:v>
                </c:pt>
                <c:pt idx="154">
                  <c:v>92.673372017367214</c:v>
                </c:pt>
                <c:pt idx="155">
                  <c:v>92.088492552182515</c:v>
                </c:pt>
                <c:pt idx="156">
                  <c:v>92.955128337195745</c:v>
                </c:pt>
                <c:pt idx="157">
                  <c:v>90.531040381638746</c:v>
                </c:pt>
                <c:pt idx="158">
                  <c:v>89.637056389146053</c:v>
                </c:pt>
                <c:pt idx="159">
                  <c:v>89.632570352682151</c:v>
                </c:pt>
                <c:pt idx="160">
                  <c:v>89.632570352682151</c:v>
                </c:pt>
                <c:pt idx="161">
                  <c:v>89.632570352682151</c:v>
                </c:pt>
                <c:pt idx="162">
                  <c:v>88.436127812827905</c:v>
                </c:pt>
                <c:pt idx="163">
                  <c:v>87.801868716641266</c:v>
                </c:pt>
                <c:pt idx="164">
                  <c:v>87.544303763817851</c:v>
                </c:pt>
                <c:pt idx="165">
                  <c:v>89.768879401383302</c:v>
                </c:pt>
                <c:pt idx="166">
                  <c:v>90.672466834898515</c:v>
                </c:pt>
                <c:pt idx="167">
                  <c:v>90.672466834898515</c:v>
                </c:pt>
                <c:pt idx="168">
                  <c:v>90.672466834898515</c:v>
                </c:pt>
                <c:pt idx="169">
                  <c:v>89.497590499970471</c:v>
                </c:pt>
                <c:pt idx="170">
                  <c:v>90.002053607803447</c:v>
                </c:pt>
                <c:pt idx="171">
                  <c:v>91.074415702058019</c:v>
                </c:pt>
                <c:pt idx="172">
                  <c:v>91.308021897174683</c:v>
                </c:pt>
                <c:pt idx="173">
                  <c:v>92.88946605532513</c:v>
                </c:pt>
                <c:pt idx="174">
                  <c:v>92.88946605532513</c:v>
                </c:pt>
                <c:pt idx="175">
                  <c:v>92.88946605532513</c:v>
                </c:pt>
                <c:pt idx="176">
                  <c:v>91.380197239392842</c:v>
                </c:pt>
                <c:pt idx="177">
                  <c:v>91.380197239392842</c:v>
                </c:pt>
                <c:pt idx="178">
                  <c:v>92.435180096087578</c:v>
                </c:pt>
                <c:pt idx="179">
                  <c:v>92.098893510798675</c:v>
                </c:pt>
                <c:pt idx="180">
                  <c:v>92.340973330347097</c:v>
                </c:pt>
                <c:pt idx="181">
                  <c:v>92.340973330347097</c:v>
                </c:pt>
                <c:pt idx="182">
                  <c:v>90.140688749485747</c:v>
                </c:pt>
                <c:pt idx="183">
                  <c:v>90.023985341626584</c:v>
                </c:pt>
                <c:pt idx="184">
                  <c:v>88.470853058047965</c:v>
                </c:pt>
                <c:pt idx="185">
                  <c:v>88.300383672422271</c:v>
                </c:pt>
                <c:pt idx="186">
                  <c:v>87.070877382334515</c:v>
                </c:pt>
                <c:pt idx="187">
                  <c:v>86.972317499729144</c:v>
                </c:pt>
                <c:pt idx="188">
                  <c:v>87.03930897758903</c:v>
                </c:pt>
                <c:pt idx="189">
                  <c:v>83.959894169415321</c:v>
                </c:pt>
                <c:pt idx="190">
                  <c:v>85.738092563879476</c:v>
                </c:pt>
                <c:pt idx="191">
                  <c:v>84.55367924772824</c:v>
                </c:pt>
                <c:pt idx="192">
                  <c:v>84.610834675267455</c:v>
                </c:pt>
                <c:pt idx="193">
                  <c:v>84.610834675267455</c:v>
                </c:pt>
                <c:pt idx="194">
                  <c:v>84.585214422573998</c:v>
                </c:pt>
                <c:pt idx="195">
                  <c:v>84.940275901211507</c:v>
                </c:pt>
                <c:pt idx="196">
                  <c:v>86.906655217858557</c:v>
                </c:pt>
                <c:pt idx="197">
                  <c:v>84.226331505467286</c:v>
                </c:pt>
                <c:pt idx="198">
                  <c:v>83.904765765759777</c:v>
                </c:pt>
                <c:pt idx="199">
                  <c:v>83.056339965799779</c:v>
                </c:pt>
                <c:pt idx="200">
                  <c:v>82.13643665151605</c:v>
                </c:pt>
                <c:pt idx="201">
                  <c:v>82.450160134886772</c:v>
                </c:pt>
                <c:pt idx="202">
                  <c:v>81.697469676054979</c:v>
                </c:pt>
                <c:pt idx="203">
                  <c:v>83.007259403895503</c:v>
                </c:pt>
                <c:pt idx="204">
                  <c:v>84.457113159106754</c:v>
                </c:pt>
                <c:pt idx="205">
                  <c:v>88.013875476932128</c:v>
                </c:pt>
                <c:pt idx="206">
                  <c:v>86.179717931319104</c:v>
                </c:pt>
                <c:pt idx="207">
                  <c:v>86.799688170620854</c:v>
                </c:pt>
                <c:pt idx="208">
                  <c:v>86.888511692604766</c:v>
                </c:pt>
                <c:pt idx="209">
                  <c:v>87.154450580160812</c:v>
                </c:pt>
                <c:pt idx="210">
                  <c:v>85.074923454925965</c:v>
                </c:pt>
                <c:pt idx="211">
                  <c:v>85.178800121488422</c:v>
                </c:pt>
                <c:pt idx="212">
                  <c:v>85.709448390310413</c:v>
                </c:pt>
                <c:pt idx="213">
                  <c:v>85.249413658419243</c:v>
                </c:pt>
                <c:pt idx="214">
                  <c:v>86.741137087292955</c:v>
                </c:pt>
                <c:pt idx="215">
                  <c:v>87.007607653244662</c:v>
                </c:pt>
                <c:pt idx="216">
                  <c:v>87.633891573495504</c:v>
                </c:pt>
                <c:pt idx="217">
                  <c:v>85.867190724338698</c:v>
                </c:pt>
                <c:pt idx="218">
                  <c:v>86.302934399525697</c:v>
                </c:pt>
                <c:pt idx="219">
                  <c:v>86.462238538841405</c:v>
                </c:pt>
                <c:pt idx="220">
                  <c:v>86.157420668598874</c:v>
                </c:pt>
                <c:pt idx="221">
                  <c:v>87.647781671583544</c:v>
                </c:pt>
                <c:pt idx="222">
                  <c:v>87.50083905496821</c:v>
                </c:pt>
                <c:pt idx="223">
                  <c:v>88.665879339575653</c:v>
                </c:pt>
                <c:pt idx="224">
                  <c:v>87.896507471078365</c:v>
                </c:pt>
                <c:pt idx="225">
                  <c:v>88.081664472385626</c:v>
                </c:pt>
                <c:pt idx="226">
                  <c:v>90.325646371394612</c:v>
                </c:pt>
                <c:pt idx="227">
                  <c:v>90.586168785294305</c:v>
                </c:pt>
                <c:pt idx="228">
                  <c:v>89.121527724702247</c:v>
                </c:pt>
                <c:pt idx="229">
                  <c:v>86.917388475472023</c:v>
                </c:pt>
                <c:pt idx="230">
                  <c:v>86.609613144153286</c:v>
                </c:pt>
                <c:pt idx="231">
                  <c:v>85.574900526295153</c:v>
                </c:pt>
                <c:pt idx="232">
                  <c:v>85.639001002878345</c:v>
                </c:pt>
                <c:pt idx="233">
                  <c:v>87.018174761359461</c:v>
                </c:pt>
                <c:pt idx="234">
                  <c:v>88.140149095914126</c:v>
                </c:pt>
                <c:pt idx="235">
                  <c:v>86.712725523022002</c:v>
                </c:pt>
                <c:pt idx="236">
                  <c:v>86.690095961304465</c:v>
                </c:pt>
                <c:pt idx="237">
                  <c:v>85.780493915937654</c:v>
                </c:pt>
                <c:pt idx="238">
                  <c:v>85.950431623167617</c:v>
                </c:pt>
                <c:pt idx="239">
                  <c:v>85.146733268247061</c:v>
                </c:pt>
                <c:pt idx="240">
                  <c:v>85.578356435867278</c:v>
                </c:pt>
                <c:pt idx="241">
                  <c:v>85.239278539000907</c:v>
                </c:pt>
                <c:pt idx="242">
                  <c:v>85.239278539000907</c:v>
                </c:pt>
                <c:pt idx="243">
                  <c:v>85.239278539000907</c:v>
                </c:pt>
                <c:pt idx="244">
                  <c:v>84.666062768622211</c:v>
                </c:pt>
                <c:pt idx="245">
                  <c:v>84.750200874743882</c:v>
                </c:pt>
                <c:pt idx="246">
                  <c:v>85.885001950595083</c:v>
                </c:pt>
                <c:pt idx="247">
                  <c:v>85.885001950595083</c:v>
                </c:pt>
                <c:pt idx="248">
                  <c:v>83.507901073259276</c:v>
                </c:pt>
                <c:pt idx="249">
                  <c:v>83.288616964927201</c:v>
                </c:pt>
                <c:pt idx="250">
                  <c:v>85.155040743180024</c:v>
                </c:pt>
                <c:pt idx="251">
                  <c:v>85.851772050862976</c:v>
                </c:pt>
                <c:pt idx="252">
                  <c:v>85.983860902298133</c:v>
                </c:pt>
                <c:pt idx="253">
                  <c:v>87.934024027875907</c:v>
                </c:pt>
                <c:pt idx="254">
                  <c:v>88.130445965192337</c:v>
                </c:pt>
                <c:pt idx="255">
                  <c:v>88.615070822885244</c:v>
                </c:pt>
                <c:pt idx="256">
                  <c:v>87.389086902169154</c:v>
                </c:pt>
                <c:pt idx="257">
                  <c:v>89.156784648317995</c:v>
                </c:pt>
                <c:pt idx="258">
                  <c:v>89.395408558294164</c:v>
                </c:pt>
                <c:pt idx="259">
                  <c:v>88.908690216918146</c:v>
                </c:pt>
                <c:pt idx="260">
                  <c:v>90.022489996138674</c:v>
                </c:pt>
                <c:pt idx="261">
                  <c:v>90.373829726006178</c:v>
                </c:pt>
                <c:pt idx="262">
                  <c:v>89.738839572025441</c:v>
                </c:pt>
                <c:pt idx="263">
                  <c:v>89.747977794451771</c:v>
                </c:pt>
                <c:pt idx="264">
                  <c:v>90.122744603630395</c:v>
                </c:pt>
                <c:pt idx="265">
                  <c:v>91.612141939522871</c:v>
                </c:pt>
                <c:pt idx="266">
                  <c:v>91.637961571614738</c:v>
                </c:pt>
                <c:pt idx="267">
                  <c:v>91.487496585627824</c:v>
                </c:pt>
                <c:pt idx="268">
                  <c:v>91.856913380949564</c:v>
                </c:pt>
                <c:pt idx="269">
                  <c:v>92.852547636722704</c:v>
                </c:pt>
                <c:pt idx="270">
                  <c:v>92.813568964337051</c:v>
                </c:pt>
                <c:pt idx="271">
                  <c:v>93.011187178043812</c:v>
                </c:pt>
                <c:pt idx="272">
                  <c:v>93.011187178043812</c:v>
                </c:pt>
                <c:pt idx="273">
                  <c:v>93.011187178043812</c:v>
                </c:pt>
                <c:pt idx="274">
                  <c:v>93.011187178043812</c:v>
                </c:pt>
                <c:pt idx="275">
                  <c:v>92.865341148119583</c:v>
                </c:pt>
                <c:pt idx="276">
                  <c:v>93.521698127628042</c:v>
                </c:pt>
                <c:pt idx="277">
                  <c:v>93.613047121991585</c:v>
                </c:pt>
                <c:pt idx="278">
                  <c:v>94.697205830651086</c:v>
                </c:pt>
                <c:pt idx="279">
                  <c:v>94.479417067806907</c:v>
                </c:pt>
                <c:pt idx="280">
                  <c:v>92.714211564138054</c:v>
                </c:pt>
                <c:pt idx="281">
                  <c:v>94.196830000485122</c:v>
                </c:pt>
                <c:pt idx="282">
                  <c:v>93.801792952469881</c:v>
                </c:pt>
                <c:pt idx="283">
                  <c:v>94.751902245610154</c:v>
                </c:pt>
                <c:pt idx="284">
                  <c:v>95.136937093805983</c:v>
                </c:pt>
                <c:pt idx="285">
                  <c:v>95.756275965012904</c:v>
                </c:pt>
                <c:pt idx="286">
                  <c:v>96.231463531181944</c:v>
                </c:pt>
                <c:pt idx="287">
                  <c:v>95.609266888598086</c:v>
                </c:pt>
                <c:pt idx="288">
                  <c:v>95.560684775189756</c:v>
                </c:pt>
                <c:pt idx="289">
                  <c:v>95.147770041118676</c:v>
                </c:pt>
              </c:numCache>
            </c:numRef>
          </c:val>
          <c:smooth val="0"/>
        </c:ser>
        <c:ser>
          <c:idx val="5"/>
          <c:order val="5"/>
          <c:tx>
            <c:strRef>
              <c:f>Index_Charts!$H$1</c:f>
              <c:strCache>
                <c:ptCount val="1"/>
                <c:pt idx="0">
                  <c:v>NIKKEI 225</c:v>
                </c:pt>
              </c:strCache>
            </c:strRef>
          </c:tx>
          <c:spPr>
            <a:ln w="28575" cap="rnd">
              <a:solidFill>
                <a:schemeClr val="accent6"/>
              </a:solidFill>
              <a:round/>
            </a:ln>
            <a:effectLst/>
          </c:spPr>
          <c:marker>
            <c:symbol val="none"/>
          </c:marker>
          <c:cat>
            <c:numRef>
              <c:f>Index_Charts!$B$3:$B$292</c:f>
              <c:numCache>
                <c:formatCode>[$-409]mmmm\-yy;@</c:formatCode>
                <c:ptCount val="290"/>
                <c:pt idx="0">
                  <c:v>43191</c:v>
                </c:pt>
                <c:pt idx="1">
                  <c:v>43192</c:v>
                </c:pt>
                <c:pt idx="2">
                  <c:v>43193</c:v>
                </c:pt>
                <c:pt idx="3">
                  <c:v>43194</c:v>
                </c:pt>
                <c:pt idx="4">
                  <c:v>43195</c:v>
                </c:pt>
                <c:pt idx="5">
                  <c:v>43196</c:v>
                </c:pt>
                <c:pt idx="6">
                  <c:v>43197</c:v>
                </c:pt>
                <c:pt idx="7">
                  <c:v>43198</c:v>
                </c:pt>
                <c:pt idx="8">
                  <c:v>43199</c:v>
                </c:pt>
                <c:pt idx="9">
                  <c:v>43200</c:v>
                </c:pt>
                <c:pt idx="10">
                  <c:v>43201</c:v>
                </c:pt>
                <c:pt idx="11">
                  <c:v>43202</c:v>
                </c:pt>
                <c:pt idx="12">
                  <c:v>43203</c:v>
                </c:pt>
                <c:pt idx="13">
                  <c:v>43204</c:v>
                </c:pt>
                <c:pt idx="14">
                  <c:v>43205</c:v>
                </c:pt>
                <c:pt idx="15">
                  <c:v>43206</c:v>
                </c:pt>
                <c:pt idx="16">
                  <c:v>43207</c:v>
                </c:pt>
                <c:pt idx="17">
                  <c:v>43208</c:v>
                </c:pt>
                <c:pt idx="18">
                  <c:v>43209</c:v>
                </c:pt>
                <c:pt idx="19">
                  <c:v>43210</c:v>
                </c:pt>
                <c:pt idx="20">
                  <c:v>43211</c:v>
                </c:pt>
                <c:pt idx="21">
                  <c:v>43212</c:v>
                </c:pt>
                <c:pt idx="22">
                  <c:v>43213</c:v>
                </c:pt>
                <c:pt idx="23">
                  <c:v>43214</c:v>
                </c:pt>
                <c:pt idx="24">
                  <c:v>43215</c:v>
                </c:pt>
                <c:pt idx="25">
                  <c:v>43216</c:v>
                </c:pt>
                <c:pt idx="26">
                  <c:v>43217</c:v>
                </c:pt>
                <c:pt idx="27">
                  <c:v>43218</c:v>
                </c:pt>
                <c:pt idx="28">
                  <c:v>43219</c:v>
                </c:pt>
                <c:pt idx="29">
                  <c:v>43220</c:v>
                </c:pt>
                <c:pt idx="30">
                  <c:v>43221</c:v>
                </c:pt>
                <c:pt idx="31">
                  <c:v>43222</c:v>
                </c:pt>
                <c:pt idx="32">
                  <c:v>43223</c:v>
                </c:pt>
                <c:pt idx="33">
                  <c:v>43224</c:v>
                </c:pt>
                <c:pt idx="34">
                  <c:v>43225</c:v>
                </c:pt>
                <c:pt idx="35">
                  <c:v>43226</c:v>
                </c:pt>
                <c:pt idx="36">
                  <c:v>43227</c:v>
                </c:pt>
                <c:pt idx="37">
                  <c:v>43228</c:v>
                </c:pt>
                <c:pt idx="38">
                  <c:v>43229</c:v>
                </c:pt>
                <c:pt idx="39">
                  <c:v>43230</c:v>
                </c:pt>
                <c:pt idx="40">
                  <c:v>43231</c:v>
                </c:pt>
                <c:pt idx="41">
                  <c:v>43232</c:v>
                </c:pt>
                <c:pt idx="42">
                  <c:v>43233</c:v>
                </c:pt>
                <c:pt idx="43">
                  <c:v>43234</c:v>
                </c:pt>
                <c:pt idx="44">
                  <c:v>43235</c:v>
                </c:pt>
                <c:pt idx="45">
                  <c:v>43236</c:v>
                </c:pt>
                <c:pt idx="46">
                  <c:v>43237</c:v>
                </c:pt>
                <c:pt idx="47">
                  <c:v>43238</c:v>
                </c:pt>
                <c:pt idx="48">
                  <c:v>43239</c:v>
                </c:pt>
                <c:pt idx="49">
                  <c:v>43240</c:v>
                </c:pt>
                <c:pt idx="50">
                  <c:v>43241</c:v>
                </c:pt>
                <c:pt idx="51">
                  <c:v>43242</c:v>
                </c:pt>
                <c:pt idx="52">
                  <c:v>43243</c:v>
                </c:pt>
                <c:pt idx="53">
                  <c:v>43244</c:v>
                </c:pt>
                <c:pt idx="54">
                  <c:v>43245</c:v>
                </c:pt>
                <c:pt idx="55">
                  <c:v>43246</c:v>
                </c:pt>
                <c:pt idx="56">
                  <c:v>43247</c:v>
                </c:pt>
                <c:pt idx="57">
                  <c:v>43248</c:v>
                </c:pt>
                <c:pt idx="58">
                  <c:v>43249</c:v>
                </c:pt>
                <c:pt idx="59">
                  <c:v>43250</c:v>
                </c:pt>
                <c:pt idx="60">
                  <c:v>43251</c:v>
                </c:pt>
                <c:pt idx="61">
                  <c:v>43252</c:v>
                </c:pt>
                <c:pt idx="62">
                  <c:v>43253</c:v>
                </c:pt>
                <c:pt idx="63">
                  <c:v>43254</c:v>
                </c:pt>
                <c:pt idx="64">
                  <c:v>43255</c:v>
                </c:pt>
                <c:pt idx="65">
                  <c:v>43256</c:v>
                </c:pt>
                <c:pt idx="66">
                  <c:v>43257</c:v>
                </c:pt>
                <c:pt idx="67">
                  <c:v>43258</c:v>
                </c:pt>
                <c:pt idx="68">
                  <c:v>43259</c:v>
                </c:pt>
                <c:pt idx="69">
                  <c:v>43260</c:v>
                </c:pt>
                <c:pt idx="70">
                  <c:v>43261</c:v>
                </c:pt>
                <c:pt idx="71">
                  <c:v>43262</c:v>
                </c:pt>
                <c:pt idx="72">
                  <c:v>43263</c:v>
                </c:pt>
                <c:pt idx="73">
                  <c:v>43264</c:v>
                </c:pt>
                <c:pt idx="74">
                  <c:v>43265</c:v>
                </c:pt>
                <c:pt idx="75">
                  <c:v>43266</c:v>
                </c:pt>
                <c:pt idx="76">
                  <c:v>43267</c:v>
                </c:pt>
                <c:pt idx="77">
                  <c:v>43268</c:v>
                </c:pt>
                <c:pt idx="78">
                  <c:v>43269</c:v>
                </c:pt>
                <c:pt idx="79">
                  <c:v>43270</c:v>
                </c:pt>
                <c:pt idx="80">
                  <c:v>43271</c:v>
                </c:pt>
                <c:pt idx="81">
                  <c:v>43272</c:v>
                </c:pt>
                <c:pt idx="82">
                  <c:v>43273</c:v>
                </c:pt>
                <c:pt idx="83">
                  <c:v>43274</c:v>
                </c:pt>
                <c:pt idx="84">
                  <c:v>43275</c:v>
                </c:pt>
                <c:pt idx="85">
                  <c:v>43276</c:v>
                </c:pt>
                <c:pt idx="86">
                  <c:v>43277</c:v>
                </c:pt>
                <c:pt idx="87">
                  <c:v>43278</c:v>
                </c:pt>
                <c:pt idx="88">
                  <c:v>43279</c:v>
                </c:pt>
                <c:pt idx="89">
                  <c:v>43280</c:v>
                </c:pt>
                <c:pt idx="90">
                  <c:v>43281</c:v>
                </c:pt>
                <c:pt idx="91">
                  <c:v>43282</c:v>
                </c:pt>
                <c:pt idx="92">
                  <c:v>43283</c:v>
                </c:pt>
                <c:pt idx="93">
                  <c:v>43284</c:v>
                </c:pt>
                <c:pt idx="94">
                  <c:v>43285</c:v>
                </c:pt>
                <c:pt idx="95">
                  <c:v>43286</c:v>
                </c:pt>
                <c:pt idx="96">
                  <c:v>43287</c:v>
                </c:pt>
                <c:pt idx="97">
                  <c:v>43288</c:v>
                </c:pt>
                <c:pt idx="98">
                  <c:v>43289</c:v>
                </c:pt>
                <c:pt idx="99">
                  <c:v>43290</c:v>
                </c:pt>
                <c:pt idx="100">
                  <c:v>43291</c:v>
                </c:pt>
                <c:pt idx="101">
                  <c:v>43292</c:v>
                </c:pt>
                <c:pt idx="102">
                  <c:v>43293</c:v>
                </c:pt>
                <c:pt idx="103">
                  <c:v>43294</c:v>
                </c:pt>
                <c:pt idx="104">
                  <c:v>43295</c:v>
                </c:pt>
                <c:pt idx="105">
                  <c:v>43296</c:v>
                </c:pt>
                <c:pt idx="106">
                  <c:v>43297</c:v>
                </c:pt>
                <c:pt idx="107">
                  <c:v>43298</c:v>
                </c:pt>
                <c:pt idx="108">
                  <c:v>43299</c:v>
                </c:pt>
                <c:pt idx="109">
                  <c:v>43300</c:v>
                </c:pt>
                <c:pt idx="110">
                  <c:v>43301</c:v>
                </c:pt>
                <c:pt idx="111">
                  <c:v>43302</c:v>
                </c:pt>
                <c:pt idx="112">
                  <c:v>43303</c:v>
                </c:pt>
                <c:pt idx="113">
                  <c:v>43304</c:v>
                </c:pt>
                <c:pt idx="114">
                  <c:v>43305</c:v>
                </c:pt>
                <c:pt idx="115">
                  <c:v>43306</c:v>
                </c:pt>
                <c:pt idx="116">
                  <c:v>43307</c:v>
                </c:pt>
                <c:pt idx="117">
                  <c:v>43308</c:v>
                </c:pt>
                <c:pt idx="118">
                  <c:v>43309</c:v>
                </c:pt>
                <c:pt idx="119">
                  <c:v>43310</c:v>
                </c:pt>
                <c:pt idx="120">
                  <c:v>43311</c:v>
                </c:pt>
                <c:pt idx="121">
                  <c:v>43312</c:v>
                </c:pt>
                <c:pt idx="122">
                  <c:v>43313</c:v>
                </c:pt>
                <c:pt idx="123">
                  <c:v>43314</c:v>
                </c:pt>
                <c:pt idx="124">
                  <c:v>43315</c:v>
                </c:pt>
                <c:pt idx="125">
                  <c:v>43316</c:v>
                </c:pt>
                <c:pt idx="126">
                  <c:v>43317</c:v>
                </c:pt>
                <c:pt idx="127">
                  <c:v>43318</c:v>
                </c:pt>
                <c:pt idx="128">
                  <c:v>43319</c:v>
                </c:pt>
                <c:pt idx="129">
                  <c:v>43320</c:v>
                </c:pt>
                <c:pt idx="130">
                  <c:v>43321</c:v>
                </c:pt>
                <c:pt idx="131">
                  <c:v>43322</c:v>
                </c:pt>
                <c:pt idx="132">
                  <c:v>43323</c:v>
                </c:pt>
                <c:pt idx="133">
                  <c:v>43324</c:v>
                </c:pt>
                <c:pt idx="134">
                  <c:v>43325</c:v>
                </c:pt>
                <c:pt idx="135">
                  <c:v>43326</c:v>
                </c:pt>
                <c:pt idx="136">
                  <c:v>43327</c:v>
                </c:pt>
                <c:pt idx="137">
                  <c:v>43328</c:v>
                </c:pt>
                <c:pt idx="138">
                  <c:v>43329</c:v>
                </c:pt>
                <c:pt idx="139">
                  <c:v>43330</c:v>
                </c:pt>
                <c:pt idx="140">
                  <c:v>43331</c:v>
                </c:pt>
                <c:pt idx="141">
                  <c:v>43332</c:v>
                </c:pt>
                <c:pt idx="142">
                  <c:v>43333</c:v>
                </c:pt>
                <c:pt idx="143">
                  <c:v>43334</c:v>
                </c:pt>
                <c:pt idx="144">
                  <c:v>43335</c:v>
                </c:pt>
                <c:pt idx="145">
                  <c:v>43336</c:v>
                </c:pt>
                <c:pt idx="146">
                  <c:v>43337</c:v>
                </c:pt>
                <c:pt idx="147">
                  <c:v>43338</c:v>
                </c:pt>
                <c:pt idx="148">
                  <c:v>43339</c:v>
                </c:pt>
                <c:pt idx="149">
                  <c:v>43340</c:v>
                </c:pt>
                <c:pt idx="150">
                  <c:v>43341</c:v>
                </c:pt>
                <c:pt idx="151">
                  <c:v>43342</c:v>
                </c:pt>
                <c:pt idx="152">
                  <c:v>43343</c:v>
                </c:pt>
                <c:pt idx="153">
                  <c:v>43344</c:v>
                </c:pt>
                <c:pt idx="154">
                  <c:v>43345</c:v>
                </c:pt>
                <c:pt idx="155">
                  <c:v>43346</c:v>
                </c:pt>
                <c:pt idx="156">
                  <c:v>43347</c:v>
                </c:pt>
                <c:pt idx="157">
                  <c:v>43348</c:v>
                </c:pt>
                <c:pt idx="158">
                  <c:v>43349</c:v>
                </c:pt>
                <c:pt idx="159">
                  <c:v>43350</c:v>
                </c:pt>
                <c:pt idx="160">
                  <c:v>43351</c:v>
                </c:pt>
                <c:pt idx="161">
                  <c:v>43352</c:v>
                </c:pt>
                <c:pt idx="162">
                  <c:v>43353</c:v>
                </c:pt>
                <c:pt idx="163">
                  <c:v>43354</c:v>
                </c:pt>
                <c:pt idx="164">
                  <c:v>43355</c:v>
                </c:pt>
                <c:pt idx="165">
                  <c:v>43356</c:v>
                </c:pt>
                <c:pt idx="166">
                  <c:v>43357</c:v>
                </c:pt>
                <c:pt idx="167">
                  <c:v>43358</c:v>
                </c:pt>
                <c:pt idx="168">
                  <c:v>43359</c:v>
                </c:pt>
                <c:pt idx="169">
                  <c:v>43360</c:v>
                </c:pt>
                <c:pt idx="170">
                  <c:v>43361</c:v>
                </c:pt>
                <c:pt idx="171">
                  <c:v>43362</c:v>
                </c:pt>
                <c:pt idx="172">
                  <c:v>43363</c:v>
                </c:pt>
                <c:pt idx="173">
                  <c:v>43364</c:v>
                </c:pt>
                <c:pt idx="174">
                  <c:v>43365</c:v>
                </c:pt>
                <c:pt idx="175">
                  <c:v>43366</c:v>
                </c:pt>
                <c:pt idx="176">
                  <c:v>43367</c:v>
                </c:pt>
                <c:pt idx="177">
                  <c:v>43368</c:v>
                </c:pt>
                <c:pt idx="178">
                  <c:v>43369</c:v>
                </c:pt>
                <c:pt idx="179">
                  <c:v>43370</c:v>
                </c:pt>
                <c:pt idx="180">
                  <c:v>43371</c:v>
                </c:pt>
                <c:pt idx="181">
                  <c:v>43374</c:v>
                </c:pt>
                <c:pt idx="182">
                  <c:v>43375</c:v>
                </c:pt>
                <c:pt idx="183">
                  <c:v>43376</c:v>
                </c:pt>
                <c:pt idx="184">
                  <c:v>43377</c:v>
                </c:pt>
                <c:pt idx="185">
                  <c:v>43378</c:v>
                </c:pt>
                <c:pt idx="186">
                  <c:v>43381</c:v>
                </c:pt>
                <c:pt idx="187">
                  <c:v>43382</c:v>
                </c:pt>
                <c:pt idx="188">
                  <c:v>43383</c:v>
                </c:pt>
                <c:pt idx="189">
                  <c:v>43384</c:v>
                </c:pt>
                <c:pt idx="190">
                  <c:v>43385</c:v>
                </c:pt>
                <c:pt idx="191">
                  <c:v>43388</c:v>
                </c:pt>
                <c:pt idx="192">
                  <c:v>43389</c:v>
                </c:pt>
                <c:pt idx="193">
                  <c:v>43390</c:v>
                </c:pt>
                <c:pt idx="194">
                  <c:v>43391</c:v>
                </c:pt>
                <c:pt idx="195">
                  <c:v>43392</c:v>
                </c:pt>
                <c:pt idx="196">
                  <c:v>43395</c:v>
                </c:pt>
                <c:pt idx="197">
                  <c:v>43396</c:v>
                </c:pt>
                <c:pt idx="198">
                  <c:v>43397</c:v>
                </c:pt>
                <c:pt idx="199">
                  <c:v>43398</c:v>
                </c:pt>
                <c:pt idx="200">
                  <c:v>43399</c:v>
                </c:pt>
                <c:pt idx="201">
                  <c:v>43402</c:v>
                </c:pt>
                <c:pt idx="202">
                  <c:v>43403</c:v>
                </c:pt>
                <c:pt idx="203">
                  <c:v>43404</c:v>
                </c:pt>
                <c:pt idx="204">
                  <c:v>43405</c:v>
                </c:pt>
                <c:pt idx="205">
                  <c:v>43406</c:v>
                </c:pt>
                <c:pt idx="206">
                  <c:v>43409</c:v>
                </c:pt>
                <c:pt idx="207">
                  <c:v>43410</c:v>
                </c:pt>
                <c:pt idx="208">
                  <c:v>43411</c:v>
                </c:pt>
                <c:pt idx="209">
                  <c:v>43412</c:v>
                </c:pt>
                <c:pt idx="210">
                  <c:v>43413</c:v>
                </c:pt>
                <c:pt idx="211">
                  <c:v>43416</c:v>
                </c:pt>
                <c:pt idx="212">
                  <c:v>43417</c:v>
                </c:pt>
                <c:pt idx="213">
                  <c:v>43418</c:v>
                </c:pt>
                <c:pt idx="214">
                  <c:v>43419</c:v>
                </c:pt>
                <c:pt idx="215">
                  <c:v>43420</c:v>
                </c:pt>
                <c:pt idx="216">
                  <c:v>43423</c:v>
                </c:pt>
                <c:pt idx="217">
                  <c:v>43424</c:v>
                </c:pt>
                <c:pt idx="218">
                  <c:v>43425</c:v>
                </c:pt>
                <c:pt idx="219">
                  <c:v>43426</c:v>
                </c:pt>
                <c:pt idx="220">
                  <c:v>43427</c:v>
                </c:pt>
                <c:pt idx="221">
                  <c:v>43430</c:v>
                </c:pt>
                <c:pt idx="222">
                  <c:v>43431</c:v>
                </c:pt>
                <c:pt idx="223">
                  <c:v>43432</c:v>
                </c:pt>
                <c:pt idx="224">
                  <c:v>43433</c:v>
                </c:pt>
                <c:pt idx="225">
                  <c:v>43434</c:v>
                </c:pt>
                <c:pt idx="226">
                  <c:v>43437</c:v>
                </c:pt>
                <c:pt idx="227">
                  <c:v>43438</c:v>
                </c:pt>
                <c:pt idx="228">
                  <c:v>43439</c:v>
                </c:pt>
                <c:pt idx="229">
                  <c:v>43440</c:v>
                </c:pt>
                <c:pt idx="230">
                  <c:v>43441</c:v>
                </c:pt>
                <c:pt idx="231">
                  <c:v>43444</c:v>
                </c:pt>
                <c:pt idx="232">
                  <c:v>43445</c:v>
                </c:pt>
                <c:pt idx="233">
                  <c:v>43446</c:v>
                </c:pt>
                <c:pt idx="234">
                  <c:v>43447</c:v>
                </c:pt>
                <c:pt idx="235">
                  <c:v>43448</c:v>
                </c:pt>
                <c:pt idx="236">
                  <c:v>43451</c:v>
                </c:pt>
                <c:pt idx="237">
                  <c:v>43452</c:v>
                </c:pt>
                <c:pt idx="238">
                  <c:v>43453</c:v>
                </c:pt>
                <c:pt idx="239">
                  <c:v>43454</c:v>
                </c:pt>
                <c:pt idx="240">
                  <c:v>43455</c:v>
                </c:pt>
                <c:pt idx="241">
                  <c:v>43458</c:v>
                </c:pt>
                <c:pt idx="242">
                  <c:v>43459</c:v>
                </c:pt>
                <c:pt idx="243">
                  <c:v>43460</c:v>
                </c:pt>
                <c:pt idx="244">
                  <c:v>43461</c:v>
                </c:pt>
                <c:pt idx="245">
                  <c:v>43462</c:v>
                </c:pt>
                <c:pt idx="246">
                  <c:v>43465</c:v>
                </c:pt>
                <c:pt idx="247">
                  <c:v>43466</c:v>
                </c:pt>
                <c:pt idx="248">
                  <c:v>43467</c:v>
                </c:pt>
                <c:pt idx="249">
                  <c:v>43468</c:v>
                </c:pt>
                <c:pt idx="250">
                  <c:v>43469</c:v>
                </c:pt>
                <c:pt idx="251">
                  <c:v>43472</c:v>
                </c:pt>
                <c:pt idx="252">
                  <c:v>43473</c:v>
                </c:pt>
                <c:pt idx="253">
                  <c:v>43474</c:v>
                </c:pt>
                <c:pt idx="254">
                  <c:v>43475</c:v>
                </c:pt>
                <c:pt idx="255">
                  <c:v>43476</c:v>
                </c:pt>
                <c:pt idx="256">
                  <c:v>43479</c:v>
                </c:pt>
                <c:pt idx="257">
                  <c:v>43480</c:v>
                </c:pt>
                <c:pt idx="258">
                  <c:v>43481</c:v>
                </c:pt>
                <c:pt idx="259">
                  <c:v>43482</c:v>
                </c:pt>
                <c:pt idx="260">
                  <c:v>43483</c:v>
                </c:pt>
                <c:pt idx="261">
                  <c:v>43486</c:v>
                </c:pt>
                <c:pt idx="262">
                  <c:v>43487</c:v>
                </c:pt>
                <c:pt idx="263">
                  <c:v>43488</c:v>
                </c:pt>
                <c:pt idx="264">
                  <c:v>43489</c:v>
                </c:pt>
                <c:pt idx="265">
                  <c:v>43490</c:v>
                </c:pt>
                <c:pt idx="266">
                  <c:v>43493</c:v>
                </c:pt>
                <c:pt idx="267">
                  <c:v>43494</c:v>
                </c:pt>
                <c:pt idx="268">
                  <c:v>43495</c:v>
                </c:pt>
                <c:pt idx="269">
                  <c:v>43496</c:v>
                </c:pt>
                <c:pt idx="270">
                  <c:v>43497</c:v>
                </c:pt>
                <c:pt idx="271">
                  <c:v>43500</c:v>
                </c:pt>
                <c:pt idx="272">
                  <c:v>43501</c:v>
                </c:pt>
                <c:pt idx="273">
                  <c:v>43502</c:v>
                </c:pt>
                <c:pt idx="274">
                  <c:v>43503</c:v>
                </c:pt>
                <c:pt idx="275">
                  <c:v>43504</c:v>
                </c:pt>
                <c:pt idx="276">
                  <c:v>43507</c:v>
                </c:pt>
                <c:pt idx="277">
                  <c:v>43508</c:v>
                </c:pt>
                <c:pt idx="278">
                  <c:v>43509</c:v>
                </c:pt>
                <c:pt idx="279">
                  <c:v>43510</c:v>
                </c:pt>
                <c:pt idx="280">
                  <c:v>43511</c:v>
                </c:pt>
                <c:pt idx="281">
                  <c:v>43514</c:v>
                </c:pt>
                <c:pt idx="282">
                  <c:v>43515</c:v>
                </c:pt>
                <c:pt idx="283">
                  <c:v>43516</c:v>
                </c:pt>
                <c:pt idx="284">
                  <c:v>43517</c:v>
                </c:pt>
                <c:pt idx="285">
                  <c:v>43518</c:v>
                </c:pt>
                <c:pt idx="286">
                  <c:v>43521</c:v>
                </c:pt>
                <c:pt idx="287">
                  <c:v>43522</c:v>
                </c:pt>
                <c:pt idx="288">
                  <c:v>43523</c:v>
                </c:pt>
                <c:pt idx="289">
                  <c:v>43524</c:v>
                </c:pt>
              </c:numCache>
            </c:numRef>
          </c:cat>
          <c:val>
            <c:numRef>
              <c:f>Index_Charts!$H$3:$H$292</c:f>
              <c:numCache>
                <c:formatCode>0.00</c:formatCode>
                <c:ptCount val="290"/>
                <c:pt idx="0">
                  <c:v>100</c:v>
                </c:pt>
                <c:pt idx="1">
                  <c:v>99.693674461529852</c:v>
                </c:pt>
                <c:pt idx="2">
                  <c:v>99.244860004754301</c:v>
                </c:pt>
                <c:pt idx="3">
                  <c:v>99.371920780449614</c:v>
                </c:pt>
                <c:pt idx="4">
                  <c:v>100.89082375094971</c:v>
                </c:pt>
                <c:pt idx="5">
                  <c:v>100.52772637653059</c:v>
                </c:pt>
                <c:pt idx="6">
                  <c:v>100.52772637653059</c:v>
                </c:pt>
                <c:pt idx="7">
                  <c:v>100.52772637653059</c:v>
                </c:pt>
                <c:pt idx="8">
                  <c:v>101.0438932987793</c:v>
                </c:pt>
                <c:pt idx="9">
                  <c:v>101.5848571148907</c:v>
                </c:pt>
                <c:pt idx="10">
                  <c:v>101.08509716000989</c:v>
                </c:pt>
                <c:pt idx="11">
                  <c:v>100.96008725523561</c:v>
                </c:pt>
                <c:pt idx="12">
                  <c:v>101.512237640007</c:v>
                </c:pt>
                <c:pt idx="13">
                  <c:v>101.512237640007</c:v>
                </c:pt>
                <c:pt idx="14">
                  <c:v>101.512237640007</c:v>
                </c:pt>
                <c:pt idx="15">
                  <c:v>101.7769398209217</c:v>
                </c:pt>
                <c:pt idx="16">
                  <c:v>101.83315232843761</c:v>
                </c:pt>
                <c:pt idx="17">
                  <c:v>103.2809273665419</c:v>
                </c:pt>
                <c:pt idx="18">
                  <c:v>103.43464946421</c:v>
                </c:pt>
                <c:pt idx="19">
                  <c:v>103.2997580904527</c:v>
                </c:pt>
                <c:pt idx="20">
                  <c:v>103.2997580904527</c:v>
                </c:pt>
                <c:pt idx="21">
                  <c:v>103.2997580904527</c:v>
                </c:pt>
                <c:pt idx="22">
                  <c:v>102.95390667605091</c:v>
                </c:pt>
                <c:pt idx="23">
                  <c:v>103.83988291391471</c:v>
                </c:pt>
                <c:pt idx="24">
                  <c:v>103.54716770064741</c:v>
                </c:pt>
                <c:pt idx="25">
                  <c:v>104.03327071962261</c:v>
                </c:pt>
                <c:pt idx="26">
                  <c:v>104.7243209985877</c:v>
                </c:pt>
                <c:pt idx="27">
                  <c:v>104.7243209985877</c:v>
                </c:pt>
                <c:pt idx="28">
                  <c:v>104.7243209985877</c:v>
                </c:pt>
                <c:pt idx="29">
                  <c:v>104.7243209985877</c:v>
                </c:pt>
                <c:pt idx="30">
                  <c:v>104.91150958083</c:v>
                </c:pt>
                <c:pt idx="31">
                  <c:v>104.74720685363771</c:v>
                </c:pt>
                <c:pt idx="32">
                  <c:v>104.74720685363771</c:v>
                </c:pt>
                <c:pt idx="33">
                  <c:v>104.74720685363771</c:v>
                </c:pt>
                <c:pt idx="34">
                  <c:v>104.74720685363771</c:v>
                </c:pt>
                <c:pt idx="35">
                  <c:v>104.74720685363771</c:v>
                </c:pt>
                <c:pt idx="36">
                  <c:v>104.7210116386925</c:v>
                </c:pt>
                <c:pt idx="37">
                  <c:v>104.9145858872114</c:v>
                </c:pt>
                <c:pt idx="38">
                  <c:v>104.44936446306799</c:v>
                </c:pt>
                <c:pt idx="39">
                  <c:v>104.86093696834671</c:v>
                </c:pt>
                <c:pt idx="40">
                  <c:v>106.0788746311928</c:v>
                </c:pt>
                <c:pt idx="41">
                  <c:v>106.0788746311928</c:v>
                </c:pt>
                <c:pt idx="42">
                  <c:v>106.0788746311928</c:v>
                </c:pt>
                <c:pt idx="43">
                  <c:v>106.5793803573176</c:v>
                </c:pt>
                <c:pt idx="44">
                  <c:v>106.3563947553637</c:v>
                </c:pt>
                <c:pt idx="45">
                  <c:v>105.8866054823508</c:v>
                </c:pt>
                <c:pt idx="46">
                  <c:v>106.4512475354591</c:v>
                </c:pt>
                <c:pt idx="47">
                  <c:v>106.8800193900524</c:v>
                </c:pt>
                <c:pt idx="48">
                  <c:v>106.8800193900524</c:v>
                </c:pt>
                <c:pt idx="49">
                  <c:v>106.8800193900524</c:v>
                </c:pt>
                <c:pt idx="50">
                  <c:v>107.215663060552</c:v>
                </c:pt>
                <c:pt idx="51">
                  <c:v>107.0197582768955</c:v>
                </c:pt>
                <c:pt idx="52">
                  <c:v>105.7584726604923</c:v>
                </c:pt>
                <c:pt idx="53">
                  <c:v>104.5804803699025</c:v>
                </c:pt>
                <c:pt idx="54">
                  <c:v>104.6447099182914</c:v>
                </c:pt>
                <c:pt idx="55">
                  <c:v>104.6447099182914</c:v>
                </c:pt>
                <c:pt idx="56">
                  <c:v>104.6447099182914</c:v>
                </c:pt>
                <c:pt idx="57">
                  <c:v>104.7859403476226</c:v>
                </c:pt>
                <c:pt idx="58">
                  <c:v>104.2142134676965</c:v>
                </c:pt>
                <c:pt idx="59">
                  <c:v>102.629869070536</c:v>
                </c:pt>
                <c:pt idx="60">
                  <c:v>103.4842432519355</c:v>
                </c:pt>
                <c:pt idx="61">
                  <c:v>103.3422204406576</c:v>
                </c:pt>
                <c:pt idx="62">
                  <c:v>103.3422204406576</c:v>
                </c:pt>
                <c:pt idx="63">
                  <c:v>103.3422204406576</c:v>
                </c:pt>
                <c:pt idx="64">
                  <c:v>104.76193583570659</c:v>
                </c:pt>
                <c:pt idx="65">
                  <c:v>105.0583799051938</c:v>
                </c:pt>
                <c:pt idx="66">
                  <c:v>105.4601175521923</c:v>
                </c:pt>
                <c:pt idx="67">
                  <c:v>106.38081876360449</c:v>
                </c:pt>
                <c:pt idx="68">
                  <c:v>105.78065935500111</c:v>
                </c:pt>
                <c:pt idx="69">
                  <c:v>105.78065935500111</c:v>
                </c:pt>
                <c:pt idx="70">
                  <c:v>105.78065935500111</c:v>
                </c:pt>
                <c:pt idx="71">
                  <c:v>106.2912329929198</c:v>
                </c:pt>
                <c:pt idx="72">
                  <c:v>106.6375971250518</c:v>
                </c:pt>
                <c:pt idx="73">
                  <c:v>107.04791114135629</c:v>
                </c:pt>
                <c:pt idx="74">
                  <c:v>105.98625916482951</c:v>
                </c:pt>
                <c:pt idx="75">
                  <c:v>106.513612655738</c:v>
                </c:pt>
                <c:pt idx="76">
                  <c:v>106.513612655738</c:v>
                </c:pt>
                <c:pt idx="77">
                  <c:v>106.513612655738</c:v>
                </c:pt>
                <c:pt idx="78">
                  <c:v>105.714611989205</c:v>
                </c:pt>
                <c:pt idx="79">
                  <c:v>103.8415608992137</c:v>
                </c:pt>
                <c:pt idx="80">
                  <c:v>105.1324443118629</c:v>
                </c:pt>
                <c:pt idx="81">
                  <c:v>105.7738541923997</c:v>
                </c:pt>
                <c:pt idx="82">
                  <c:v>104.9525269992496</c:v>
                </c:pt>
                <c:pt idx="83">
                  <c:v>104.9525269992496</c:v>
                </c:pt>
                <c:pt idx="84">
                  <c:v>104.9525269992496</c:v>
                </c:pt>
                <c:pt idx="85">
                  <c:v>104.1196869625203</c:v>
                </c:pt>
                <c:pt idx="86">
                  <c:v>104.1376320830789</c:v>
                </c:pt>
                <c:pt idx="87">
                  <c:v>103.8102851176687</c:v>
                </c:pt>
                <c:pt idx="88">
                  <c:v>103.8038528406892</c:v>
                </c:pt>
                <c:pt idx="89">
                  <c:v>103.96288855847079</c:v>
                </c:pt>
                <c:pt idx="90">
                  <c:v>103.96288855847079</c:v>
                </c:pt>
                <c:pt idx="91">
                  <c:v>103.96288855847079</c:v>
                </c:pt>
                <c:pt idx="92">
                  <c:v>101.6669385624327</c:v>
                </c:pt>
                <c:pt idx="93">
                  <c:v>101.5439329178766</c:v>
                </c:pt>
                <c:pt idx="94">
                  <c:v>101.2246496040421</c:v>
                </c:pt>
                <c:pt idx="95">
                  <c:v>100.4320346037857</c:v>
                </c:pt>
                <c:pt idx="96">
                  <c:v>101.5560517005915</c:v>
                </c:pt>
                <c:pt idx="97">
                  <c:v>101.5560517005915</c:v>
                </c:pt>
                <c:pt idx="98">
                  <c:v>101.5560517005915</c:v>
                </c:pt>
                <c:pt idx="99">
                  <c:v>102.78676069599101</c:v>
                </c:pt>
                <c:pt idx="100">
                  <c:v>103.46126417548</c:v>
                </c:pt>
                <c:pt idx="101">
                  <c:v>102.22757209510441</c:v>
                </c:pt>
                <c:pt idx="102">
                  <c:v>103.4196408179246</c:v>
                </c:pt>
                <c:pt idx="103">
                  <c:v>105.327836377789</c:v>
                </c:pt>
                <c:pt idx="104">
                  <c:v>105.327836377789</c:v>
                </c:pt>
                <c:pt idx="105">
                  <c:v>105.327836377789</c:v>
                </c:pt>
                <c:pt idx="106">
                  <c:v>105.327836377789</c:v>
                </c:pt>
                <c:pt idx="107">
                  <c:v>105.7939900159875</c:v>
                </c:pt>
                <c:pt idx="108">
                  <c:v>106.2453214507115</c:v>
                </c:pt>
                <c:pt idx="109">
                  <c:v>106.1077732668976</c:v>
                </c:pt>
                <c:pt idx="110">
                  <c:v>105.7964137725305</c:v>
                </c:pt>
                <c:pt idx="111">
                  <c:v>105.7964137725305</c:v>
                </c:pt>
                <c:pt idx="112">
                  <c:v>105.7964137725305</c:v>
                </c:pt>
                <c:pt idx="113">
                  <c:v>104.39394433749879</c:v>
                </c:pt>
                <c:pt idx="114">
                  <c:v>104.9229292030036</c:v>
                </c:pt>
                <c:pt idx="115">
                  <c:v>105.40660846543599</c:v>
                </c:pt>
                <c:pt idx="116">
                  <c:v>105.2789883613075</c:v>
                </c:pt>
                <c:pt idx="117">
                  <c:v>105.8657238875191</c:v>
                </c:pt>
                <c:pt idx="118">
                  <c:v>105.8657238875191</c:v>
                </c:pt>
                <c:pt idx="119">
                  <c:v>105.8657238875191</c:v>
                </c:pt>
                <c:pt idx="120">
                  <c:v>105.0830835776511</c:v>
                </c:pt>
                <c:pt idx="121">
                  <c:v>105.12447388169269</c:v>
                </c:pt>
                <c:pt idx="122">
                  <c:v>106.02396722335379</c:v>
                </c:pt>
                <c:pt idx="123">
                  <c:v>104.9324843970673</c:v>
                </c:pt>
                <c:pt idx="124">
                  <c:v>104.99144693604551</c:v>
                </c:pt>
                <c:pt idx="125">
                  <c:v>104.99144693604551</c:v>
                </c:pt>
                <c:pt idx="126">
                  <c:v>104.99144693604551</c:v>
                </c:pt>
                <c:pt idx="127">
                  <c:v>104.9082002209348</c:v>
                </c:pt>
                <c:pt idx="128">
                  <c:v>105.63262376306849</c:v>
                </c:pt>
                <c:pt idx="129">
                  <c:v>105.546720237901</c:v>
                </c:pt>
                <c:pt idx="130">
                  <c:v>105.332683890875</c:v>
                </c:pt>
                <c:pt idx="131">
                  <c:v>103.9329178766028</c:v>
                </c:pt>
                <c:pt idx="132">
                  <c:v>103.9329178766028</c:v>
                </c:pt>
                <c:pt idx="133">
                  <c:v>103.9329178766028</c:v>
                </c:pt>
                <c:pt idx="134">
                  <c:v>101.8790172599432</c:v>
                </c:pt>
                <c:pt idx="135">
                  <c:v>104.2032599525503</c:v>
                </c:pt>
                <c:pt idx="136">
                  <c:v>103.4954298205954</c:v>
                </c:pt>
                <c:pt idx="137">
                  <c:v>103.4386579846465</c:v>
                </c:pt>
                <c:pt idx="138">
                  <c:v>103.80380622998651</c:v>
                </c:pt>
                <c:pt idx="139">
                  <c:v>103.80380622998651</c:v>
                </c:pt>
                <c:pt idx="140">
                  <c:v>103.80380622998651</c:v>
                </c:pt>
                <c:pt idx="141">
                  <c:v>103.4710990337601</c:v>
                </c:pt>
                <c:pt idx="142">
                  <c:v>103.56772302056</c:v>
                </c:pt>
                <c:pt idx="143">
                  <c:v>104.2334170772293</c:v>
                </c:pt>
                <c:pt idx="144">
                  <c:v>104.4584069394014</c:v>
                </c:pt>
                <c:pt idx="145">
                  <c:v>105.3484383084044</c:v>
                </c:pt>
                <c:pt idx="146">
                  <c:v>105.3484383084044</c:v>
                </c:pt>
                <c:pt idx="147">
                  <c:v>105.3484383084044</c:v>
                </c:pt>
                <c:pt idx="148">
                  <c:v>106.27072428371</c:v>
                </c:pt>
                <c:pt idx="149">
                  <c:v>106.3351868856127</c:v>
                </c:pt>
                <c:pt idx="150">
                  <c:v>106.4971590776674</c:v>
                </c:pt>
                <c:pt idx="151">
                  <c:v>106.5963466531185</c:v>
                </c:pt>
                <c:pt idx="152">
                  <c:v>106.57607099742241</c:v>
                </c:pt>
                <c:pt idx="153">
                  <c:v>106.57607099742241</c:v>
                </c:pt>
                <c:pt idx="154">
                  <c:v>106.57607099742241</c:v>
                </c:pt>
                <c:pt idx="155">
                  <c:v>105.8406939401426</c:v>
                </c:pt>
                <c:pt idx="156">
                  <c:v>105.791845923661</c:v>
                </c:pt>
                <c:pt idx="157">
                  <c:v>105.2508354968468</c:v>
                </c:pt>
                <c:pt idx="158">
                  <c:v>104.8178686790061</c:v>
                </c:pt>
                <c:pt idx="159">
                  <c:v>103.97477428767191</c:v>
                </c:pt>
                <c:pt idx="160">
                  <c:v>103.97477428767191</c:v>
                </c:pt>
                <c:pt idx="161">
                  <c:v>103.97477428767191</c:v>
                </c:pt>
                <c:pt idx="162">
                  <c:v>104.2825447579273</c:v>
                </c:pt>
                <c:pt idx="163">
                  <c:v>105.6417128501046</c:v>
                </c:pt>
                <c:pt idx="164">
                  <c:v>105.3616757479853</c:v>
                </c:pt>
                <c:pt idx="165">
                  <c:v>106.3717762872711</c:v>
                </c:pt>
                <c:pt idx="166">
                  <c:v>107.6458798469304</c:v>
                </c:pt>
                <c:pt idx="167">
                  <c:v>107.6458798469304</c:v>
                </c:pt>
                <c:pt idx="168">
                  <c:v>107.6458798469304</c:v>
                </c:pt>
                <c:pt idx="169">
                  <c:v>107.6458798469304</c:v>
                </c:pt>
                <c:pt idx="170">
                  <c:v>109.16478281743051</c:v>
                </c:pt>
                <c:pt idx="171">
                  <c:v>110.33927930531409</c:v>
                </c:pt>
                <c:pt idx="172">
                  <c:v>110.3505124846767</c:v>
                </c:pt>
                <c:pt idx="173">
                  <c:v>111.2594211882933</c:v>
                </c:pt>
                <c:pt idx="174">
                  <c:v>111.2594211882933</c:v>
                </c:pt>
                <c:pt idx="175">
                  <c:v>111.2594211882933</c:v>
                </c:pt>
                <c:pt idx="176">
                  <c:v>111.2594211882933</c:v>
                </c:pt>
                <c:pt idx="177">
                  <c:v>111.58723426073099</c:v>
                </c:pt>
                <c:pt idx="178">
                  <c:v>112.0231841635476</c:v>
                </c:pt>
                <c:pt idx="179">
                  <c:v>110.9182774548692</c:v>
                </c:pt>
                <c:pt idx="180">
                  <c:v>112.4252014747626</c:v>
                </c:pt>
                <c:pt idx="181">
                  <c:v>113.0111912297302</c:v>
                </c:pt>
                <c:pt idx="182">
                  <c:v>113.1270654367656</c:v>
                </c:pt>
                <c:pt idx="183">
                  <c:v>112.382878956666</c:v>
                </c:pt>
                <c:pt idx="184">
                  <c:v>111.75204970565341</c:v>
                </c:pt>
                <c:pt idx="185">
                  <c:v>110.8575903198893</c:v>
                </c:pt>
                <c:pt idx="186">
                  <c:v>110.8575903198893</c:v>
                </c:pt>
                <c:pt idx="187">
                  <c:v>109.3924761003621</c:v>
                </c:pt>
                <c:pt idx="188">
                  <c:v>109.5633043259393</c:v>
                </c:pt>
                <c:pt idx="189">
                  <c:v>105.2975860317046</c:v>
                </c:pt>
                <c:pt idx="190">
                  <c:v>105.7814051262451</c:v>
                </c:pt>
                <c:pt idx="191">
                  <c:v>103.8080944146395</c:v>
                </c:pt>
                <c:pt idx="192">
                  <c:v>105.1035922868609</c:v>
                </c:pt>
                <c:pt idx="193">
                  <c:v>106.4640654787153</c:v>
                </c:pt>
                <c:pt idx="194">
                  <c:v>105.6112760612092</c:v>
                </c:pt>
                <c:pt idx="195">
                  <c:v>105.0236083209427</c:v>
                </c:pt>
                <c:pt idx="196">
                  <c:v>105.4092652754926</c:v>
                </c:pt>
                <c:pt idx="197">
                  <c:v>102.5937923866078</c:v>
                </c:pt>
                <c:pt idx="198">
                  <c:v>102.9685424367143</c:v>
                </c:pt>
                <c:pt idx="199">
                  <c:v>99.135045189076308</c:v>
                </c:pt>
                <c:pt idx="200">
                  <c:v>98.742909346844215</c:v>
                </c:pt>
                <c:pt idx="201">
                  <c:v>98.580704101275742</c:v>
                </c:pt>
                <c:pt idx="202">
                  <c:v>100.01393660012209</c:v>
                </c:pt>
                <c:pt idx="203">
                  <c:v>102.1728045193737</c:v>
                </c:pt>
                <c:pt idx="204">
                  <c:v>101.08766074866109</c:v>
                </c:pt>
                <c:pt idx="205">
                  <c:v>103.6792624322397</c:v>
                </c:pt>
                <c:pt idx="206">
                  <c:v>102.0727313405704</c:v>
                </c:pt>
                <c:pt idx="207">
                  <c:v>103.23221918216861</c:v>
                </c:pt>
                <c:pt idx="208">
                  <c:v>102.9434658786351</c:v>
                </c:pt>
                <c:pt idx="209">
                  <c:v>104.8131143873256</c:v>
                </c:pt>
                <c:pt idx="210">
                  <c:v>103.7099788853516</c:v>
                </c:pt>
                <c:pt idx="211">
                  <c:v>103.8014756948491</c:v>
                </c:pt>
                <c:pt idx="212">
                  <c:v>101.66036645334501</c:v>
                </c:pt>
                <c:pt idx="213">
                  <c:v>101.8279785404325</c:v>
                </c:pt>
                <c:pt idx="214">
                  <c:v>101.6282050684478</c:v>
                </c:pt>
                <c:pt idx="215">
                  <c:v>101.05358832495109</c:v>
                </c:pt>
                <c:pt idx="216">
                  <c:v>101.7099602410706</c:v>
                </c:pt>
                <c:pt idx="217">
                  <c:v>100.6004390728199</c:v>
                </c:pt>
                <c:pt idx="218">
                  <c:v>100.24815538143871</c:v>
                </c:pt>
                <c:pt idx="219">
                  <c:v>100.89609076036039</c:v>
                </c:pt>
                <c:pt idx="220">
                  <c:v>100.89609076036039</c:v>
                </c:pt>
                <c:pt idx="221">
                  <c:v>101.66726483735199</c:v>
                </c:pt>
                <c:pt idx="222">
                  <c:v>102.3216791039558</c:v>
                </c:pt>
                <c:pt idx="223">
                  <c:v>103.3686487091166</c:v>
                </c:pt>
                <c:pt idx="224">
                  <c:v>103.76754310324741</c:v>
                </c:pt>
                <c:pt idx="225">
                  <c:v>104.17986137977</c:v>
                </c:pt>
                <c:pt idx="226">
                  <c:v>105.22254280027779</c:v>
                </c:pt>
                <c:pt idx="227">
                  <c:v>102.711577632456</c:v>
                </c:pt>
                <c:pt idx="228">
                  <c:v>102.1675375099631</c:v>
                </c:pt>
                <c:pt idx="229">
                  <c:v>100.220561845411</c:v>
                </c:pt>
                <c:pt idx="230">
                  <c:v>101.0458509482947</c:v>
                </c:pt>
                <c:pt idx="231">
                  <c:v>98.905580699440222</c:v>
                </c:pt>
                <c:pt idx="232">
                  <c:v>98.572407396186222</c:v>
                </c:pt>
                <c:pt idx="233">
                  <c:v>100.6919358823173</c:v>
                </c:pt>
                <c:pt idx="234">
                  <c:v>101.68679472180401</c:v>
                </c:pt>
                <c:pt idx="235">
                  <c:v>99.629584745249232</c:v>
                </c:pt>
                <c:pt idx="236">
                  <c:v>100.24507907505721</c:v>
                </c:pt>
                <c:pt idx="237">
                  <c:v>98.420596337330977</c:v>
                </c:pt>
                <c:pt idx="238">
                  <c:v>97.826170045165753</c:v>
                </c:pt>
                <c:pt idx="239">
                  <c:v>95.051248467673162</c:v>
                </c:pt>
                <c:pt idx="240">
                  <c:v>93.996028768125754</c:v>
                </c:pt>
                <c:pt idx="241">
                  <c:v>93.996028768125754</c:v>
                </c:pt>
                <c:pt idx="242">
                  <c:v>89.286250308795914</c:v>
                </c:pt>
                <c:pt idx="243">
                  <c:v>90.084784868301469</c:v>
                </c:pt>
                <c:pt idx="244">
                  <c:v>93.58319777387284</c:v>
                </c:pt>
                <c:pt idx="245">
                  <c:v>93.290249507091829</c:v>
                </c:pt>
                <c:pt idx="246">
                  <c:v>93.290249507091829</c:v>
                </c:pt>
                <c:pt idx="247">
                  <c:v>93.290249507091829</c:v>
                </c:pt>
                <c:pt idx="248">
                  <c:v>93.290249507091829</c:v>
                </c:pt>
                <c:pt idx="249">
                  <c:v>93.290249507091829</c:v>
                </c:pt>
                <c:pt idx="250">
                  <c:v>91.179670275888725</c:v>
                </c:pt>
                <c:pt idx="251">
                  <c:v>93.403047407745774</c:v>
                </c:pt>
                <c:pt idx="252">
                  <c:v>94.172450278032827</c:v>
                </c:pt>
                <c:pt idx="253">
                  <c:v>95.211962170753651</c:v>
                </c:pt>
                <c:pt idx="254">
                  <c:v>93.984888810168556</c:v>
                </c:pt>
                <c:pt idx="255">
                  <c:v>94.897992477032574</c:v>
                </c:pt>
                <c:pt idx="256">
                  <c:v>94.897992477032574</c:v>
                </c:pt>
                <c:pt idx="257">
                  <c:v>95.809651212111305</c:v>
                </c:pt>
                <c:pt idx="258">
                  <c:v>95.285094363367733</c:v>
                </c:pt>
                <c:pt idx="259">
                  <c:v>95.096414238637493</c:v>
                </c:pt>
                <c:pt idx="260">
                  <c:v>96.326004577170977</c:v>
                </c:pt>
                <c:pt idx="261">
                  <c:v>96.574253180015205</c:v>
                </c:pt>
                <c:pt idx="262">
                  <c:v>96.124832784103859</c:v>
                </c:pt>
                <c:pt idx="263">
                  <c:v>95.988776142777866</c:v>
                </c:pt>
                <c:pt idx="264">
                  <c:v>95.899796311228954</c:v>
                </c:pt>
                <c:pt idx="265">
                  <c:v>96.827023021026093</c:v>
                </c:pt>
                <c:pt idx="266">
                  <c:v>96.246440107577499</c:v>
                </c:pt>
                <c:pt idx="267">
                  <c:v>96.319339246677828</c:v>
                </c:pt>
                <c:pt idx="268">
                  <c:v>95.815477549955006</c:v>
                </c:pt>
                <c:pt idx="269">
                  <c:v>96.826696746106848</c:v>
                </c:pt>
                <c:pt idx="270">
                  <c:v>96.896146693203676</c:v>
                </c:pt>
                <c:pt idx="271">
                  <c:v>97.340719576029045</c:v>
                </c:pt>
                <c:pt idx="272">
                  <c:v>97.157446292817752</c:v>
                </c:pt>
                <c:pt idx="273">
                  <c:v>97.295460583659207</c:v>
                </c:pt>
                <c:pt idx="274">
                  <c:v>96.723174375300061</c:v>
                </c:pt>
                <c:pt idx="275">
                  <c:v>94.774334282637952</c:v>
                </c:pt>
                <c:pt idx="276">
                  <c:v>94.774334282637952</c:v>
                </c:pt>
                <c:pt idx="277">
                  <c:v>97.249549041450905</c:v>
                </c:pt>
                <c:pt idx="278">
                  <c:v>98.555907207412929</c:v>
                </c:pt>
                <c:pt idx="279">
                  <c:v>98.533673902201429</c:v>
                </c:pt>
                <c:pt idx="280">
                  <c:v>97.419305220864828</c:v>
                </c:pt>
                <c:pt idx="281">
                  <c:v>99.196198431083715</c:v>
                </c:pt>
                <c:pt idx="282">
                  <c:v>99.293148692802845</c:v>
                </c:pt>
                <c:pt idx="283">
                  <c:v>99.893680987028262</c:v>
                </c:pt>
                <c:pt idx="284">
                  <c:v>100.0462844278303</c:v>
                </c:pt>
                <c:pt idx="285">
                  <c:v>99.865807786783961</c:v>
                </c:pt>
                <c:pt idx="286">
                  <c:v>100.34459292542761</c:v>
                </c:pt>
                <c:pt idx="287">
                  <c:v>99.977114144949965</c:v>
                </c:pt>
                <c:pt idx="288">
                  <c:v>100.4764079928033</c:v>
                </c:pt>
                <c:pt idx="289">
                  <c:v>99.677733601189487</c:v>
                </c:pt>
              </c:numCache>
            </c:numRef>
          </c:val>
          <c:smooth val="0"/>
        </c:ser>
        <c:ser>
          <c:idx val="6"/>
          <c:order val="6"/>
          <c:tx>
            <c:strRef>
              <c:f>Index_Charts!$I$1</c:f>
              <c:strCache>
                <c:ptCount val="1"/>
                <c:pt idx="0">
                  <c:v>MSCI Developed Market Index</c:v>
                </c:pt>
              </c:strCache>
            </c:strRef>
          </c:tx>
          <c:spPr>
            <a:ln w="28575" cap="rnd">
              <a:solidFill>
                <a:srgbClr val="FF0000"/>
              </a:solidFill>
              <a:round/>
            </a:ln>
            <a:effectLst/>
          </c:spPr>
          <c:marker>
            <c:symbol val="none"/>
          </c:marker>
          <c:cat>
            <c:numRef>
              <c:f>Index_Charts!$B$3:$B$292</c:f>
              <c:numCache>
                <c:formatCode>[$-409]mmmm\-yy;@</c:formatCode>
                <c:ptCount val="290"/>
                <c:pt idx="0">
                  <c:v>43191</c:v>
                </c:pt>
                <c:pt idx="1">
                  <c:v>43192</c:v>
                </c:pt>
                <c:pt idx="2">
                  <c:v>43193</c:v>
                </c:pt>
                <c:pt idx="3">
                  <c:v>43194</c:v>
                </c:pt>
                <c:pt idx="4">
                  <c:v>43195</c:v>
                </c:pt>
                <c:pt idx="5">
                  <c:v>43196</c:v>
                </c:pt>
                <c:pt idx="6">
                  <c:v>43197</c:v>
                </c:pt>
                <c:pt idx="7">
                  <c:v>43198</c:v>
                </c:pt>
                <c:pt idx="8">
                  <c:v>43199</c:v>
                </c:pt>
                <c:pt idx="9">
                  <c:v>43200</c:v>
                </c:pt>
                <c:pt idx="10">
                  <c:v>43201</c:v>
                </c:pt>
                <c:pt idx="11">
                  <c:v>43202</c:v>
                </c:pt>
                <c:pt idx="12">
                  <c:v>43203</c:v>
                </c:pt>
                <c:pt idx="13">
                  <c:v>43204</c:v>
                </c:pt>
                <c:pt idx="14">
                  <c:v>43205</c:v>
                </c:pt>
                <c:pt idx="15">
                  <c:v>43206</c:v>
                </c:pt>
                <c:pt idx="16">
                  <c:v>43207</c:v>
                </c:pt>
                <c:pt idx="17">
                  <c:v>43208</c:v>
                </c:pt>
                <c:pt idx="18">
                  <c:v>43209</c:v>
                </c:pt>
                <c:pt idx="19">
                  <c:v>43210</c:v>
                </c:pt>
                <c:pt idx="20">
                  <c:v>43211</c:v>
                </c:pt>
                <c:pt idx="21">
                  <c:v>43212</c:v>
                </c:pt>
                <c:pt idx="22">
                  <c:v>43213</c:v>
                </c:pt>
                <c:pt idx="23">
                  <c:v>43214</c:v>
                </c:pt>
                <c:pt idx="24">
                  <c:v>43215</c:v>
                </c:pt>
                <c:pt idx="25">
                  <c:v>43216</c:v>
                </c:pt>
                <c:pt idx="26">
                  <c:v>43217</c:v>
                </c:pt>
                <c:pt idx="27">
                  <c:v>43218</c:v>
                </c:pt>
                <c:pt idx="28">
                  <c:v>43219</c:v>
                </c:pt>
                <c:pt idx="29">
                  <c:v>43220</c:v>
                </c:pt>
                <c:pt idx="30">
                  <c:v>43221</c:v>
                </c:pt>
                <c:pt idx="31">
                  <c:v>43222</c:v>
                </c:pt>
                <c:pt idx="32">
                  <c:v>43223</c:v>
                </c:pt>
                <c:pt idx="33">
                  <c:v>43224</c:v>
                </c:pt>
                <c:pt idx="34">
                  <c:v>43225</c:v>
                </c:pt>
                <c:pt idx="35">
                  <c:v>43226</c:v>
                </c:pt>
                <c:pt idx="36">
                  <c:v>43227</c:v>
                </c:pt>
                <c:pt idx="37">
                  <c:v>43228</c:v>
                </c:pt>
                <c:pt idx="38">
                  <c:v>43229</c:v>
                </c:pt>
                <c:pt idx="39">
                  <c:v>43230</c:v>
                </c:pt>
                <c:pt idx="40">
                  <c:v>43231</c:v>
                </c:pt>
                <c:pt idx="41">
                  <c:v>43232</c:v>
                </c:pt>
                <c:pt idx="42">
                  <c:v>43233</c:v>
                </c:pt>
                <c:pt idx="43">
                  <c:v>43234</c:v>
                </c:pt>
                <c:pt idx="44">
                  <c:v>43235</c:v>
                </c:pt>
                <c:pt idx="45">
                  <c:v>43236</c:v>
                </c:pt>
                <c:pt idx="46">
                  <c:v>43237</c:v>
                </c:pt>
                <c:pt idx="47">
                  <c:v>43238</c:v>
                </c:pt>
                <c:pt idx="48">
                  <c:v>43239</c:v>
                </c:pt>
                <c:pt idx="49">
                  <c:v>43240</c:v>
                </c:pt>
                <c:pt idx="50">
                  <c:v>43241</c:v>
                </c:pt>
                <c:pt idx="51">
                  <c:v>43242</c:v>
                </c:pt>
                <c:pt idx="52">
                  <c:v>43243</c:v>
                </c:pt>
                <c:pt idx="53">
                  <c:v>43244</c:v>
                </c:pt>
                <c:pt idx="54">
                  <c:v>43245</c:v>
                </c:pt>
                <c:pt idx="55">
                  <c:v>43246</c:v>
                </c:pt>
                <c:pt idx="56">
                  <c:v>43247</c:v>
                </c:pt>
                <c:pt idx="57">
                  <c:v>43248</c:v>
                </c:pt>
                <c:pt idx="58">
                  <c:v>43249</c:v>
                </c:pt>
                <c:pt idx="59">
                  <c:v>43250</c:v>
                </c:pt>
                <c:pt idx="60">
                  <c:v>43251</c:v>
                </c:pt>
                <c:pt idx="61">
                  <c:v>43252</c:v>
                </c:pt>
                <c:pt idx="62">
                  <c:v>43253</c:v>
                </c:pt>
                <c:pt idx="63">
                  <c:v>43254</c:v>
                </c:pt>
                <c:pt idx="64">
                  <c:v>43255</c:v>
                </c:pt>
                <c:pt idx="65">
                  <c:v>43256</c:v>
                </c:pt>
                <c:pt idx="66">
                  <c:v>43257</c:v>
                </c:pt>
                <c:pt idx="67">
                  <c:v>43258</c:v>
                </c:pt>
                <c:pt idx="68">
                  <c:v>43259</c:v>
                </c:pt>
                <c:pt idx="69">
                  <c:v>43260</c:v>
                </c:pt>
                <c:pt idx="70">
                  <c:v>43261</c:v>
                </c:pt>
                <c:pt idx="71">
                  <c:v>43262</c:v>
                </c:pt>
                <c:pt idx="72">
                  <c:v>43263</c:v>
                </c:pt>
                <c:pt idx="73">
                  <c:v>43264</c:v>
                </c:pt>
                <c:pt idx="74">
                  <c:v>43265</c:v>
                </c:pt>
                <c:pt idx="75">
                  <c:v>43266</c:v>
                </c:pt>
                <c:pt idx="76">
                  <c:v>43267</c:v>
                </c:pt>
                <c:pt idx="77">
                  <c:v>43268</c:v>
                </c:pt>
                <c:pt idx="78">
                  <c:v>43269</c:v>
                </c:pt>
                <c:pt idx="79">
                  <c:v>43270</c:v>
                </c:pt>
                <c:pt idx="80">
                  <c:v>43271</c:v>
                </c:pt>
                <c:pt idx="81">
                  <c:v>43272</c:v>
                </c:pt>
                <c:pt idx="82">
                  <c:v>43273</c:v>
                </c:pt>
                <c:pt idx="83">
                  <c:v>43274</c:v>
                </c:pt>
                <c:pt idx="84">
                  <c:v>43275</c:v>
                </c:pt>
                <c:pt idx="85">
                  <c:v>43276</c:v>
                </c:pt>
                <c:pt idx="86">
                  <c:v>43277</c:v>
                </c:pt>
                <c:pt idx="87">
                  <c:v>43278</c:v>
                </c:pt>
                <c:pt idx="88">
                  <c:v>43279</c:v>
                </c:pt>
                <c:pt idx="89">
                  <c:v>43280</c:v>
                </c:pt>
                <c:pt idx="90">
                  <c:v>43281</c:v>
                </c:pt>
                <c:pt idx="91">
                  <c:v>43282</c:v>
                </c:pt>
                <c:pt idx="92">
                  <c:v>43283</c:v>
                </c:pt>
                <c:pt idx="93">
                  <c:v>43284</c:v>
                </c:pt>
                <c:pt idx="94">
                  <c:v>43285</c:v>
                </c:pt>
                <c:pt idx="95">
                  <c:v>43286</c:v>
                </c:pt>
                <c:pt idx="96">
                  <c:v>43287</c:v>
                </c:pt>
                <c:pt idx="97">
                  <c:v>43288</c:v>
                </c:pt>
                <c:pt idx="98">
                  <c:v>43289</c:v>
                </c:pt>
                <c:pt idx="99">
                  <c:v>43290</c:v>
                </c:pt>
                <c:pt idx="100">
                  <c:v>43291</c:v>
                </c:pt>
                <c:pt idx="101">
                  <c:v>43292</c:v>
                </c:pt>
                <c:pt idx="102">
                  <c:v>43293</c:v>
                </c:pt>
                <c:pt idx="103">
                  <c:v>43294</c:v>
                </c:pt>
                <c:pt idx="104">
                  <c:v>43295</c:v>
                </c:pt>
                <c:pt idx="105">
                  <c:v>43296</c:v>
                </c:pt>
                <c:pt idx="106">
                  <c:v>43297</c:v>
                </c:pt>
                <c:pt idx="107">
                  <c:v>43298</c:v>
                </c:pt>
                <c:pt idx="108">
                  <c:v>43299</c:v>
                </c:pt>
                <c:pt idx="109">
                  <c:v>43300</c:v>
                </c:pt>
                <c:pt idx="110">
                  <c:v>43301</c:v>
                </c:pt>
                <c:pt idx="111">
                  <c:v>43302</c:v>
                </c:pt>
                <c:pt idx="112">
                  <c:v>43303</c:v>
                </c:pt>
                <c:pt idx="113">
                  <c:v>43304</c:v>
                </c:pt>
                <c:pt idx="114">
                  <c:v>43305</c:v>
                </c:pt>
                <c:pt idx="115">
                  <c:v>43306</c:v>
                </c:pt>
                <c:pt idx="116">
                  <c:v>43307</c:v>
                </c:pt>
                <c:pt idx="117">
                  <c:v>43308</c:v>
                </c:pt>
                <c:pt idx="118">
                  <c:v>43309</c:v>
                </c:pt>
                <c:pt idx="119">
                  <c:v>43310</c:v>
                </c:pt>
                <c:pt idx="120">
                  <c:v>43311</c:v>
                </c:pt>
                <c:pt idx="121">
                  <c:v>43312</c:v>
                </c:pt>
                <c:pt idx="122">
                  <c:v>43313</c:v>
                </c:pt>
                <c:pt idx="123">
                  <c:v>43314</c:v>
                </c:pt>
                <c:pt idx="124">
                  <c:v>43315</c:v>
                </c:pt>
                <c:pt idx="125">
                  <c:v>43316</c:v>
                </c:pt>
                <c:pt idx="126">
                  <c:v>43317</c:v>
                </c:pt>
                <c:pt idx="127">
                  <c:v>43318</c:v>
                </c:pt>
                <c:pt idx="128">
                  <c:v>43319</c:v>
                </c:pt>
                <c:pt idx="129">
                  <c:v>43320</c:v>
                </c:pt>
                <c:pt idx="130">
                  <c:v>43321</c:v>
                </c:pt>
                <c:pt idx="131">
                  <c:v>43322</c:v>
                </c:pt>
                <c:pt idx="132">
                  <c:v>43323</c:v>
                </c:pt>
                <c:pt idx="133">
                  <c:v>43324</c:v>
                </c:pt>
                <c:pt idx="134">
                  <c:v>43325</c:v>
                </c:pt>
                <c:pt idx="135">
                  <c:v>43326</c:v>
                </c:pt>
                <c:pt idx="136">
                  <c:v>43327</c:v>
                </c:pt>
                <c:pt idx="137">
                  <c:v>43328</c:v>
                </c:pt>
                <c:pt idx="138">
                  <c:v>43329</c:v>
                </c:pt>
                <c:pt idx="139">
                  <c:v>43330</c:v>
                </c:pt>
                <c:pt idx="140">
                  <c:v>43331</c:v>
                </c:pt>
                <c:pt idx="141">
                  <c:v>43332</c:v>
                </c:pt>
                <c:pt idx="142">
                  <c:v>43333</c:v>
                </c:pt>
                <c:pt idx="143">
                  <c:v>43334</c:v>
                </c:pt>
                <c:pt idx="144">
                  <c:v>43335</c:v>
                </c:pt>
                <c:pt idx="145">
                  <c:v>43336</c:v>
                </c:pt>
                <c:pt idx="146">
                  <c:v>43337</c:v>
                </c:pt>
                <c:pt idx="147">
                  <c:v>43338</c:v>
                </c:pt>
                <c:pt idx="148">
                  <c:v>43339</c:v>
                </c:pt>
                <c:pt idx="149">
                  <c:v>43340</c:v>
                </c:pt>
                <c:pt idx="150">
                  <c:v>43341</c:v>
                </c:pt>
                <c:pt idx="151">
                  <c:v>43342</c:v>
                </c:pt>
                <c:pt idx="152">
                  <c:v>43343</c:v>
                </c:pt>
                <c:pt idx="153">
                  <c:v>43344</c:v>
                </c:pt>
                <c:pt idx="154">
                  <c:v>43345</c:v>
                </c:pt>
                <c:pt idx="155">
                  <c:v>43346</c:v>
                </c:pt>
                <c:pt idx="156">
                  <c:v>43347</c:v>
                </c:pt>
                <c:pt idx="157">
                  <c:v>43348</c:v>
                </c:pt>
                <c:pt idx="158">
                  <c:v>43349</c:v>
                </c:pt>
                <c:pt idx="159">
                  <c:v>43350</c:v>
                </c:pt>
                <c:pt idx="160">
                  <c:v>43351</c:v>
                </c:pt>
                <c:pt idx="161">
                  <c:v>43352</c:v>
                </c:pt>
                <c:pt idx="162">
                  <c:v>43353</c:v>
                </c:pt>
                <c:pt idx="163">
                  <c:v>43354</c:v>
                </c:pt>
                <c:pt idx="164">
                  <c:v>43355</c:v>
                </c:pt>
                <c:pt idx="165">
                  <c:v>43356</c:v>
                </c:pt>
                <c:pt idx="166">
                  <c:v>43357</c:v>
                </c:pt>
                <c:pt idx="167">
                  <c:v>43358</c:v>
                </c:pt>
                <c:pt idx="168">
                  <c:v>43359</c:v>
                </c:pt>
                <c:pt idx="169">
                  <c:v>43360</c:v>
                </c:pt>
                <c:pt idx="170">
                  <c:v>43361</c:v>
                </c:pt>
                <c:pt idx="171">
                  <c:v>43362</c:v>
                </c:pt>
                <c:pt idx="172">
                  <c:v>43363</c:v>
                </c:pt>
                <c:pt idx="173">
                  <c:v>43364</c:v>
                </c:pt>
                <c:pt idx="174">
                  <c:v>43365</c:v>
                </c:pt>
                <c:pt idx="175">
                  <c:v>43366</c:v>
                </c:pt>
                <c:pt idx="176">
                  <c:v>43367</c:v>
                </c:pt>
                <c:pt idx="177">
                  <c:v>43368</c:v>
                </c:pt>
                <c:pt idx="178">
                  <c:v>43369</c:v>
                </c:pt>
                <c:pt idx="179">
                  <c:v>43370</c:v>
                </c:pt>
                <c:pt idx="180">
                  <c:v>43371</c:v>
                </c:pt>
                <c:pt idx="181">
                  <c:v>43374</c:v>
                </c:pt>
                <c:pt idx="182">
                  <c:v>43375</c:v>
                </c:pt>
                <c:pt idx="183">
                  <c:v>43376</c:v>
                </c:pt>
                <c:pt idx="184">
                  <c:v>43377</c:v>
                </c:pt>
                <c:pt idx="185">
                  <c:v>43378</c:v>
                </c:pt>
                <c:pt idx="186">
                  <c:v>43381</c:v>
                </c:pt>
                <c:pt idx="187">
                  <c:v>43382</c:v>
                </c:pt>
                <c:pt idx="188">
                  <c:v>43383</c:v>
                </c:pt>
                <c:pt idx="189">
                  <c:v>43384</c:v>
                </c:pt>
                <c:pt idx="190">
                  <c:v>43385</c:v>
                </c:pt>
                <c:pt idx="191">
                  <c:v>43388</c:v>
                </c:pt>
                <c:pt idx="192">
                  <c:v>43389</c:v>
                </c:pt>
                <c:pt idx="193">
                  <c:v>43390</c:v>
                </c:pt>
                <c:pt idx="194">
                  <c:v>43391</c:v>
                </c:pt>
                <c:pt idx="195">
                  <c:v>43392</c:v>
                </c:pt>
                <c:pt idx="196">
                  <c:v>43395</c:v>
                </c:pt>
                <c:pt idx="197">
                  <c:v>43396</c:v>
                </c:pt>
                <c:pt idx="198">
                  <c:v>43397</c:v>
                </c:pt>
                <c:pt idx="199">
                  <c:v>43398</c:v>
                </c:pt>
                <c:pt idx="200">
                  <c:v>43399</c:v>
                </c:pt>
                <c:pt idx="201">
                  <c:v>43402</c:v>
                </c:pt>
                <c:pt idx="202">
                  <c:v>43403</c:v>
                </c:pt>
                <c:pt idx="203">
                  <c:v>43404</c:v>
                </c:pt>
                <c:pt idx="204">
                  <c:v>43405</c:v>
                </c:pt>
                <c:pt idx="205">
                  <c:v>43406</c:v>
                </c:pt>
                <c:pt idx="206">
                  <c:v>43409</c:v>
                </c:pt>
                <c:pt idx="207">
                  <c:v>43410</c:v>
                </c:pt>
                <c:pt idx="208">
                  <c:v>43411</c:v>
                </c:pt>
                <c:pt idx="209">
                  <c:v>43412</c:v>
                </c:pt>
                <c:pt idx="210">
                  <c:v>43413</c:v>
                </c:pt>
                <c:pt idx="211">
                  <c:v>43416</c:v>
                </c:pt>
                <c:pt idx="212">
                  <c:v>43417</c:v>
                </c:pt>
                <c:pt idx="213">
                  <c:v>43418</c:v>
                </c:pt>
                <c:pt idx="214">
                  <c:v>43419</c:v>
                </c:pt>
                <c:pt idx="215">
                  <c:v>43420</c:v>
                </c:pt>
                <c:pt idx="216">
                  <c:v>43423</c:v>
                </c:pt>
                <c:pt idx="217">
                  <c:v>43424</c:v>
                </c:pt>
                <c:pt idx="218">
                  <c:v>43425</c:v>
                </c:pt>
                <c:pt idx="219">
                  <c:v>43426</c:v>
                </c:pt>
                <c:pt idx="220">
                  <c:v>43427</c:v>
                </c:pt>
                <c:pt idx="221">
                  <c:v>43430</c:v>
                </c:pt>
                <c:pt idx="222">
                  <c:v>43431</c:v>
                </c:pt>
                <c:pt idx="223">
                  <c:v>43432</c:v>
                </c:pt>
                <c:pt idx="224">
                  <c:v>43433</c:v>
                </c:pt>
                <c:pt idx="225">
                  <c:v>43434</c:v>
                </c:pt>
                <c:pt idx="226">
                  <c:v>43437</c:v>
                </c:pt>
                <c:pt idx="227">
                  <c:v>43438</c:v>
                </c:pt>
                <c:pt idx="228">
                  <c:v>43439</c:v>
                </c:pt>
                <c:pt idx="229">
                  <c:v>43440</c:v>
                </c:pt>
                <c:pt idx="230">
                  <c:v>43441</c:v>
                </c:pt>
                <c:pt idx="231">
                  <c:v>43444</c:v>
                </c:pt>
                <c:pt idx="232">
                  <c:v>43445</c:v>
                </c:pt>
                <c:pt idx="233">
                  <c:v>43446</c:v>
                </c:pt>
                <c:pt idx="234">
                  <c:v>43447</c:v>
                </c:pt>
                <c:pt idx="235">
                  <c:v>43448</c:v>
                </c:pt>
                <c:pt idx="236">
                  <c:v>43451</c:v>
                </c:pt>
                <c:pt idx="237">
                  <c:v>43452</c:v>
                </c:pt>
                <c:pt idx="238">
                  <c:v>43453</c:v>
                </c:pt>
                <c:pt idx="239">
                  <c:v>43454</c:v>
                </c:pt>
                <c:pt idx="240">
                  <c:v>43455</c:v>
                </c:pt>
                <c:pt idx="241">
                  <c:v>43458</c:v>
                </c:pt>
                <c:pt idx="242">
                  <c:v>43459</c:v>
                </c:pt>
                <c:pt idx="243">
                  <c:v>43460</c:v>
                </c:pt>
                <c:pt idx="244">
                  <c:v>43461</c:v>
                </c:pt>
                <c:pt idx="245">
                  <c:v>43462</c:v>
                </c:pt>
                <c:pt idx="246">
                  <c:v>43465</c:v>
                </c:pt>
                <c:pt idx="247">
                  <c:v>43466</c:v>
                </c:pt>
                <c:pt idx="248">
                  <c:v>43467</c:v>
                </c:pt>
                <c:pt idx="249">
                  <c:v>43468</c:v>
                </c:pt>
                <c:pt idx="250">
                  <c:v>43469</c:v>
                </c:pt>
                <c:pt idx="251">
                  <c:v>43472</c:v>
                </c:pt>
                <c:pt idx="252">
                  <c:v>43473</c:v>
                </c:pt>
                <c:pt idx="253">
                  <c:v>43474</c:v>
                </c:pt>
                <c:pt idx="254">
                  <c:v>43475</c:v>
                </c:pt>
                <c:pt idx="255">
                  <c:v>43476</c:v>
                </c:pt>
                <c:pt idx="256">
                  <c:v>43479</c:v>
                </c:pt>
                <c:pt idx="257">
                  <c:v>43480</c:v>
                </c:pt>
                <c:pt idx="258">
                  <c:v>43481</c:v>
                </c:pt>
                <c:pt idx="259">
                  <c:v>43482</c:v>
                </c:pt>
                <c:pt idx="260">
                  <c:v>43483</c:v>
                </c:pt>
                <c:pt idx="261">
                  <c:v>43486</c:v>
                </c:pt>
                <c:pt idx="262">
                  <c:v>43487</c:v>
                </c:pt>
                <c:pt idx="263">
                  <c:v>43488</c:v>
                </c:pt>
                <c:pt idx="264">
                  <c:v>43489</c:v>
                </c:pt>
                <c:pt idx="265">
                  <c:v>43490</c:v>
                </c:pt>
                <c:pt idx="266">
                  <c:v>43493</c:v>
                </c:pt>
                <c:pt idx="267">
                  <c:v>43494</c:v>
                </c:pt>
                <c:pt idx="268">
                  <c:v>43495</c:v>
                </c:pt>
                <c:pt idx="269">
                  <c:v>43496</c:v>
                </c:pt>
                <c:pt idx="270">
                  <c:v>43497</c:v>
                </c:pt>
                <c:pt idx="271">
                  <c:v>43500</c:v>
                </c:pt>
                <c:pt idx="272">
                  <c:v>43501</c:v>
                </c:pt>
                <c:pt idx="273">
                  <c:v>43502</c:v>
                </c:pt>
                <c:pt idx="274">
                  <c:v>43503</c:v>
                </c:pt>
                <c:pt idx="275">
                  <c:v>43504</c:v>
                </c:pt>
                <c:pt idx="276">
                  <c:v>43507</c:v>
                </c:pt>
                <c:pt idx="277">
                  <c:v>43508</c:v>
                </c:pt>
                <c:pt idx="278">
                  <c:v>43509</c:v>
                </c:pt>
                <c:pt idx="279">
                  <c:v>43510</c:v>
                </c:pt>
                <c:pt idx="280">
                  <c:v>43511</c:v>
                </c:pt>
                <c:pt idx="281">
                  <c:v>43514</c:v>
                </c:pt>
                <c:pt idx="282">
                  <c:v>43515</c:v>
                </c:pt>
                <c:pt idx="283">
                  <c:v>43516</c:v>
                </c:pt>
                <c:pt idx="284">
                  <c:v>43517</c:v>
                </c:pt>
                <c:pt idx="285">
                  <c:v>43518</c:v>
                </c:pt>
                <c:pt idx="286">
                  <c:v>43521</c:v>
                </c:pt>
                <c:pt idx="287">
                  <c:v>43522</c:v>
                </c:pt>
                <c:pt idx="288">
                  <c:v>43523</c:v>
                </c:pt>
                <c:pt idx="289">
                  <c:v>43524</c:v>
                </c:pt>
              </c:numCache>
            </c:numRef>
          </c:cat>
          <c:val>
            <c:numRef>
              <c:f>Index_Charts!$I$3:$I$292</c:f>
              <c:numCache>
                <c:formatCode>0.00</c:formatCode>
                <c:ptCount val="290"/>
                <c:pt idx="0">
                  <c:v>100</c:v>
                </c:pt>
                <c:pt idx="1">
                  <c:v>98.630760000774089</c:v>
                </c:pt>
                <c:pt idx="2">
                  <c:v>99.127169979292105</c:v>
                </c:pt>
                <c:pt idx="3">
                  <c:v>99.732441795204252</c:v>
                </c:pt>
                <c:pt idx="4">
                  <c:v>100.67010508796039</c:v>
                </c:pt>
                <c:pt idx="5">
                  <c:v>99.319734473882804</c:v>
                </c:pt>
                <c:pt idx="6">
                  <c:v>99.319734473882804</c:v>
                </c:pt>
                <c:pt idx="7">
                  <c:v>99.319734473882804</c:v>
                </c:pt>
                <c:pt idx="8">
                  <c:v>99.726635830543216</c:v>
                </c:pt>
                <c:pt idx="9">
                  <c:v>101.1258733138511</c:v>
                </c:pt>
                <c:pt idx="10">
                  <c:v>100.7610652009832</c:v>
                </c:pt>
                <c:pt idx="11">
                  <c:v>101.1636120841478</c:v>
                </c:pt>
                <c:pt idx="12">
                  <c:v>101.0712004799597</c:v>
                </c:pt>
                <c:pt idx="13">
                  <c:v>101.0712004799597</c:v>
                </c:pt>
                <c:pt idx="14">
                  <c:v>101.0712004799597</c:v>
                </c:pt>
                <c:pt idx="15">
                  <c:v>101.595672621006</c:v>
                </c:pt>
                <c:pt idx="16">
                  <c:v>102.39931489617</c:v>
                </c:pt>
                <c:pt idx="17">
                  <c:v>102.7544464012696</c:v>
                </c:pt>
                <c:pt idx="18">
                  <c:v>102.375123376749</c:v>
                </c:pt>
                <c:pt idx="19">
                  <c:v>101.5918019778986</c:v>
                </c:pt>
                <c:pt idx="20">
                  <c:v>101.5918019778986</c:v>
                </c:pt>
                <c:pt idx="21">
                  <c:v>101.5918019778986</c:v>
                </c:pt>
                <c:pt idx="22">
                  <c:v>101.469876720017</c:v>
                </c:pt>
                <c:pt idx="23">
                  <c:v>100.7102630101992</c:v>
                </c:pt>
                <c:pt idx="24">
                  <c:v>100.4789920845348</c:v>
                </c:pt>
                <c:pt idx="25">
                  <c:v>101.23860579435279</c:v>
                </c:pt>
                <c:pt idx="26">
                  <c:v>101.41326856457199</c:v>
                </c:pt>
                <c:pt idx="27">
                  <c:v>101.41326856457199</c:v>
                </c:pt>
                <c:pt idx="28">
                  <c:v>101.41326856457199</c:v>
                </c:pt>
                <c:pt idx="29">
                  <c:v>100.95169437402031</c:v>
                </c:pt>
                <c:pt idx="30">
                  <c:v>100.8191248475934</c:v>
                </c:pt>
                <c:pt idx="31">
                  <c:v>100.4765729325927</c:v>
                </c:pt>
                <c:pt idx="32">
                  <c:v>100.2191751659538</c:v>
                </c:pt>
                <c:pt idx="33">
                  <c:v>101.09345667782701</c:v>
                </c:pt>
                <c:pt idx="34">
                  <c:v>101.09345667782701</c:v>
                </c:pt>
                <c:pt idx="35">
                  <c:v>101.09345667782701</c:v>
                </c:pt>
                <c:pt idx="36">
                  <c:v>101.4524588260339</c:v>
                </c:pt>
                <c:pt idx="37">
                  <c:v>101.3658531865069</c:v>
                </c:pt>
                <c:pt idx="38">
                  <c:v>102.08047067020181</c:v>
                </c:pt>
                <c:pt idx="39">
                  <c:v>102.7428344719475</c:v>
                </c:pt>
                <c:pt idx="40">
                  <c:v>103.1507034893848</c:v>
                </c:pt>
                <c:pt idx="41">
                  <c:v>103.1507034893848</c:v>
                </c:pt>
                <c:pt idx="42">
                  <c:v>103.1507034893848</c:v>
                </c:pt>
                <c:pt idx="43">
                  <c:v>103.3505254398018</c:v>
                </c:pt>
                <c:pt idx="44">
                  <c:v>102.5710746840587</c:v>
                </c:pt>
                <c:pt idx="45">
                  <c:v>102.715739970196</c:v>
                </c:pt>
                <c:pt idx="46">
                  <c:v>102.8410520407966</c:v>
                </c:pt>
                <c:pt idx="47">
                  <c:v>102.6107487759091</c:v>
                </c:pt>
                <c:pt idx="48">
                  <c:v>102.6107487759091</c:v>
                </c:pt>
                <c:pt idx="49">
                  <c:v>102.6107487759091</c:v>
                </c:pt>
                <c:pt idx="50">
                  <c:v>103.0907085212208</c:v>
                </c:pt>
                <c:pt idx="51">
                  <c:v>102.99684542586751</c:v>
                </c:pt>
                <c:pt idx="52">
                  <c:v>102.71186932708871</c:v>
                </c:pt>
                <c:pt idx="53">
                  <c:v>102.4622128466644</c:v>
                </c:pt>
                <c:pt idx="54">
                  <c:v>102.12691838749009</c:v>
                </c:pt>
                <c:pt idx="55">
                  <c:v>102.12691838749009</c:v>
                </c:pt>
                <c:pt idx="56">
                  <c:v>102.12691838749009</c:v>
                </c:pt>
                <c:pt idx="57">
                  <c:v>101.9498364653287</c:v>
                </c:pt>
                <c:pt idx="58">
                  <c:v>100.7949333281725</c:v>
                </c:pt>
                <c:pt idx="59">
                  <c:v>101.6247024443111</c:v>
                </c:pt>
                <c:pt idx="60">
                  <c:v>101.26182965299699</c:v>
                </c:pt>
                <c:pt idx="61">
                  <c:v>102.0490216949546</c:v>
                </c:pt>
                <c:pt idx="62">
                  <c:v>102.0490216949546</c:v>
                </c:pt>
                <c:pt idx="63">
                  <c:v>102.0490216949546</c:v>
                </c:pt>
                <c:pt idx="64">
                  <c:v>102.6620347970815</c:v>
                </c:pt>
                <c:pt idx="65">
                  <c:v>102.5410771999768</c:v>
                </c:pt>
                <c:pt idx="66">
                  <c:v>103.381974415049</c:v>
                </c:pt>
                <c:pt idx="67">
                  <c:v>103.42213233728781</c:v>
                </c:pt>
                <c:pt idx="68">
                  <c:v>103.43035745389091</c:v>
                </c:pt>
                <c:pt idx="69">
                  <c:v>103.43035745389091</c:v>
                </c:pt>
                <c:pt idx="70">
                  <c:v>103.43035745389091</c:v>
                </c:pt>
                <c:pt idx="71">
                  <c:v>103.7429118848096</c:v>
                </c:pt>
                <c:pt idx="72">
                  <c:v>103.7990362098663</c:v>
                </c:pt>
                <c:pt idx="73">
                  <c:v>103.54937972944199</c:v>
                </c:pt>
                <c:pt idx="74">
                  <c:v>103.6374368601343</c:v>
                </c:pt>
                <c:pt idx="75">
                  <c:v>103.2566623444485</c:v>
                </c:pt>
                <c:pt idx="76">
                  <c:v>103.2566623444485</c:v>
                </c:pt>
                <c:pt idx="77">
                  <c:v>103.2566623444485</c:v>
                </c:pt>
                <c:pt idx="78">
                  <c:v>102.85218013973019</c:v>
                </c:pt>
                <c:pt idx="79">
                  <c:v>102.1578835323489</c:v>
                </c:pt>
                <c:pt idx="80">
                  <c:v>102.4636643378297</c:v>
                </c:pt>
                <c:pt idx="81">
                  <c:v>101.89129298832999</c:v>
                </c:pt>
                <c:pt idx="82">
                  <c:v>102.3252888467419</c:v>
                </c:pt>
                <c:pt idx="83">
                  <c:v>102.3252888467419</c:v>
                </c:pt>
                <c:pt idx="84">
                  <c:v>102.3252888467419</c:v>
                </c:pt>
                <c:pt idx="85">
                  <c:v>100.90718197828571</c:v>
                </c:pt>
                <c:pt idx="86">
                  <c:v>101.04362214782</c:v>
                </c:pt>
                <c:pt idx="87">
                  <c:v>100.4577035474444</c:v>
                </c:pt>
                <c:pt idx="88">
                  <c:v>100.6183352363995</c:v>
                </c:pt>
                <c:pt idx="89">
                  <c:v>101.08668305238911</c:v>
                </c:pt>
                <c:pt idx="90">
                  <c:v>101.08668305238911</c:v>
                </c:pt>
                <c:pt idx="91">
                  <c:v>101.08668305238911</c:v>
                </c:pt>
                <c:pt idx="92">
                  <c:v>100.73735751195061</c:v>
                </c:pt>
                <c:pt idx="93">
                  <c:v>100.73590602078539</c:v>
                </c:pt>
                <c:pt idx="94">
                  <c:v>100.7417119854464</c:v>
                </c:pt>
                <c:pt idx="95">
                  <c:v>101.42004219000989</c:v>
                </c:pt>
                <c:pt idx="96">
                  <c:v>102.2691645216853</c:v>
                </c:pt>
                <c:pt idx="97">
                  <c:v>102.2691645216853</c:v>
                </c:pt>
                <c:pt idx="98">
                  <c:v>102.2691645216853</c:v>
                </c:pt>
                <c:pt idx="99">
                  <c:v>103.1110293975344</c:v>
                </c:pt>
                <c:pt idx="100">
                  <c:v>103.33988117125659</c:v>
                </c:pt>
                <c:pt idx="101">
                  <c:v>102.4414081399625</c:v>
                </c:pt>
                <c:pt idx="102">
                  <c:v>103.09748214665861</c:v>
                </c:pt>
                <c:pt idx="103">
                  <c:v>103.2784347119274</c:v>
                </c:pt>
                <c:pt idx="104">
                  <c:v>103.2784347119274</c:v>
                </c:pt>
                <c:pt idx="105">
                  <c:v>103.2784347119274</c:v>
                </c:pt>
                <c:pt idx="106">
                  <c:v>103.1908614116235</c:v>
                </c:pt>
                <c:pt idx="107">
                  <c:v>103.45019449981611</c:v>
                </c:pt>
                <c:pt idx="108">
                  <c:v>103.64808112867949</c:v>
                </c:pt>
                <c:pt idx="109">
                  <c:v>103.2900466412494</c:v>
                </c:pt>
                <c:pt idx="110">
                  <c:v>103.49954519943491</c:v>
                </c:pt>
                <c:pt idx="111">
                  <c:v>103.49954519943491</c:v>
                </c:pt>
                <c:pt idx="112">
                  <c:v>103.49954519943491</c:v>
                </c:pt>
                <c:pt idx="113">
                  <c:v>103.5126086199222</c:v>
                </c:pt>
                <c:pt idx="114">
                  <c:v>104.0757871920419</c:v>
                </c:pt>
                <c:pt idx="115">
                  <c:v>104.59251804687349</c:v>
                </c:pt>
                <c:pt idx="116">
                  <c:v>104.60074316347659</c:v>
                </c:pt>
                <c:pt idx="117">
                  <c:v>104.3191538774167</c:v>
                </c:pt>
                <c:pt idx="118">
                  <c:v>104.3191538774167</c:v>
                </c:pt>
                <c:pt idx="119">
                  <c:v>104.3191538774167</c:v>
                </c:pt>
                <c:pt idx="120">
                  <c:v>103.9388631921194</c:v>
                </c:pt>
                <c:pt idx="121">
                  <c:v>104.1735209305026</c:v>
                </c:pt>
                <c:pt idx="122">
                  <c:v>103.99256836523401</c:v>
                </c:pt>
                <c:pt idx="123">
                  <c:v>103.9064465560953</c:v>
                </c:pt>
                <c:pt idx="124">
                  <c:v>104.28431808945059</c:v>
                </c:pt>
                <c:pt idx="125">
                  <c:v>104.28431808945059</c:v>
                </c:pt>
                <c:pt idx="126">
                  <c:v>104.28431808945059</c:v>
                </c:pt>
                <c:pt idx="127">
                  <c:v>104.3786650151923</c:v>
                </c:pt>
                <c:pt idx="128">
                  <c:v>104.8387877145787</c:v>
                </c:pt>
                <c:pt idx="129">
                  <c:v>104.80491958738951</c:v>
                </c:pt>
                <c:pt idx="130">
                  <c:v>104.6858973118383</c:v>
                </c:pt>
                <c:pt idx="131">
                  <c:v>103.5319618354589</c:v>
                </c:pt>
                <c:pt idx="132">
                  <c:v>103.5319618354589</c:v>
                </c:pt>
                <c:pt idx="133">
                  <c:v>103.5319618354589</c:v>
                </c:pt>
                <c:pt idx="134">
                  <c:v>102.9334636449846</c:v>
                </c:pt>
                <c:pt idx="135">
                  <c:v>103.4119718991311</c:v>
                </c:pt>
                <c:pt idx="136">
                  <c:v>102.36399527781541</c:v>
                </c:pt>
                <c:pt idx="137">
                  <c:v>103.1066749240386</c:v>
                </c:pt>
                <c:pt idx="138">
                  <c:v>103.4482591782625</c:v>
                </c:pt>
                <c:pt idx="139">
                  <c:v>103.4482591782625</c:v>
                </c:pt>
                <c:pt idx="140">
                  <c:v>103.4482591782625</c:v>
                </c:pt>
                <c:pt idx="141">
                  <c:v>103.79323024520519</c:v>
                </c:pt>
                <c:pt idx="142">
                  <c:v>104.1101391496197</c:v>
                </c:pt>
                <c:pt idx="143">
                  <c:v>104.3133479127557</c:v>
                </c:pt>
                <c:pt idx="144">
                  <c:v>103.98579473979601</c:v>
                </c:pt>
                <c:pt idx="145">
                  <c:v>104.5852605910472</c:v>
                </c:pt>
                <c:pt idx="146">
                  <c:v>104.5852605910472</c:v>
                </c:pt>
                <c:pt idx="147">
                  <c:v>104.5852605910472</c:v>
                </c:pt>
                <c:pt idx="148">
                  <c:v>105.47260552340769</c:v>
                </c:pt>
                <c:pt idx="149">
                  <c:v>105.596466102843</c:v>
                </c:pt>
                <c:pt idx="150">
                  <c:v>105.99514234290029</c:v>
                </c:pt>
                <c:pt idx="151">
                  <c:v>105.5505022159432</c:v>
                </c:pt>
                <c:pt idx="152">
                  <c:v>105.2573010005612</c:v>
                </c:pt>
                <c:pt idx="153">
                  <c:v>105.2573010005612</c:v>
                </c:pt>
                <c:pt idx="154">
                  <c:v>105.2573010005612</c:v>
                </c:pt>
                <c:pt idx="155">
                  <c:v>105.1566642797701</c:v>
                </c:pt>
                <c:pt idx="156">
                  <c:v>104.6442878984343</c:v>
                </c:pt>
                <c:pt idx="157">
                  <c:v>104.15755452768479</c:v>
                </c:pt>
                <c:pt idx="158">
                  <c:v>103.7346867682066</c:v>
                </c:pt>
                <c:pt idx="159">
                  <c:v>103.4235838284531</c:v>
                </c:pt>
                <c:pt idx="160">
                  <c:v>103.4235838284531</c:v>
                </c:pt>
                <c:pt idx="161">
                  <c:v>103.4235838284531</c:v>
                </c:pt>
                <c:pt idx="162">
                  <c:v>103.6674343442163</c:v>
                </c:pt>
                <c:pt idx="163">
                  <c:v>103.9108010295911</c:v>
                </c:pt>
                <c:pt idx="164">
                  <c:v>104.15416771496579</c:v>
                </c:pt>
                <c:pt idx="165">
                  <c:v>104.63703044260799</c:v>
                </c:pt>
                <c:pt idx="166">
                  <c:v>104.8262081244799</c:v>
                </c:pt>
                <c:pt idx="167">
                  <c:v>104.8262081244799</c:v>
                </c:pt>
                <c:pt idx="168">
                  <c:v>104.8262081244799</c:v>
                </c:pt>
                <c:pt idx="169">
                  <c:v>104.53300690909801</c:v>
                </c:pt>
                <c:pt idx="170">
                  <c:v>105.101023785102</c:v>
                </c:pt>
                <c:pt idx="171">
                  <c:v>105.3656790075671</c:v>
                </c:pt>
                <c:pt idx="172">
                  <c:v>106.233670724391</c:v>
                </c:pt>
                <c:pt idx="173">
                  <c:v>106.44316928257631</c:v>
                </c:pt>
                <c:pt idx="174">
                  <c:v>106.44316928257631</c:v>
                </c:pt>
                <c:pt idx="175">
                  <c:v>106.44316928257631</c:v>
                </c:pt>
                <c:pt idx="176">
                  <c:v>106.1044880106829</c:v>
                </c:pt>
                <c:pt idx="177">
                  <c:v>106.1620638269048</c:v>
                </c:pt>
                <c:pt idx="178">
                  <c:v>105.9254707669679</c:v>
                </c:pt>
                <c:pt idx="179">
                  <c:v>105.8964409436628</c:v>
                </c:pt>
                <c:pt idx="180">
                  <c:v>105.669040661106</c:v>
                </c:pt>
                <c:pt idx="181">
                  <c:v>105.8707979330765</c:v>
                </c:pt>
                <c:pt idx="182">
                  <c:v>105.6501712759575</c:v>
                </c:pt>
                <c:pt idx="183">
                  <c:v>105.65065510634589</c:v>
                </c:pt>
                <c:pt idx="184">
                  <c:v>104.7700837994232</c:v>
                </c:pt>
                <c:pt idx="185">
                  <c:v>104.0922374252482</c:v>
                </c:pt>
                <c:pt idx="186">
                  <c:v>103.71243057033929</c:v>
                </c:pt>
                <c:pt idx="187">
                  <c:v>103.46519324185709</c:v>
                </c:pt>
                <c:pt idx="188">
                  <c:v>101.0765226142324</c:v>
                </c:pt>
                <c:pt idx="189">
                  <c:v>98.940895279750734</c:v>
                </c:pt>
                <c:pt idx="190">
                  <c:v>99.83501383754907</c:v>
                </c:pt>
                <c:pt idx="191">
                  <c:v>99.432466954384452</c:v>
                </c:pt>
                <c:pt idx="192">
                  <c:v>101.17909465657721</c:v>
                </c:pt>
                <c:pt idx="193">
                  <c:v>101.0963596601575</c:v>
                </c:pt>
                <c:pt idx="194">
                  <c:v>99.885332197944621</c:v>
                </c:pt>
                <c:pt idx="195">
                  <c:v>99.782276325211441</c:v>
                </c:pt>
                <c:pt idx="196">
                  <c:v>99.351667279518495</c:v>
                </c:pt>
                <c:pt idx="197">
                  <c:v>98.405778870159224</c:v>
                </c:pt>
                <c:pt idx="198">
                  <c:v>96.215478701786253</c:v>
                </c:pt>
                <c:pt idx="199">
                  <c:v>97.069439337345898</c:v>
                </c:pt>
                <c:pt idx="200">
                  <c:v>95.889860850380273</c:v>
                </c:pt>
                <c:pt idx="201">
                  <c:v>95.590369839948906</c:v>
                </c:pt>
                <c:pt idx="202">
                  <c:v>96.630121344661404</c:v>
                </c:pt>
                <c:pt idx="203">
                  <c:v>97.829536877552144</c:v>
                </c:pt>
                <c:pt idx="204">
                  <c:v>98.746395463606277</c:v>
                </c:pt>
                <c:pt idx="205">
                  <c:v>98.541735209305045</c:v>
                </c:pt>
                <c:pt idx="206">
                  <c:v>98.7342997038958</c:v>
                </c:pt>
                <c:pt idx="207">
                  <c:v>99.216678601149596</c:v>
                </c:pt>
                <c:pt idx="208">
                  <c:v>100.8520253140059</c:v>
                </c:pt>
                <c:pt idx="209">
                  <c:v>100.7562268970989</c:v>
                </c:pt>
                <c:pt idx="210">
                  <c:v>99.821950417061743</c:v>
                </c:pt>
                <c:pt idx="211">
                  <c:v>98.1508002554624</c:v>
                </c:pt>
                <c:pt idx="212">
                  <c:v>98.049195873894405</c:v>
                </c:pt>
                <c:pt idx="213">
                  <c:v>97.498596891873575</c:v>
                </c:pt>
                <c:pt idx="214">
                  <c:v>98.038551605349227</c:v>
                </c:pt>
                <c:pt idx="215">
                  <c:v>98.30272299742596</c:v>
                </c:pt>
                <c:pt idx="216">
                  <c:v>97.231038687077856</c:v>
                </c:pt>
                <c:pt idx="217">
                  <c:v>95.648913316947599</c:v>
                </c:pt>
                <c:pt idx="218">
                  <c:v>96.027268680691293</c:v>
                </c:pt>
                <c:pt idx="219">
                  <c:v>95.993400553501928</c:v>
                </c:pt>
                <c:pt idx="220">
                  <c:v>95.560856186255307</c:v>
                </c:pt>
                <c:pt idx="221">
                  <c:v>96.72737125273359</c:v>
                </c:pt>
                <c:pt idx="222">
                  <c:v>96.769464496526098</c:v>
                </c:pt>
                <c:pt idx="223">
                  <c:v>98.2069245805191</c:v>
                </c:pt>
                <c:pt idx="224">
                  <c:v>98.453678078612768</c:v>
                </c:pt>
                <c:pt idx="225">
                  <c:v>98.7672001703083</c:v>
                </c:pt>
                <c:pt idx="226">
                  <c:v>99.989355731454722</c:v>
                </c:pt>
                <c:pt idx="227">
                  <c:v>97.583267209846923</c:v>
                </c:pt>
                <c:pt idx="228">
                  <c:v>97.183623309012802</c:v>
                </c:pt>
                <c:pt idx="229">
                  <c:v>96.323372878403646</c:v>
                </c:pt>
                <c:pt idx="230">
                  <c:v>95.084283253662605</c:v>
                </c:pt>
                <c:pt idx="231">
                  <c:v>94.483849741634572</c:v>
                </c:pt>
                <c:pt idx="232">
                  <c:v>94.571906872326792</c:v>
                </c:pt>
                <c:pt idx="233">
                  <c:v>95.599078786940453</c:v>
                </c:pt>
                <c:pt idx="234">
                  <c:v>95.527955719842865</c:v>
                </c:pt>
                <c:pt idx="235">
                  <c:v>93.986472102339746</c:v>
                </c:pt>
                <c:pt idx="236">
                  <c:v>92.62110274622124</c:v>
                </c:pt>
                <c:pt idx="237">
                  <c:v>92.322579396566681</c:v>
                </c:pt>
                <c:pt idx="238">
                  <c:v>91.575061446459273</c:v>
                </c:pt>
                <c:pt idx="239">
                  <c:v>90.128892415474752</c:v>
                </c:pt>
                <c:pt idx="240">
                  <c:v>88.781424783727815</c:v>
                </c:pt>
                <c:pt idx="241">
                  <c:v>87.232199880010086</c:v>
                </c:pt>
                <c:pt idx="242">
                  <c:v>86.861101972092655</c:v>
                </c:pt>
                <c:pt idx="243">
                  <c:v>89.542489984710954</c:v>
                </c:pt>
                <c:pt idx="244">
                  <c:v>90.107603878384381</c:v>
                </c:pt>
                <c:pt idx="245">
                  <c:v>90.514989065433227</c:v>
                </c:pt>
                <c:pt idx="246">
                  <c:v>91.148806874262149</c:v>
                </c:pt>
                <c:pt idx="247">
                  <c:v>91.150258365427405</c:v>
                </c:pt>
                <c:pt idx="248">
                  <c:v>91.015753517446882</c:v>
                </c:pt>
                <c:pt idx="249">
                  <c:v>89.66247992103888</c:v>
                </c:pt>
                <c:pt idx="250">
                  <c:v>92.130014901975997</c:v>
                </c:pt>
                <c:pt idx="251">
                  <c:v>92.883338816744313</c:v>
                </c:pt>
                <c:pt idx="252">
                  <c:v>93.659402759768483</c:v>
                </c:pt>
                <c:pt idx="253">
                  <c:v>94.394341119777053</c:v>
                </c:pt>
                <c:pt idx="254">
                  <c:v>94.718991310406182</c:v>
                </c:pt>
                <c:pt idx="255">
                  <c:v>94.693832130208392</c:v>
                </c:pt>
                <c:pt idx="256">
                  <c:v>94.257900950242899</c:v>
                </c:pt>
                <c:pt idx="257">
                  <c:v>95.005418900350278</c:v>
                </c:pt>
                <c:pt idx="258">
                  <c:v>95.145245882603376</c:v>
                </c:pt>
                <c:pt idx="259">
                  <c:v>95.586015366453083</c:v>
                </c:pt>
                <c:pt idx="260">
                  <c:v>96.802848793326959</c:v>
                </c:pt>
                <c:pt idx="261">
                  <c:v>96.803332623715406</c:v>
                </c:pt>
                <c:pt idx="262">
                  <c:v>95.741808751524047</c:v>
                </c:pt>
                <c:pt idx="263">
                  <c:v>95.805190532406897</c:v>
                </c:pt>
                <c:pt idx="264">
                  <c:v>95.954694122428407</c:v>
                </c:pt>
                <c:pt idx="265">
                  <c:v>96.85607013605302</c:v>
                </c:pt>
                <c:pt idx="266">
                  <c:v>96.242573203537773</c:v>
                </c:pt>
                <c:pt idx="267">
                  <c:v>96.26289407985135</c:v>
                </c:pt>
                <c:pt idx="268">
                  <c:v>97.295871959125975</c:v>
                </c:pt>
                <c:pt idx="269">
                  <c:v>98.144510460413002</c:v>
                </c:pt>
                <c:pt idx="270">
                  <c:v>98.195796481585376</c:v>
                </c:pt>
                <c:pt idx="271">
                  <c:v>98.593021230477433</c:v>
                </c:pt>
                <c:pt idx="272">
                  <c:v>99.251030558727308</c:v>
                </c:pt>
                <c:pt idx="273">
                  <c:v>99.045402643649211</c:v>
                </c:pt>
                <c:pt idx="274">
                  <c:v>98.069516750208066</c:v>
                </c:pt>
                <c:pt idx="275">
                  <c:v>97.759381471231407</c:v>
                </c:pt>
                <c:pt idx="276">
                  <c:v>97.81115132279227</c:v>
                </c:pt>
                <c:pt idx="277">
                  <c:v>98.949120396353834</c:v>
                </c:pt>
                <c:pt idx="278">
                  <c:v>99.318766813105952</c:v>
                </c:pt>
                <c:pt idx="279">
                  <c:v>99.0671750111281</c:v>
                </c:pt>
                <c:pt idx="280">
                  <c:v>99.987904240289524</c:v>
                </c:pt>
                <c:pt idx="281">
                  <c:v>100.2796539645062</c:v>
                </c:pt>
                <c:pt idx="282">
                  <c:v>100.438834162296</c:v>
                </c:pt>
                <c:pt idx="283">
                  <c:v>100.8128350525439</c:v>
                </c:pt>
                <c:pt idx="284">
                  <c:v>100.5128602117241</c:v>
                </c:pt>
                <c:pt idx="285">
                  <c:v>100.9739505718875</c:v>
                </c:pt>
                <c:pt idx="286">
                  <c:v>101.20909214065919</c:v>
                </c:pt>
                <c:pt idx="287">
                  <c:v>101.2028023456097</c:v>
                </c:pt>
                <c:pt idx="288">
                  <c:v>101.2231232219233</c:v>
                </c:pt>
                <c:pt idx="289">
                  <c:v>100.9192777379962</c:v>
                </c:pt>
              </c:numCache>
            </c:numRef>
          </c:val>
          <c:smooth val="0"/>
        </c:ser>
        <c:dLbls>
          <c:showLegendKey val="0"/>
          <c:showVal val="0"/>
          <c:showCatName val="0"/>
          <c:showSerName val="0"/>
          <c:showPercent val="0"/>
          <c:showBubbleSize val="0"/>
        </c:dLbls>
        <c:smooth val="0"/>
        <c:axId val="200699992"/>
        <c:axId val="200697640"/>
      </c:lineChart>
      <c:dateAx>
        <c:axId val="200699992"/>
        <c:scaling>
          <c:orientation val="minMax"/>
        </c:scaling>
        <c:delete val="0"/>
        <c:axPos val="b"/>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200697640"/>
        <c:crossesAt val="80"/>
        <c:auto val="0"/>
        <c:lblOffset val="100"/>
        <c:baseTimeUnit val="days"/>
        <c:majorUnit val="30"/>
        <c:majorTimeUnit val="days"/>
      </c:dateAx>
      <c:valAx>
        <c:axId val="200697640"/>
        <c:scaling>
          <c:orientation val="minMax"/>
          <c:min val="80"/>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200699992"/>
        <c:crossesAt val="43191"/>
        <c:crossBetween val="midCat"/>
      </c:valAx>
      <c:spPr>
        <a:noFill/>
        <a:ln>
          <a:noFill/>
        </a:ln>
        <a:effectLst/>
      </c:spPr>
    </c:plotArea>
    <c:legend>
      <c:legendPos val="b"/>
      <c:layout>
        <c:manualLayout>
          <c:xMode val="edge"/>
          <c:yMode val="edge"/>
          <c:x val="1.07882899252978E-2"/>
          <c:y val="0.84542883752434195"/>
          <c:w val="0.97483910713984101"/>
          <c:h val="0.1313182939920710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Garamond" panose="02020404030301010803" pitchFamily="18" charset="0"/>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4370462630416106E-2"/>
          <c:y val="3.9215686274509803E-2"/>
          <c:w val="0.89976232927547095"/>
          <c:h val="0.68292373691212171"/>
        </c:manualLayout>
      </c:layout>
      <c:lineChart>
        <c:grouping val="standard"/>
        <c:varyColors val="0"/>
        <c:ser>
          <c:idx val="0"/>
          <c:order val="0"/>
          <c:tx>
            <c:strRef>
              <c:f>Index_Charts!$K$1</c:f>
              <c:strCache>
                <c:ptCount val="1"/>
                <c:pt idx="0">
                  <c:v>Bovespa</c:v>
                </c:pt>
              </c:strCache>
            </c:strRef>
          </c:tx>
          <c:spPr>
            <a:ln w="28575" cap="rnd">
              <a:solidFill>
                <a:schemeClr val="accent1"/>
              </a:solidFill>
              <a:round/>
            </a:ln>
            <a:effectLst/>
          </c:spPr>
          <c:marker>
            <c:symbol val="none"/>
          </c:marker>
          <c:cat>
            <c:numRef>
              <c:f>Index_Charts!$B$2:$B$292</c:f>
              <c:numCache>
                <c:formatCode>[$-409]mmmm\-yy;@</c:formatCode>
                <c:ptCount val="291"/>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pt idx="248">
                  <c:v>43466</c:v>
                </c:pt>
                <c:pt idx="249">
                  <c:v>43467</c:v>
                </c:pt>
                <c:pt idx="250">
                  <c:v>43468</c:v>
                </c:pt>
                <c:pt idx="251">
                  <c:v>43469</c:v>
                </c:pt>
                <c:pt idx="252">
                  <c:v>43472</c:v>
                </c:pt>
                <c:pt idx="253">
                  <c:v>43473</c:v>
                </c:pt>
                <c:pt idx="254">
                  <c:v>43474</c:v>
                </c:pt>
                <c:pt idx="255">
                  <c:v>43475</c:v>
                </c:pt>
                <c:pt idx="256">
                  <c:v>43476</c:v>
                </c:pt>
                <c:pt idx="257">
                  <c:v>43479</c:v>
                </c:pt>
                <c:pt idx="258">
                  <c:v>43480</c:v>
                </c:pt>
                <c:pt idx="259">
                  <c:v>43481</c:v>
                </c:pt>
                <c:pt idx="260">
                  <c:v>43482</c:v>
                </c:pt>
                <c:pt idx="261">
                  <c:v>43483</c:v>
                </c:pt>
                <c:pt idx="262">
                  <c:v>43486</c:v>
                </c:pt>
                <c:pt idx="263">
                  <c:v>43487</c:v>
                </c:pt>
                <c:pt idx="264">
                  <c:v>43488</c:v>
                </c:pt>
                <c:pt idx="265">
                  <c:v>43489</c:v>
                </c:pt>
                <c:pt idx="266">
                  <c:v>43490</c:v>
                </c:pt>
                <c:pt idx="267">
                  <c:v>43493</c:v>
                </c:pt>
                <c:pt idx="268">
                  <c:v>43494</c:v>
                </c:pt>
                <c:pt idx="269">
                  <c:v>43495</c:v>
                </c:pt>
                <c:pt idx="270">
                  <c:v>43496</c:v>
                </c:pt>
                <c:pt idx="271">
                  <c:v>43497</c:v>
                </c:pt>
                <c:pt idx="272">
                  <c:v>43500</c:v>
                </c:pt>
                <c:pt idx="273">
                  <c:v>43501</c:v>
                </c:pt>
                <c:pt idx="274">
                  <c:v>43502</c:v>
                </c:pt>
                <c:pt idx="275">
                  <c:v>43503</c:v>
                </c:pt>
                <c:pt idx="276">
                  <c:v>43504</c:v>
                </c:pt>
                <c:pt idx="277">
                  <c:v>43507</c:v>
                </c:pt>
                <c:pt idx="278">
                  <c:v>43508</c:v>
                </c:pt>
                <c:pt idx="279">
                  <c:v>43509</c:v>
                </c:pt>
                <c:pt idx="280">
                  <c:v>43510</c:v>
                </c:pt>
                <c:pt idx="281">
                  <c:v>43511</c:v>
                </c:pt>
                <c:pt idx="282">
                  <c:v>43514</c:v>
                </c:pt>
                <c:pt idx="283">
                  <c:v>43515</c:v>
                </c:pt>
                <c:pt idx="284">
                  <c:v>43516</c:v>
                </c:pt>
                <c:pt idx="285">
                  <c:v>43517</c:v>
                </c:pt>
                <c:pt idx="286">
                  <c:v>43518</c:v>
                </c:pt>
                <c:pt idx="287">
                  <c:v>43521</c:v>
                </c:pt>
                <c:pt idx="288">
                  <c:v>43522</c:v>
                </c:pt>
                <c:pt idx="289">
                  <c:v>43523</c:v>
                </c:pt>
                <c:pt idx="290">
                  <c:v>43524</c:v>
                </c:pt>
              </c:numCache>
            </c:numRef>
          </c:cat>
          <c:val>
            <c:numRef>
              <c:f>Index_Charts!$K$2:$K$292</c:f>
              <c:numCache>
                <c:formatCode>0.00</c:formatCode>
                <c:ptCount val="291"/>
                <c:pt idx="0">
                  <c:v>100</c:v>
                </c:pt>
                <c:pt idx="1">
                  <c:v>100</c:v>
                </c:pt>
                <c:pt idx="2">
                  <c:v>99.181028039879308</c:v>
                </c:pt>
                <c:pt idx="3">
                  <c:v>99.130679866681561</c:v>
                </c:pt>
                <c:pt idx="4">
                  <c:v>98.821691089474498</c:v>
                </c:pt>
                <c:pt idx="5">
                  <c:v>99.817373657479649</c:v>
                </c:pt>
                <c:pt idx="6">
                  <c:v>99.361405231805421</c:v>
                </c:pt>
                <c:pt idx="7">
                  <c:v>99.361405231805421</c:v>
                </c:pt>
                <c:pt idx="8">
                  <c:v>99.361405231805421</c:v>
                </c:pt>
                <c:pt idx="9">
                  <c:v>97.588805134061033</c:v>
                </c:pt>
                <c:pt idx="10">
                  <c:v>98.998190839490746</c:v>
                </c:pt>
                <c:pt idx="11">
                  <c:v>99.859463230839211</c:v>
                </c:pt>
                <c:pt idx="12">
                  <c:v>100.0913365999122</c:v>
                </c:pt>
                <c:pt idx="13">
                  <c:v>98.792077273317261</c:v>
                </c:pt>
                <c:pt idx="14">
                  <c:v>98.792077273317261</c:v>
                </c:pt>
                <c:pt idx="15">
                  <c:v>98.792077273317261</c:v>
                </c:pt>
                <c:pt idx="16">
                  <c:v>97.066756195355609</c:v>
                </c:pt>
                <c:pt idx="17">
                  <c:v>98.501233987102097</c:v>
                </c:pt>
                <c:pt idx="18">
                  <c:v>100.4813416558153</c:v>
                </c:pt>
                <c:pt idx="19">
                  <c:v>100.53733613415061</c:v>
                </c:pt>
                <c:pt idx="20">
                  <c:v>100.21616445789149</c:v>
                </c:pt>
                <c:pt idx="21">
                  <c:v>100.21616445789149</c:v>
                </c:pt>
                <c:pt idx="22">
                  <c:v>100.21616445789149</c:v>
                </c:pt>
                <c:pt idx="23">
                  <c:v>100.2775592405181</c:v>
                </c:pt>
                <c:pt idx="24">
                  <c:v>100.12126670287179</c:v>
                </c:pt>
                <c:pt idx="25">
                  <c:v>99.623770991486424</c:v>
                </c:pt>
                <c:pt idx="26">
                  <c:v>101.19209667224111</c:v>
                </c:pt>
                <c:pt idx="27">
                  <c:v>101.26409291990829</c:v>
                </c:pt>
                <c:pt idx="28">
                  <c:v>101.26409291990829</c:v>
                </c:pt>
                <c:pt idx="29">
                  <c:v>101.26409291990829</c:v>
                </c:pt>
                <c:pt idx="30">
                  <c:v>100.8785041649114</c:v>
                </c:pt>
                <c:pt idx="31">
                  <c:v>100.8785041649114</c:v>
                </c:pt>
                <c:pt idx="32">
                  <c:v>99.041217558931265</c:v>
                </c:pt>
                <c:pt idx="33">
                  <c:v>97.566442485705025</c:v>
                </c:pt>
                <c:pt idx="34">
                  <c:v>97.367170085922254</c:v>
                </c:pt>
                <c:pt idx="35">
                  <c:v>97.367170085922254</c:v>
                </c:pt>
                <c:pt idx="36">
                  <c:v>97.367170085922254</c:v>
                </c:pt>
                <c:pt idx="37">
                  <c:v>96.894368173769351</c:v>
                </c:pt>
                <c:pt idx="38">
                  <c:v>97.177421433186836</c:v>
                </c:pt>
                <c:pt idx="39">
                  <c:v>98.711342138445502</c:v>
                </c:pt>
                <c:pt idx="40">
                  <c:v>100.5806088544373</c:v>
                </c:pt>
                <c:pt idx="41">
                  <c:v>99.829755700073875</c:v>
                </c:pt>
                <c:pt idx="42">
                  <c:v>99.829755700073875</c:v>
                </c:pt>
                <c:pt idx="43">
                  <c:v>99.829755700073875</c:v>
                </c:pt>
                <c:pt idx="44">
                  <c:v>99.843766033983712</c:v>
                </c:pt>
                <c:pt idx="45">
                  <c:v>99.72454933816401</c:v>
                </c:pt>
                <c:pt idx="46">
                  <c:v>101.372227863321</c:v>
                </c:pt>
                <c:pt idx="47">
                  <c:v>97.957478402297113</c:v>
                </c:pt>
                <c:pt idx="48">
                  <c:v>97.324822797390411</c:v>
                </c:pt>
                <c:pt idx="49">
                  <c:v>97.324822797390411</c:v>
                </c:pt>
                <c:pt idx="50">
                  <c:v>97.324822797390411</c:v>
                </c:pt>
                <c:pt idx="51">
                  <c:v>95.841121407743401</c:v>
                </c:pt>
                <c:pt idx="52">
                  <c:v>96.923021415193674</c:v>
                </c:pt>
                <c:pt idx="53">
                  <c:v>94.730579873194728</c:v>
                </c:pt>
                <c:pt idx="54">
                  <c:v>93.857886013984981</c:v>
                </c:pt>
                <c:pt idx="55">
                  <c:v>92.423291078978465</c:v>
                </c:pt>
                <c:pt idx="56">
                  <c:v>92.423291078978465</c:v>
                </c:pt>
                <c:pt idx="57">
                  <c:v>92.423291078978465</c:v>
                </c:pt>
                <c:pt idx="58">
                  <c:v>88.274287663549572</c:v>
                </c:pt>
                <c:pt idx="59">
                  <c:v>89.1131974065419</c:v>
                </c:pt>
                <c:pt idx="60">
                  <c:v>89.911692724794406</c:v>
                </c:pt>
                <c:pt idx="61">
                  <c:v>89.911692724794406</c:v>
                </c:pt>
                <c:pt idx="62">
                  <c:v>90.481161255194721</c:v>
                </c:pt>
                <c:pt idx="63">
                  <c:v>90.481161255194721</c:v>
                </c:pt>
                <c:pt idx="64">
                  <c:v>90.481161255194721</c:v>
                </c:pt>
                <c:pt idx="65">
                  <c:v>92.069987006469546</c:v>
                </c:pt>
                <c:pt idx="66">
                  <c:v>89.780621131050978</c:v>
                </c:pt>
                <c:pt idx="67">
                  <c:v>89.166204731744273</c:v>
                </c:pt>
                <c:pt idx="68">
                  <c:v>86.512019601347475</c:v>
                </c:pt>
                <c:pt idx="69">
                  <c:v>85.44671879385551</c:v>
                </c:pt>
                <c:pt idx="70">
                  <c:v>85.44671879385551</c:v>
                </c:pt>
                <c:pt idx="71">
                  <c:v>85.44671879385551</c:v>
                </c:pt>
                <c:pt idx="72">
                  <c:v>84.703679094941805</c:v>
                </c:pt>
                <c:pt idx="73">
                  <c:v>85.22655975079411</c:v>
                </c:pt>
                <c:pt idx="74">
                  <c:v>84.486214346863093</c:v>
                </c:pt>
                <c:pt idx="75">
                  <c:v>83.665122093734254</c:v>
                </c:pt>
                <c:pt idx="76">
                  <c:v>82.887911705844843</c:v>
                </c:pt>
                <c:pt idx="77">
                  <c:v>82.887911705844843</c:v>
                </c:pt>
                <c:pt idx="78">
                  <c:v>82.887911705844843</c:v>
                </c:pt>
                <c:pt idx="79">
                  <c:v>81.783250762954054</c:v>
                </c:pt>
                <c:pt idx="80">
                  <c:v>83.633657414067216</c:v>
                </c:pt>
                <c:pt idx="81">
                  <c:v>84.487713780592586</c:v>
                </c:pt>
                <c:pt idx="82">
                  <c:v>82.088022382796936</c:v>
                </c:pt>
                <c:pt idx="83">
                  <c:v>82.750760376901383</c:v>
                </c:pt>
                <c:pt idx="84">
                  <c:v>82.750760376901383</c:v>
                </c:pt>
                <c:pt idx="85">
                  <c:v>82.750760376901383</c:v>
                </c:pt>
                <c:pt idx="86">
                  <c:v>83.116622206894675</c:v>
                </c:pt>
                <c:pt idx="87">
                  <c:v>83.645664598229075</c:v>
                </c:pt>
                <c:pt idx="88">
                  <c:v>82.713684535074805</c:v>
                </c:pt>
                <c:pt idx="89">
                  <c:v>84.069641199565709</c:v>
                </c:pt>
                <c:pt idx="90">
                  <c:v>85.236376355991766</c:v>
                </c:pt>
                <c:pt idx="91">
                  <c:v>85.236376355991766</c:v>
                </c:pt>
                <c:pt idx="92">
                  <c:v>85.236376355991766</c:v>
                </c:pt>
                <c:pt idx="93">
                  <c:v>85.326846095779118</c:v>
                </c:pt>
                <c:pt idx="94">
                  <c:v>86.296804003862917</c:v>
                </c:pt>
                <c:pt idx="95">
                  <c:v>87.55651576584286</c:v>
                </c:pt>
                <c:pt idx="96">
                  <c:v>87.333884999992975</c:v>
                </c:pt>
                <c:pt idx="97">
                  <c:v>87.869616271479984</c:v>
                </c:pt>
                <c:pt idx="98">
                  <c:v>87.869616271479984</c:v>
                </c:pt>
                <c:pt idx="99">
                  <c:v>87.869616271479984</c:v>
                </c:pt>
                <c:pt idx="100">
                  <c:v>87.869616271479984</c:v>
                </c:pt>
                <c:pt idx="101">
                  <c:v>87.696232532182734</c:v>
                </c:pt>
                <c:pt idx="102">
                  <c:v>87.152886948788222</c:v>
                </c:pt>
                <c:pt idx="103">
                  <c:v>88.860449108516349</c:v>
                </c:pt>
                <c:pt idx="104">
                  <c:v>89.725118654408178</c:v>
                </c:pt>
                <c:pt idx="105">
                  <c:v>89.725118654408178</c:v>
                </c:pt>
                <c:pt idx="106">
                  <c:v>89.725118654408178</c:v>
                </c:pt>
                <c:pt idx="107">
                  <c:v>89.793331174773485</c:v>
                </c:pt>
                <c:pt idx="108">
                  <c:v>91.524380558154775</c:v>
                </c:pt>
                <c:pt idx="109">
                  <c:v>90.625106893224782</c:v>
                </c:pt>
                <c:pt idx="110">
                  <c:v>90.770610536614484</c:v>
                </c:pt>
                <c:pt idx="111">
                  <c:v>92.040970620938936</c:v>
                </c:pt>
                <c:pt idx="112">
                  <c:v>92.040970620938936</c:v>
                </c:pt>
                <c:pt idx="113">
                  <c:v>92.040970620938936</c:v>
                </c:pt>
                <c:pt idx="114">
                  <c:v>91.367197731731608</c:v>
                </c:pt>
                <c:pt idx="115">
                  <c:v>92.724724115908103</c:v>
                </c:pt>
                <c:pt idx="116">
                  <c:v>93.970027256893744</c:v>
                </c:pt>
                <c:pt idx="117">
                  <c:v>93.018003981933703</c:v>
                </c:pt>
                <c:pt idx="118">
                  <c:v>93.557753267242703</c:v>
                </c:pt>
                <c:pt idx="119">
                  <c:v>93.557753267242703</c:v>
                </c:pt>
                <c:pt idx="120">
                  <c:v>93.557753267242703</c:v>
                </c:pt>
                <c:pt idx="121">
                  <c:v>94.037443203090334</c:v>
                </c:pt>
                <c:pt idx="122">
                  <c:v>92.801394379653772</c:v>
                </c:pt>
                <c:pt idx="123">
                  <c:v>92.896538135519705</c:v>
                </c:pt>
                <c:pt idx="124">
                  <c:v>93.289014914211293</c:v>
                </c:pt>
                <c:pt idx="125">
                  <c:v>95.395590446545413</c:v>
                </c:pt>
                <c:pt idx="126">
                  <c:v>95.395590446545413</c:v>
                </c:pt>
                <c:pt idx="127">
                  <c:v>95.395590446545413</c:v>
                </c:pt>
                <c:pt idx="128">
                  <c:v>94.945502612528955</c:v>
                </c:pt>
                <c:pt idx="129">
                  <c:v>94.120532917490323</c:v>
                </c:pt>
                <c:pt idx="130">
                  <c:v>92.720881816976245</c:v>
                </c:pt>
                <c:pt idx="131">
                  <c:v>92.271391413586414</c:v>
                </c:pt>
                <c:pt idx="132">
                  <c:v>89.631404046315623</c:v>
                </c:pt>
                <c:pt idx="133">
                  <c:v>89.631404046315623</c:v>
                </c:pt>
                <c:pt idx="134">
                  <c:v>89.631404046315623</c:v>
                </c:pt>
                <c:pt idx="135">
                  <c:v>90.781868003911654</c:v>
                </c:pt>
                <c:pt idx="136">
                  <c:v>92.077074173706535</c:v>
                </c:pt>
                <c:pt idx="137">
                  <c:v>90.291670317631585</c:v>
                </c:pt>
                <c:pt idx="138">
                  <c:v>89.987952987129702</c:v>
                </c:pt>
                <c:pt idx="139">
                  <c:v>89.062263517043647</c:v>
                </c:pt>
                <c:pt idx="140">
                  <c:v>89.062263517043647</c:v>
                </c:pt>
                <c:pt idx="141">
                  <c:v>89.062263517043647</c:v>
                </c:pt>
                <c:pt idx="142">
                  <c:v>89.412978723503926</c:v>
                </c:pt>
                <c:pt idx="143">
                  <c:v>88.068771528002586</c:v>
                </c:pt>
                <c:pt idx="144">
                  <c:v>90.085861323934353</c:v>
                </c:pt>
                <c:pt idx="145">
                  <c:v>88.599863926389062</c:v>
                </c:pt>
                <c:pt idx="146">
                  <c:v>89.336062458911982</c:v>
                </c:pt>
                <c:pt idx="147">
                  <c:v>89.336062458911982</c:v>
                </c:pt>
                <c:pt idx="148">
                  <c:v>89.336062458911982</c:v>
                </c:pt>
                <c:pt idx="149">
                  <c:v>91.289367749710763</c:v>
                </c:pt>
                <c:pt idx="150">
                  <c:v>90.754608767282733</c:v>
                </c:pt>
                <c:pt idx="151">
                  <c:v>91.827231028531855</c:v>
                </c:pt>
                <c:pt idx="152">
                  <c:v>89.502241887712103</c:v>
                </c:pt>
                <c:pt idx="153">
                  <c:v>89.822558418172378</c:v>
                </c:pt>
                <c:pt idx="154">
                  <c:v>89.822558418172378</c:v>
                </c:pt>
                <c:pt idx="155">
                  <c:v>89.822558418172378</c:v>
                </c:pt>
                <c:pt idx="156">
                  <c:v>89.254647893131576</c:v>
                </c:pt>
                <c:pt idx="157">
                  <c:v>87.519838211100577</c:v>
                </c:pt>
                <c:pt idx="158">
                  <c:v>87.965533172862678</c:v>
                </c:pt>
                <c:pt idx="159">
                  <c:v>89.516205364317898</c:v>
                </c:pt>
                <c:pt idx="160">
                  <c:v>89.516205364317898</c:v>
                </c:pt>
                <c:pt idx="161">
                  <c:v>89.516205364317898</c:v>
                </c:pt>
                <c:pt idx="162">
                  <c:v>89.516205364317898</c:v>
                </c:pt>
                <c:pt idx="163">
                  <c:v>89.540032303425363</c:v>
                </c:pt>
                <c:pt idx="164">
                  <c:v>87.455069702582605</c:v>
                </c:pt>
                <c:pt idx="165">
                  <c:v>88.003651589704333</c:v>
                </c:pt>
                <c:pt idx="166">
                  <c:v>87.490400109833516</c:v>
                </c:pt>
                <c:pt idx="167">
                  <c:v>88.360095101584236</c:v>
                </c:pt>
                <c:pt idx="168">
                  <c:v>88.360095101584236</c:v>
                </c:pt>
                <c:pt idx="169">
                  <c:v>88.360095101584236</c:v>
                </c:pt>
                <c:pt idx="170">
                  <c:v>89.952962295333165</c:v>
                </c:pt>
                <c:pt idx="171">
                  <c:v>91.739525869683305</c:v>
                </c:pt>
                <c:pt idx="172">
                  <c:v>91.569316712735187</c:v>
                </c:pt>
                <c:pt idx="173">
                  <c:v>91.507640786284298</c:v>
                </c:pt>
                <c:pt idx="174">
                  <c:v>93.063631281748755</c:v>
                </c:pt>
                <c:pt idx="175">
                  <c:v>93.063631281748755</c:v>
                </c:pt>
                <c:pt idx="176">
                  <c:v>93.063631281748755</c:v>
                </c:pt>
                <c:pt idx="177">
                  <c:v>91.353210826473784</c:v>
                </c:pt>
                <c:pt idx="178">
                  <c:v>92.10990942951706</c:v>
                </c:pt>
                <c:pt idx="179">
                  <c:v>92.140390105799085</c:v>
                </c:pt>
                <c:pt idx="180">
                  <c:v>93.714713521471666</c:v>
                </c:pt>
                <c:pt idx="181">
                  <c:v>92.944297442668926</c:v>
                </c:pt>
                <c:pt idx="182">
                  <c:v>92.102318546261458</c:v>
                </c:pt>
                <c:pt idx="183">
                  <c:v>95.60328544673051</c:v>
                </c:pt>
                <c:pt idx="184">
                  <c:v>97.549175569163964</c:v>
                </c:pt>
                <c:pt idx="185">
                  <c:v>97.173625991559106</c:v>
                </c:pt>
                <c:pt idx="186">
                  <c:v>96.434112304774914</c:v>
                </c:pt>
                <c:pt idx="187">
                  <c:v>100.841498609041</c:v>
                </c:pt>
                <c:pt idx="188">
                  <c:v>100.84576262370911</c:v>
                </c:pt>
                <c:pt idx="189">
                  <c:v>98.024437489779245</c:v>
                </c:pt>
                <c:pt idx="190">
                  <c:v>97.136456435124401</c:v>
                </c:pt>
                <c:pt idx="191">
                  <c:v>97.136456435124401</c:v>
                </c:pt>
                <c:pt idx="192">
                  <c:v>97.650340488599824</c:v>
                </c:pt>
                <c:pt idx="193">
                  <c:v>100.4123442756072</c:v>
                </c:pt>
                <c:pt idx="194">
                  <c:v>100.46668703397479</c:v>
                </c:pt>
                <c:pt idx="195">
                  <c:v>98.221249881099595</c:v>
                </c:pt>
                <c:pt idx="196">
                  <c:v>98.657749096942609</c:v>
                </c:pt>
                <c:pt idx="197">
                  <c:v>100.27075321710539</c:v>
                </c:pt>
                <c:pt idx="198">
                  <c:v>99.923236021646204</c:v>
                </c:pt>
                <c:pt idx="199">
                  <c:v>97.303362152137183</c:v>
                </c:pt>
                <c:pt idx="200">
                  <c:v>98.498164833687028</c:v>
                </c:pt>
                <c:pt idx="201">
                  <c:v>100.41505028491601</c:v>
                </c:pt>
                <c:pt idx="202">
                  <c:v>98.162197963675283</c:v>
                </c:pt>
                <c:pt idx="203">
                  <c:v>101.7807532686484</c:v>
                </c:pt>
                <c:pt idx="204">
                  <c:v>102.4107965788545</c:v>
                </c:pt>
                <c:pt idx="205">
                  <c:v>103.576957733306</c:v>
                </c:pt>
                <c:pt idx="206">
                  <c:v>103.576957733306</c:v>
                </c:pt>
                <c:pt idx="207">
                  <c:v>104.958205627656</c:v>
                </c:pt>
                <c:pt idx="208">
                  <c:v>103.8696635973571</c:v>
                </c:pt>
                <c:pt idx="209">
                  <c:v>102.75144917927101</c:v>
                </c:pt>
                <c:pt idx="210">
                  <c:v>100.29821159727651</c:v>
                </c:pt>
                <c:pt idx="211">
                  <c:v>100.3229053965088</c:v>
                </c:pt>
                <c:pt idx="212">
                  <c:v>100.1864217841481</c:v>
                </c:pt>
                <c:pt idx="213">
                  <c:v>99.471156752207804</c:v>
                </c:pt>
                <c:pt idx="214">
                  <c:v>100.71164530520269</c:v>
                </c:pt>
                <c:pt idx="215">
                  <c:v>100.71164530520269</c:v>
                </c:pt>
                <c:pt idx="216">
                  <c:v>103.68967297818929</c:v>
                </c:pt>
                <c:pt idx="217">
                  <c:v>102.9698979307346</c:v>
                </c:pt>
                <c:pt idx="218">
                  <c:v>102.9698979307346</c:v>
                </c:pt>
                <c:pt idx="219">
                  <c:v>102.2295173838255</c:v>
                </c:pt>
                <c:pt idx="220">
                  <c:v>102.473925081731</c:v>
                </c:pt>
                <c:pt idx="221">
                  <c:v>101.01289091291611</c:v>
                </c:pt>
                <c:pt idx="222">
                  <c:v>100.2119707291793</c:v>
                </c:pt>
                <c:pt idx="223">
                  <c:v>102.95859360613341</c:v>
                </c:pt>
                <c:pt idx="224">
                  <c:v>104.55132022797019</c:v>
                </c:pt>
                <c:pt idx="225">
                  <c:v>105.0887032194248</c:v>
                </c:pt>
                <c:pt idx="226">
                  <c:v>104.8479386769091</c:v>
                </c:pt>
                <c:pt idx="227">
                  <c:v>105.21818166483069</c:v>
                </c:pt>
                <c:pt idx="228">
                  <c:v>103.8175699895836</c:v>
                </c:pt>
                <c:pt idx="229">
                  <c:v>104.304112806148</c:v>
                </c:pt>
                <c:pt idx="230">
                  <c:v>104.0776631700185</c:v>
                </c:pt>
                <c:pt idx="231">
                  <c:v>103.2208656512064</c:v>
                </c:pt>
                <c:pt idx="232">
                  <c:v>100.6432922129252</c:v>
                </c:pt>
                <c:pt idx="233">
                  <c:v>101.2347016759452</c:v>
                </c:pt>
                <c:pt idx="234">
                  <c:v>101.8882322098045</c:v>
                </c:pt>
                <c:pt idx="235">
                  <c:v>102.8958165330374</c:v>
                </c:pt>
                <c:pt idx="236">
                  <c:v>102.44119525485451</c:v>
                </c:pt>
                <c:pt idx="237">
                  <c:v>101.21140188150819</c:v>
                </c:pt>
                <c:pt idx="238">
                  <c:v>101.458351588158</c:v>
                </c:pt>
                <c:pt idx="239">
                  <c:v>100.3607543838522</c:v>
                </c:pt>
                <c:pt idx="240">
                  <c:v>99.887226183486604</c:v>
                </c:pt>
                <c:pt idx="241">
                  <c:v>100.3884353362175</c:v>
                </c:pt>
                <c:pt idx="242">
                  <c:v>100.3884353362175</c:v>
                </c:pt>
                <c:pt idx="243">
                  <c:v>100.3884353362175</c:v>
                </c:pt>
                <c:pt idx="244">
                  <c:v>99.731203075338598</c:v>
                </c:pt>
                <c:pt idx="245">
                  <c:v>100.1108643813735</c:v>
                </c:pt>
                <c:pt idx="246">
                  <c:v>102.954001590337</c:v>
                </c:pt>
                <c:pt idx="247">
                  <c:v>102.954001590337</c:v>
                </c:pt>
                <c:pt idx="248">
                  <c:v>102.954001590337</c:v>
                </c:pt>
                <c:pt idx="249">
                  <c:v>106.6147870405817</c:v>
                </c:pt>
                <c:pt idx="250">
                  <c:v>107.26134755046409</c:v>
                </c:pt>
                <c:pt idx="251">
                  <c:v>107.585295521988</c:v>
                </c:pt>
                <c:pt idx="252">
                  <c:v>107.41925666510009</c:v>
                </c:pt>
                <c:pt idx="253">
                  <c:v>107.809121149091</c:v>
                </c:pt>
                <c:pt idx="254">
                  <c:v>109.661366949388</c:v>
                </c:pt>
                <c:pt idx="255">
                  <c:v>109.88732458382511</c:v>
                </c:pt>
                <c:pt idx="256">
                  <c:v>109.7143977032424</c:v>
                </c:pt>
                <c:pt idx="257">
                  <c:v>110.670075847918</c:v>
                </c:pt>
                <c:pt idx="258">
                  <c:v>110.17993673326809</c:v>
                </c:pt>
                <c:pt idx="259">
                  <c:v>110.57511952126831</c:v>
                </c:pt>
                <c:pt idx="260">
                  <c:v>111.69737538182849</c:v>
                </c:pt>
                <c:pt idx="261">
                  <c:v>112.570865815207</c:v>
                </c:pt>
                <c:pt idx="262">
                  <c:v>112.46897460755839</c:v>
                </c:pt>
                <c:pt idx="263">
                  <c:v>111.4071998121959</c:v>
                </c:pt>
                <c:pt idx="264">
                  <c:v>113.11168110418301</c:v>
                </c:pt>
                <c:pt idx="265">
                  <c:v>114.4222447553791</c:v>
                </c:pt>
                <c:pt idx="266">
                  <c:v>114.4222447553791</c:v>
                </c:pt>
                <c:pt idx="267">
                  <c:v>111.80607261288969</c:v>
                </c:pt>
                <c:pt idx="268">
                  <c:v>112.0350291147859</c:v>
                </c:pt>
                <c:pt idx="269">
                  <c:v>113.62452258264339</c:v>
                </c:pt>
                <c:pt idx="270">
                  <c:v>114.0902021845812</c:v>
                </c:pt>
                <c:pt idx="271">
                  <c:v>114.63788206860001</c:v>
                </c:pt>
                <c:pt idx="272">
                  <c:v>115.4899352853774</c:v>
                </c:pt>
                <c:pt idx="273">
                  <c:v>115.1649447388385</c:v>
                </c:pt>
                <c:pt idx="274">
                  <c:v>110.8591919270488</c:v>
                </c:pt>
                <c:pt idx="275">
                  <c:v>110.58978585743471</c:v>
                </c:pt>
                <c:pt idx="276">
                  <c:v>111.6880156353452</c:v>
                </c:pt>
                <c:pt idx="277">
                  <c:v>110.59836074407529</c:v>
                </c:pt>
                <c:pt idx="278">
                  <c:v>112.65479896107981</c:v>
                </c:pt>
                <c:pt idx="279">
                  <c:v>112.27291193310271</c:v>
                </c:pt>
                <c:pt idx="280">
                  <c:v>114.81807183130989</c:v>
                </c:pt>
                <c:pt idx="281">
                  <c:v>114.2450304314761</c:v>
                </c:pt>
                <c:pt idx="282">
                  <c:v>113.054831480049</c:v>
                </c:pt>
                <c:pt idx="283">
                  <c:v>114.40111211125421</c:v>
                </c:pt>
                <c:pt idx="284">
                  <c:v>113.0957379064812</c:v>
                </c:pt>
                <c:pt idx="285">
                  <c:v>113.54962118212541</c:v>
                </c:pt>
                <c:pt idx="286">
                  <c:v>114.6663830237862</c:v>
                </c:pt>
                <c:pt idx="287">
                  <c:v>113.9099889932193</c:v>
                </c:pt>
                <c:pt idx="288">
                  <c:v>114.3347504543987</c:v>
                </c:pt>
                <c:pt idx="289">
                  <c:v>113.98895526486331</c:v>
                </c:pt>
                <c:pt idx="290">
                  <c:v>111.9706237503743</c:v>
                </c:pt>
              </c:numCache>
            </c:numRef>
          </c:val>
          <c:smooth val="0"/>
        </c:ser>
        <c:ser>
          <c:idx val="1"/>
          <c:order val="1"/>
          <c:tx>
            <c:strRef>
              <c:f>Index_Charts!$L$1</c:f>
              <c:strCache>
                <c:ptCount val="1"/>
                <c:pt idx="0">
                  <c:v>Russian Traded</c:v>
                </c:pt>
              </c:strCache>
            </c:strRef>
          </c:tx>
          <c:spPr>
            <a:ln w="28575" cap="rnd">
              <a:solidFill>
                <a:schemeClr val="accent2"/>
              </a:solidFill>
              <a:round/>
            </a:ln>
            <a:effectLst/>
          </c:spPr>
          <c:marker>
            <c:symbol val="none"/>
          </c:marker>
          <c:cat>
            <c:numRef>
              <c:f>Index_Charts!$B$2:$B$292</c:f>
              <c:numCache>
                <c:formatCode>[$-409]mmmm\-yy;@</c:formatCode>
                <c:ptCount val="291"/>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pt idx="248">
                  <c:v>43466</c:v>
                </c:pt>
                <c:pt idx="249">
                  <c:v>43467</c:v>
                </c:pt>
                <c:pt idx="250">
                  <c:v>43468</c:v>
                </c:pt>
                <c:pt idx="251">
                  <c:v>43469</c:v>
                </c:pt>
                <c:pt idx="252">
                  <c:v>43472</c:v>
                </c:pt>
                <c:pt idx="253">
                  <c:v>43473</c:v>
                </c:pt>
                <c:pt idx="254">
                  <c:v>43474</c:v>
                </c:pt>
                <c:pt idx="255">
                  <c:v>43475</c:v>
                </c:pt>
                <c:pt idx="256">
                  <c:v>43476</c:v>
                </c:pt>
                <c:pt idx="257">
                  <c:v>43479</c:v>
                </c:pt>
                <c:pt idx="258">
                  <c:v>43480</c:v>
                </c:pt>
                <c:pt idx="259">
                  <c:v>43481</c:v>
                </c:pt>
                <c:pt idx="260">
                  <c:v>43482</c:v>
                </c:pt>
                <c:pt idx="261">
                  <c:v>43483</c:v>
                </c:pt>
                <c:pt idx="262">
                  <c:v>43486</c:v>
                </c:pt>
                <c:pt idx="263">
                  <c:v>43487</c:v>
                </c:pt>
                <c:pt idx="264">
                  <c:v>43488</c:v>
                </c:pt>
                <c:pt idx="265">
                  <c:v>43489</c:v>
                </c:pt>
                <c:pt idx="266">
                  <c:v>43490</c:v>
                </c:pt>
                <c:pt idx="267">
                  <c:v>43493</c:v>
                </c:pt>
                <c:pt idx="268">
                  <c:v>43494</c:v>
                </c:pt>
                <c:pt idx="269">
                  <c:v>43495</c:v>
                </c:pt>
                <c:pt idx="270">
                  <c:v>43496</c:v>
                </c:pt>
                <c:pt idx="271">
                  <c:v>43497</c:v>
                </c:pt>
                <c:pt idx="272">
                  <c:v>43500</c:v>
                </c:pt>
                <c:pt idx="273">
                  <c:v>43501</c:v>
                </c:pt>
                <c:pt idx="274">
                  <c:v>43502</c:v>
                </c:pt>
                <c:pt idx="275">
                  <c:v>43503</c:v>
                </c:pt>
                <c:pt idx="276">
                  <c:v>43504</c:v>
                </c:pt>
                <c:pt idx="277">
                  <c:v>43507</c:v>
                </c:pt>
                <c:pt idx="278">
                  <c:v>43508</c:v>
                </c:pt>
                <c:pt idx="279">
                  <c:v>43509</c:v>
                </c:pt>
                <c:pt idx="280">
                  <c:v>43510</c:v>
                </c:pt>
                <c:pt idx="281">
                  <c:v>43511</c:v>
                </c:pt>
                <c:pt idx="282">
                  <c:v>43514</c:v>
                </c:pt>
                <c:pt idx="283">
                  <c:v>43515</c:v>
                </c:pt>
                <c:pt idx="284">
                  <c:v>43516</c:v>
                </c:pt>
                <c:pt idx="285">
                  <c:v>43517</c:v>
                </c:pt>
                <c:pt idx="286">
                  <c:v>43518</c:v>
                </c:pt>
                <c:pt idx="287">
                  <c:v>43521</c:v>
                </c:pt>
                <c:pt idx="288">
                  <c:v>43522</c:v>
                </c:pt>
                <c:pt idx="289">
                  <c:v>43523</c:v>
                </c:pt>
                <c:pt idx="290">
                  <c:v>43524</c:v>
                </c:pt>
              </c:numCache>
            </c:numRef>
          </c:cat>
          <c:val>
            <c:numRef>
              <c:f>Index_Charts!$L$2:$L$292</c:f>
              <c:numCache>
                <c:formatCode>0.00</c:formatCode>
                <c:ptCount val="291"/>
                <c:pt idx="0">
                  <c:v>100</c:v>
                </c:pt>
                <c:pt idx="1">
                  <c:v>100</c:v>
                </c:pt>
                <c:pt idx="2">
                  <c:v>98.549554989925952</c:v>
                </c:pt>
                <c:pt idx="3">
                  <c:v>98.993718500792951</c:v>
                </c:pt>
                <c:pt idx="4">
                  <c:v>99.204230558675306</c:v>
                </c:pt>
                <c:pt idx="5">
                  <c:v>100.503987312839</c:v>
                </c:pt>
                <c:pt idx="6">
                  <c:v>99.173754282199013</c:v>
                </c:pt>
                <c:pt idx="7">
                  <c:v>99.173754282199013</c:v>
                </c:pt>
                <c:pt idx="8">
                  <c:v>99.173754282199013</c:v>
                </c:pt>
                <c:pt idx="9">
                  <c:v>87.356860266272363</c:v>
                </c:pt>
                <c:pt idx="10">
                  <c:v>87.441516589817596</c:v>
                </c:pt>
                <c:pt idx="11">
                  <c:v>87.141268828977303</c:v>
                </c:pt>
                <c:pt idx="12">
                  <c:v>90.868968942416743</c:v>
                </c:pt>
                <c:pt idx="13">
                  <c:v>88.910021615581286</c:v>
                </c:pt>
                <c:pt idx="14">
                  <c:v>88.910021615581286</c:v>
                </c:pt>
                <c:pt idx="15">
                  <c:v>88.910021615581286</c:v>
                </c:pt>
                <c:pt idx="16">
                  <c:v>87.072415019160545</c:v>
                </c:pt>
                <c:pt idx="17">
                  <c:v>90.280325306032609</c:v>
                </c:pt>
                <c:pt idx="18">
                  <c:v>92.785023731989369</c:v>
                </c:pt>
                <c:pt idx="19">
                  <c:v>92.76809246728034</c:v>
                </c:pt>
                <c:pt idx="20">
                  <c:v>92.002234926941611</c:v>
                </c:pt>
                <c:pt idx="21">
                  <c:v>92.002234926941611</c:v>
                </c:pt>
                <c:pt idx="22">
                  <c:v>92.002234926941611</c:v>
                </c:pt>
                <c:pt idx="23">
                  <c:v>92.320542703471432</c:v>
                </c:pt>
                <c:pt idx="24">
                  <c:v>92.875323810437536</c:v>
                </c:pt>
                <c:pt idx="25">
                  <c:v>91.889924204371667</c:v>
                </c:pt>
                <c:pt idx="26">
                  <c:v>92.70036740844418</c:v>
                </c:pt>
                <c:pt idx="27">
                  <c:v>94.354551970517036</c:v>
                </c:pt>
                <c:pt idx="28">
                  <c:v>94.354551970517036</c:v>
                </c:pt>
                <c:pt idx="29">
                  <c:v>94.354551970517036</c:v>
                </c:pt>
                <c:pt idx="30">
                  <c:v>93.236524124230357</c:v>
                </c:pt>
                <c:pt idx="31">
                  <c:v>93.236524124230357</c:v>
                </c:pt>
                <c:pt idx="32">
                  <c:v>91.958213638698126</c:v>
                </c:pt>
                <c:pt idx="33">
                  <c:v>91.029815957152607</c:v>
                </c:pt>
                <c:pt idx="34">
                  <c:v>92.785588107479626</c:v>
                </c:pt>
                <c:pt idx="35">
                  <c:v>92.785588107479626</c:v>
                </c:pt>
                <c:pt idx="36">
                  <c:v>92.785588107479626</c:v>
                </c:pt>
                <c:pt idx="37">
                  <c:v>93.301991681105306</c:v>
                </c:pt>
                <c:pt idx="38">
                  <c:v>92.795182490814781</c:v>
                </c:pt>
                <c:pt idx="39">
                  <c:v>92.795182490814781</c:v>
                </c:pt>
                <c:pt idx="40">
                  <c:v>95.580375535451182</c:v>
                </c:pt>
                <c:pt idx="41">
                  <c:v>97.679852359371722</c:v>
                </c:pt>
                <c:pt idx="42">
                  <c:v>97.679852359371722</c:v>
                </c:pt>
                <c:pt idx="43">
                  <c:v>97.679852359371722</c:v>
                </c:pt>
                <c:pt idx="44">
                  <c:v>98.204721565351861</c:v>
                </c:pt>
                <c:pt idx="45">
                  <c:v>95.982775260035979</c:v>
                </c:pt>
                <c:pt idx="46">
                  <c:v>96.273993013031401</c:v>
                </c:pt>
                <c:pt idx="47">
                  <c:v>95.95907148944336</c:v>
                </c:pt>
                <c:pt idx="48">
                  <c:v>95.206194585381553</c:v>
                </c:pt>
                <c:pt idx="49">
                  <c:v>95.206194585381553</c:v>
                </c:pt>
                <c:pt idx="50">
                  <c:v>95.206194585381553</c:v>
                </c:pt>
                <c:pt idx="51">
                  <c:v>96.414522510116413</c:v>
                </c:pt>
                <c:pt idx="52">
                  <c:v>97.173607544571524</c:v>
                </c:pt>
                <c:pt idx="53">
                  <c:v>95.11476575595276</c:v>
                </c:pt>
                <c:pt idx="54">
                  <c:v>94.986088144164057</c:v>
                </c:pt>
                <c:pt idx="55">
                  <c:v>94.756387319611434</c:v>
                </c:pt>
                <c:pt idx="56">
                  <c:v>94.756387319611434</c:v>
                </c:pt>
                <c:pt idx="57">
                  <c:v>94.756387319611434</c:v>
                </c:pt>
                <c:pt idx="58">
                  <c:v>94.509190854859526</c:v>
                </c:pt>
                <c:pt idx="59">
                  <c:v>94.075186102817895</c:v>
                </c:pt>
                <c:pt idx="60">
                  <c:v>94.334798828356455</c:v>
                </c:pt>
                <c:pt idx="61">
                  <c:v>94.528379621529766</c:v>
                </c:pt>
                <c:pt idx="62">
                  <c:v>94.366403855813346</c:v>
                </c:pt>
                <c:pt idx="63">
                  <c:v>94.366403855813346</c:v>
                </c:pt>
                <c:pt idx="64">
                  <c:v>94.366403855813346</c:v>
                </c:pt>
                <c:pt idx="65">
                  <c:v>95.753074435483384</c:v>
                </c:pt>
                <c:pt idx="66">
                  <c:v>94.929086219643651</c:v>
                </c:pt>
                <c:pt idx="67">
                  <c:v>95.33600094815084</c:v>
                </c:pt>
                <c:pt idx="68">
                  <c:v>94.857410532375411</c:v>
                </c:pt>
                <c:pt idx="69">
                  <c:v>92.210489482862755</c:v>
                </c:pt>
                <c:pt idx="70">
                  <c:v>92.210489482862755</c:v>
                </c:pt>
                <c:pt idx="71">
                  <c:v>92.210489482862755</c:v>
                </c:pt>
                <c:pt idx="72">
                  <c:v>92.152923182852007</c:v>
                </c:pt>
                <c:pt idx="73">
                  <c:v>92.152923182852007</c:v>
                </c:pt>
                <c:pt idx="74">
                  <c:v>92.41140715740994</c:v>
                </c:pt>
                <c:pt idx="75">
                  <c:v>91.850417920050546</c:v>
                </c:pt>
                <c:pt idx="76">
                  <c:v>89.600817215709924</c:v>
                </c:pt>
                <c:pt idx="77">
                  <c:v>89.600817215709924</c:v>
                </c:pt>
                <c:pt idx="78">
                  <c:v>89.600817215709924</c:v>
                </c:pt>
                <c:pt idx="79">
                  <c:v>88.636863878275506</c:v>
                </c:pt>
                <c:pt idx="80">
                  <c:v>88.445540587063405</c:v>
                </c:pt>
                <c:pt idx="81">
                  <c:v>90.476163601167187</c:v>
                </c:pt>
                <c:pt idx="82">
                  <c:v>89.926461873613746</c:v>
                </c:pt>
                <c:pt idx="83">
                  <c:v>91.403996907222322</c:v>
                </c:pt>
                <c:pt idx="84">
                  <c:v>91.403996907222322</c:v>
                </c:pt>
                <c:pt idx="85">
                  <c:v>91.403996907222322</c:v>
                </c:pt>
                <c:pt idx="86">
                  <c:v>91.029815957152607</c:v>
                </c:pt>
                <c:pt idx="87">
                  <c:v>90.227274009944296</c:v>
                </c:pt>
                <c:pt idx="88">
                  <c:v>91.931687990653955</c:v>
                </c:pt>
                <c:pt idx="89">
                  <c:v>91.679976521979583</c:v>
                </c:pt>
                <c:pt idx="90">
                  <c:v>94.266509394030066</c:v>
                </c:pt>
                <c:pt idx="91">
                  <c:v>94.266509394030066</c:v>
                </c:pt>
                <c:pt idx="92">
                  <c:v>94.266509394030066</c:v>
                </c:pt>
                <c:pt idx="93">
                  <c:v>94.443723297984633</c:v>
                </c:pt>
                <c:pt idx="94">
                  <c:v>93.741640188049956</c:v>
                </c:pt>
                <c:pt idx="95">
                  <c:v>93.873139677290098</c:v>
                </c:pt>
                <c:pt idx="96">
                  <c:v>96.170712298306285</c:v>
                </c:pt>
                <c:pt idx="97">
                  <c:v>96.243516736555151</c:v>
                </c:pt>
                <c:pt idx="98">
                  <c:v>96.243516736555151</c:v>
                </c:pt>
                <c:pt idx="99">
                  <c:v>96.243516736555151</c:v>
                </c:pt>
                <c:pt idx="100">
                  <c:v>97.819817480966435</c:v>
                </c:pt>
                <c:pt idx="101">
                  <c:v>98.388143599699717</c:v>
                </c:pt>
                <c:pt idx="102">
                  <c:v>97.645425454463378</c:v>
                </c:pt>
                <c:pt idx="103">
                  <c:v>96.503693837583995</c:v>
                </c:pt>
                <c:pt idx="104">
                  <c:v>97.751528046639976</c:v>
                </c:pt>
                <c:pt idx="105">
                  <c:v>97.751528046639976</c:v>
                </c:pt>
                <c:pt idx="106">
                  <c:v>97.751528046639976</c:v>
                </c:pt>
                <c:pt idx="107">
                  <c:v>96.637450828785376</c:v>
                </c:pt>
                <c:pt idx="108">
                  <c:v>95.025594428485178</c:v>
                </c:pt>
                <c:pt idx="109">
                  <c:v>93.268693527177504</c:v>
                </c:pt>
                <c:pt idx="110">
                  <c:v>91.629182727852452</c:v>
                </c:pt>
                <c:pt idx="111">
                  <c:v>90.668615643359843</c:v>
                </c:pt>
                <c:pt idx="112">
                  <c:v>90.668615643359843</c:v>
                </c:pt>
                <c:pt idx="113">
                  <c:v>90.668615643359843</c:v>
                </c:pt>
                <c:pt idx="114">
                  <c:v>91.889924204371667</c:v>
                </c:pt>
                <c:pt idx="115">
                  <c:v>93.169363440884482</c:v>
                </c:pt>
                <c:pt idx="116">
                  <c:v>92.902978209462304</c:v>
                </c:pt>
                <c:pt idx="117">
                  <c:v>93.391163008572875</c:v>
                </c:pt>
                <c:pt idx="118">
                  <c:v>93.790740855706105</c:v>
                </c:pt>
                <c:pt idx="119">
                  <c:v>93.790740855706105</c:v>
                </c:pt>
                <c:pt idx="120">
                  <c:v>93.790740855706105</c:v>
                </c:pt>
                <c:pt idx="121">
                  <c:v>94.765417327456262</c:v>
                </c:pt>
                <c:pt idx="122">
                  <c:v>96.102422863979839</c:v>
                </c:pt>
                <c:pt idx="123">
                  <c:v>95.047605072606913</c:v>
                </c:pt>
                <c:pt idx="124">
                  <c:v>93.487671217414373</c:v>
                </c:pt>
                <c:pt idx="125">
                  <c:v>93.69197514490341</c:v>
                </c:pt>
                <c:pt idx="126">
                  <c:v>93.69197514490341</c:v>
                </c:pt>
                <c:pt idx="127">
                  <c:v>93.69197514490341</c:v>
                </c:pt>
                <c:pt idx="128">
                  <c:v>93.146788421272447</c:v>
                </c:pt>
                <c:pt idx="129">
                  <c:v>94.031729190064738</c:v>
                </c:pt>
                <c:pt idx="130">
                  <c:v>91.515178878811625</c:v>
                </c:pt>
                <c:pt idx="131">
                  <c:v>90.201312737390452</c:v>
                </c:pt>
                <c:pt idx="132">
                  <c:v>87.830935678125371</c:v>
                </c:pt>
                <c:pt idx="133">
                  <c:v>87.830935678125371</c:v>
                </c:pt>
                <c:pt idx="134">
                  <c:v>87.830935678125371</c:v>
                </c:pt>
                <c:pt idx="135">
                  <c:v>87.439259087856371</c:v>
                </c:pt>
                <c:pt idx="136">
                  <c:v>89.011609203835505</c:v>
                </c:pt>
                <c:pt idx="137">
                  <c:v>87.052097501509664</c:v>
                </c:pt>
                <c:pt idx="138">
                  <c:v>87.755309362424981</c:v>
                </c:pt>
                <c:pt idx="139">
                  <c:v>86.600032733778406</c:v>
                </c:pt>
                <c:pt idx="140">
                  <c:v>86.600032733778406</c:v>
                </c:pt>
                <c:pt idx="141">
                  <c:v>86.600032733778406</c:v>
                </c:pt>
                <c:pt idx="142">
                  <c:v>87.486102253551323</c:v>
                </c:pt>
                <c:pt idx="143">
                  <c:v>88.029031475221075</c:v>
                </c:pt>
                <c:pt idx="144">
                  <c:v>87.693228058491854</c:v>
                </c:pt>
                <c:pt idx="145">
                  <c:v>85.454914863957299</c:v>
                </c:pt>
                <c:pt idx="146">
                  <c:v>87.486102253551323</c:v>
                </c:pt>
                <c:pt idx="147">
                  <c:v>87.486102253551323</c:v>
                </c:pt>
                <c:pt idx="148">
                  <c:v>87.486102253551323</c:v>
                </c:pt>
                <c:pt idx="149">
                  <c:v>89.431504568619602</c:v>
                </c:pt>
                <c:pt idx="150">
                  <c:v>88.680885166518934</c:v>
                </c:pt>
                <c:pt idx="151">
                  <c:v>89.095136776400054</c:v>
                </c:pt>
                <c:pt idx="152">
                  <c:v>88.463600602753033</c:v>
                </c:pt>
                <c:pt idx="153">
                  <c:v>90.173658338365669</c:v>
                </c:pt>
                <c:pt idx="154">
                  <c:v>90.173658338365669</c:v>
                </c:pt>
                <c:pt idx="155">
                  <c:v>90.173658338365669</c:v>
                </c:pt>
                <c:pt idx="156">
                  <c:v>89.237359399955963</c:v>
                </c:pt>
                <c:pt idx="157">
                  <c:v>88.882931592046774</c:v>
                </c:pt>
                <c:pt idx="158">
                  <c:v>88.066844633071284</c:v>
                </c:pt>
                <c:pt idx="159">
                  <c:v>87.122644437797348</c:v>
                </c:pt>
                <c:pt idx="160">
                  <c:v>86.778375388713584</c:v>
                </c:pt>
                <c:pt idx="161">
                  <c:v>86.778375388713584</c:v>
                </c:pt>
                <c:pt idx="162">
                  <c:v>86.778375388713584</c:v>
                </c:pt>
                <c:pt idx="163">
                  <c:v>86.424511956294751</c:v>
                </c:pt>
                <c:pt idx="164">
                  <c:v>87.211251389774674</c:v>
                </c:pt>
                <c:pt idx="165">
                  <c:v>88.518909400802571</c:v>
                </c:pt>
                <c:pt idx="166">
                  <c:v>89.511645888242398</c:v>
                </c:pt>
                <c:pt idx="167">
                  <c:v>90.148825816792396</c:v>
                </c:pt>
                <c:pt idx="168">
                  <c:v>90.148825816792396</c:v>
                </c:pt>
                <c:pt idx="169">
                  <c:v>90.148825816792396</c:v>
                </c:pt>
                <c:pt idx="170">
                  <c:v>90.326039720747033</c:v>
                </c:pt>
                <c:pt idx="171">
                  <c:v>92.445834062318355</c:v>
                </c:pt>
                <c:pt idx="172">
                  <c:v>93.430104917403654</c:v>
                </c:pt>
                <c:pt idx="173">
                  <c:v>93.361251107586881</c:v>
                </c:pt>
                <c:pt idx="174">
                  <c:v>94.473635198970584</c:v>
                </c:pt>
                <c:pt idx="175">
                  <c:v>94.473635198970584</c:v>
                </c:pt>
                <c:pt idx="176">
                  <c:v>94.473635198970584</c:v>
                </c:pt>
                <c:pt idx="177">
                  <c:v>95.974309627681478</c:v>
                </c:pt>
                <c:pt idx="178">
                  <c:v>96.993007387675163</c:v>
                </c:pt>
                <c:pt idx="179">
                  <c:v>96.005350279648056</c:v>
                </c:pt>
                <c:pt idx="180">
                  <c:v>98.717738886035647</c:v>
                </c:pt>
                <c:pt idx="181">
                  <c:v>99.443525766563013</c:v>
                </c:pt>
                <c:pt idx="182">
                  <c:v>99.358305067527482</c:v>
                </c:pt>
                <c:pt idx="183">
                  <c:v>98.143769012399318</c:v>
                </c:pt>
                <c:pt idx="184">
                  <c:v>100.02201064412171</c:v>
                </c:pt>
                <c:pt idx="185">
                  <c:v>96.80619910038547</c:v>
                </c:pt>
                <c:pt idx="186">
                  <c:v>96.919638573936012</c:v>
                </c:pt>
                <c:pt idx="187">
                  <c:v>96.744682171942671</c:v>
                </c:pt>
                <c:pt idx="188">
                  <c:v>96.334381190493616</c:v>
                </c:pt>
                <c:pt idx="189">
                  <c:v>95.477094820726109</c:v>
                </c:pt>
                <c:pt idx="190">
                  <c:v>93.476948083098648</c:v>
                </c:pt>
                <c:pt idx="191">
                  <c:v>95.149757036351374</c:v>
                </c:pt>
                <c:pt idx="192">
                  <c:v>95.498541089357602</c:v>
                </c:pt>
                <c:pt idx="193">
                  <c:v>96.698403381737947</c:v>
                </c:pt>
                <c:pt idx="194">
                  <c:v>96.016073413963781</c:v>
                </c:pt>
                <c:pt idx="195">
                  <c:v>94.440901420533123</c:v>
                </c:pt>
                <c:pt idx="196">
                  <c:v>93.760828954720154</c:v>
                </c:pt>
                <c:pt idx="197">
                  <c:v>92.848798162393365</c:v>
                </c:pt>
                <c:pt idx="198">
                  <c:v>92.121318155395116</c:v>
                </c:pt>
                <c:pt idx="199">
                  <c:v>93.793562733157628</c:v>
                </c:pt>
                <c:pt idx="200">
                  <c:v>93.287317918357445</c:v>
                </c:pt>
                <c:pt idx="201">
                  <c:v>91.284349303278461</c:v>
                </c:pt>
                <c:pt idx="202">
                  <c:v>92.314898948568469</c:v>
                </c:pt>
                <c:pt idx="203">
                  <c:v>91.528723890578874</c:v>
                </c:pt>
                <c:pt idx="204">
                  <c:v>93.690846393922783</c:v>
                </c:pt>
                <c:pt idx="205">
                  <c:v>93.772680840016477</c:v>
                </c:pt>
                <c:pt idx="206">
                  <c:v>94.12033614204195</c:v>
                </c:pt>
                <c:pt idx="207">
                  <c:v>94.12033614204195</c:v>
                </c:pt>
                <c:pt idx="208">
                  <c:v>95.890217679626616</c:v>
                </c:pt>
                <c:pt idx="209">
                  <c:v>97.265600749490673</c:v>
                </c:pt>
                <c:pt idx="210">
                  <c:v>96.632935824862983</c:v>
                </c:pt>
                <c:pt idx="211">
                  <c:v>93.275466033061065</c:v>
                </c:pt>
                <c:pt idx="212">
                  <c:v>92.834688775135902</c:v>
                </c:pt>
                <c:pt idx="213">
                  <c:v>91.190662971888443</c:v>
                </c:pt>
                <c:pt idx="214">
                  <c:v>92.425516544667502</c:v>
                </c:pt>
                <c:pt idx="215">
                  <c:v>93.540158138012401</c:v>
                </c:pt>
                <c:pt idx="216">
                  <c:v>93.878219056702804</c:v>
                </c:pt>
                <c:pt idx="217">
                  <c:v>94.195398082252069</c:v>
                </c:pt>
                <c:pt idx="218">
                  <c:v>92.535005389785908</c:v>
                </c:pt>
                <c:pt idx="219">
                  <c:v>93.236524124230357</c:v>
                </c:pt>
                <c:pt idx="220">
                  <c:v>94.018748553787759</c:v>
                </c:pt>
                <c:pt idx="221">
                  <c:v>91.521387009204958</c:v>
                </c:pt>
                <c:pt idx="222">
                  <c:v>88.804483398894945</c:v>
                </c:pt>
                <c:pt idx="223">
                  <c:v>90.348050364868755</c:v>
                </c:pt>
                <c:pt idx="224">
                  <c:v>91.819377268083983</c:v>
                </c:pt>
                <c:pt idx="225">
                  <c:v>94.285698160700278</c:v>
                </c:pt>
                <c:pt idx="226">
                  <c:v>92.747774949629502</c:v>
                </c:pt>
                <c:pt idx="227">
                  <c:v>95.728806289400453</c:v>
                </c:pt>
                <c:pt idx="228">
                  <c:v>96.216426713020709</c:v>
                </c:pt>
                <c:pt idx="229">
                  <c:v>96.147008527713652</c:v>
                </c:pt>
                <c:pt idx="230">
                  <c:v>94.166614932246731</c:v>
                </c:pt>
                <c:pt idx="231">
                  <c:v>96.395333743446173</c:v>
                </c:pt>
                <c:pt idx="232">
                  <c:v>94.2896487891324</c:v>
                </c:pt>
                <c:pt idx="233">
                  <c:v>94.543053384277684</c:v>
                </c:pt>
                <c:pt idx="234">
                  <c:v>93.401886142888557</c:v>
                </c:pt>
                <c:pt idx="235">
                  <c:v>93.667706998820449</c:v>
                </c:pt>
                <c:pt idx="236">
                  <c:v>92.5225891289993</c:v>
                </c:pt>
                <c:pt idx="237">
                  <c:v>92.146715052458646</c:v>
                </c:pt>
                <c:pt idx="238">
                  <c:v>91.159057944431552</c:v>
                </c:pt>
                <c:pt idx="239">
                  <c:v>90.787698871813404</c:v>
                </c:pt>
                <c:pt idx="240">
                  <c:v>89.23566627348508</c:v>
                </c:pt>
                <c:pt idx="241">
                  <c:v>88.601308222386493</c:v>
                </c:pt>
                <c:pt idx="242">
                  <c:v>88.219226015452605</c:v>
                </c:pt>
                <c:pt idx="243">
                  <c:v>86.282853708229155</c:v>
                </c:pt>
                <c:pt idx="244">
                  <c:v>86.784019143616646</c:v>
                </c:pt>
                <c:pt idx="245">
                  <c:v>86.895201115205978</c:v>
                </c:pt>
                <c:pt idx="246">
                  <c:v>88.127797186023756</c:v>
                </c:pt>
                <c:pt idx="247">
                  <c:v>88.127797186023756</c:v>
                </c:pt>
                <c:pt idx="248">
                  <c:v>88.127797186023756</c:v>
                </c:pt>
                <c:pt idx="249">
                  <c:v>88.127797186023756</c:v>
                </c:pt>
                <c:pt idx="250">
                  <c:v>89.697325424551451</c:v>
                </c:pt>
                <c:pt idx="251">
                  <c:v>92.540084769198671</c:v>
                </c:pt>
                <c:pt idx="252">
                  <c:v>92.540084769198671</c:v>
                </c:pt>
                <c:pt idx="253">
                  <c:v>92.906928837894384</c:v>
                </c:pt>
                <c:pt idx="254">
                  <c:v>93.985450399860042</c:v>
                </c:pt>
                <c:pt idx="255">
                  <c:v>94.703336023523136</c:v>
                </c:pt>
                <c:pt idx="256">
                  <c:v>95.155400791254394</c:v>
                </c:pt>
                <c:pt idx="257">
                  <c:v>94.834835512763306</c:v>
                </c:pt>
                <c:pt idx="258">
                  <c:v>94.785170469616872</c:v>
                </c:pt>
                <c:pt idx="259">
                  <c:v>95.256988379508627</c:v>
                </c:pt>
                <c:pt idx="260">
                  <c:v>95.665031858996372</c:v>
                </c:pt>
                <c:pt idx="261">
                  <c:v>97.362108958332172</c:v>
                </c:pt>
                <c:pt idx="262">
                  <c:v>96.770079069006201</c:v>
                </c:pt>
                <c:pt idx="263">
                  <c:v>96.584963908187405</c:v>
                </c:pt>
                <c:pt idx="264">
                  <c:v>98.285991635955241</c:v>
                </c:pt>
                <c:pt idx="265">
                  <c:v>98.4417592712784</c:v>
                </c:pt>
                <c:pt idx="266">
                  <c:v>98.742571407608906</c:v>
                </c:pt>
                <c:pt idx="267">
                  <c:v>97.529728478951583</c:v>
                </c:pt>
                <c:pt idx="268">
                  <c:v>98.746522036041029</c:v>
                </c:pt>
                <c:pt idx="269">
                  <c:v>99.696365986217955</c:v>
                </c:pt>
                <c:pt idx="270">
                  <c:v>100.69982560797349</c:v>
                </c:pt>
                <c:pt idx="271">
                  <c:v>100.54349359716009</c:v>
                </c:pt>
                <c:pt idx="272">
                  <c:v>100.4334403765513</c:v>
                </c:pt>
                <c:pt idx="273">
                  <c:v>101.65023393364071</c:v>
                </c:pt>
                <c:pt idx="274">
                  <c:v>100.948150823706</c:v>
                </c:pt>
                <c:pt idx="275">
                  <c:v>99.361126944979063</c:v>
                </c:pt>
                <c:pt idx="276">
                  <c:v>99.25389560182181</c:v>
                </c:pt>
                <c:pt idx="277">
                  <c:v>99.502785193044588</c:v>
                </c:pt>
                <c:pt idx="278">
                  <c:v>100.8691382550639</c:v>
                </c:pt>
                <c:pt idx="279">
                  <c:v>98.368954833029463</c:v>
                </c:pt>
                <c:pt idx="280">
                  <c:v>95.040268191232997</c:v>
                </c:pt>
                <c:pt idx="281">
                  <c:v>97.270680128903351</c:v>
                </c:pt>
                <c:pt idx="282">
                  <c:v>97.117734371031716</c:v>
                </c:pt>
                <c:pt idx="283">
                  <c:v>96.968739241592232</c:v>
                </c:pt>
                <c:pt idx="284">
                  <c:v>98.705887000739324</c:v>
                </c:pt>
                <c:pt idx="285">
                  <c:v>98.342993560475662</c:v>
                </c:pt>
                <c:pt idx="286">
                  <c:v>99.239786214564234</c:v>
                </c:pt>
                <c:pt idx="287">
                  <c:v>99.291144384181706</c:v>
                </c:pt>
                <c:pt idx="288">
                  <c:v>98.541653733061693</c:v>
                </c:pt>
                <c:pt idx="289">
                  <c:v>98.616151297781414</c:v>
                </c:pt>
                <c:pt idx="290">
                  <c:v>98.300101023212775</c:v>
                </c:pt>
              </c:numCache>
            </c:numRef>
          </c:val>
          <c:smooth val="0"/>
        </c:ser>
        <c:ser>
          <c:idx val="3"/>
          <c:order val="2"/>
          <c:tx>
            <c:strRef>
              <c:f>Index_Charts!$M$1</c:f>
              <c:strCache>
                <c:ptCount val="1"/>
                <c:pt idx="0">
                  <c:v>Nifty 50</c:v>
                </c:pt>
              </c:strCache>
            </c:strRef>
          </c:tx>
          <c:spPr>
            <a:ln w="28575" cap="rnd">
              <a:solidFill>
                <a:schemeClr val="accent4"/>
              </a:solidFill>
              <a:round/>
            </a:ln>
            <a:effectLst/>
          </c:spPr>
          <c:marker>
            <c:symbol val="none"/>
          </c:marker>
          <c:cat>
            <c:numRef>
              <c:f>Index_Charts!$B$2:$B$292</c:f>
              <c:numCache>
                <c:formatCode>[$-409]mmmm\-yy;@</c:formatCode>
                <c:ptCount val="291"/>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pt idx="248">
                  <c:v>43466</c:v>
                </c:pt>
                <c:pt idx="249">
                  <c:v>43467</c:v>
                </c:pt>
                <c:pt idx="250">
                  <c:v>43468</c:v>
                </c:pt>
                <c:pt idx="251">
                  <c:v>43469</c:v>
                </c:pt>
                <c:pt idx="252">
                  <c:v>43472</c:v>
                </c:pt>
                <c:pt idx="253">
                  <c:v>43473</c:v>
                </c:pt>
                <c:pt idx="254">
                  <c:v>43474</c:v>
                </c:pt>
                <c:pt idx="255">
                  <c:v>43475</c:v>
                </c:pt>
                <c:pt idx="256">
                  <c:v>43476</c:v>
                </c:pt>
                <c:pt idx="257">
                  <c:v>43479</c:v>
                </c:pt>
                <c:pt idx="258">
                  <c:v>43480</c:v>
                </c:pt>
                <c:pt idx="259">
                  <c:v>43481</c:v>
                </c:pt>
                <c:pt idx="260">
                  <c:v>43482</c:v>
                </c:pt>
                <c:pt idx="261">
                  <c:v>43483</c:v>
                </c:pt>
                <c:pt idx="262">
                  <c:v>43486</c:v>
                </c:pt>
                <c:pt idx="263">
                  <c:v>43487</c:v>
                </c:pt>
                <c:pt idx="264">
                  <c:v>43488</c:v>
                </c:pt>
                <c:pt idx="265">
                  <c:v>43489</c:v>
                </c:pt>
                <c:pt idx="266">
                  <c:v>43490</c:v>
                </c:pt>
                <c:pt idx="267">
                  <c:v>43493</c:v>
                </c:pt>
                <c:pt idx="268">
                  <c:v>43494</c:v>
                </c:pt>
                <c:pt idx="269">
                  <c:v>43495</c:v>
                </c:pt>
                <c:pt idx="270">
                  <c:v>43496</c:v>
                </c:pt>
                <c:pt idx="271">
                  <c:v>43497</c:v>
                </c:pt>
                <c:pt idx="272">
                  <c:v>43500</c:v>
                </c:pt>
                <c:pt idx="273">
                  <c:v>43501</c:v>
                </c:pt>
                <c:pt idx="274">
                  <c:v>43502</c:v>
                </c:pt>
                <c:pt idx="275">
                  <c:v>43503</c:v>
                </c:pt>
                <c:pt idx="276">
                  <c:v>43504</c:v>
                </c:pt>
                <c:pt idx="277">
                  <c:v>43507</c:v>
                </c:pt>
                <c:pt idx="278">
                  <c:v>43508</c:v>
                </c:pt>
                <c:pt idx="279">
                  <c:v>43509</c:v>
                </c:pt>
                <c:pt idx="280">
                  <c:v>43510</c:v>
                </c:pt>
                <c:pt idx="281">
                  <c:v>43511</c:v>
                </c:pt>
                <c:pt idx="282">
                  <c:v>43514</c:v>
                </c:pt>
                <c:pt idx="283">
                  <c:v>43515</c:v>
                </c:pt>
                <c:pt idx="284">
                  <c:v>43516</c:v>
                </c:pt>
                <c:pt idx="285">
                  <c:v>43517</c:v>
                </c:pt>
                <c:pt idx="286">
                  <c:v>43518</c:v>
                </c:pt>
                <c:pt idx="287">
                  <c:v>43521</c:v>
                </c:pt>
                <c:pt idx="288">
                  <c:v>43522</c:v>
                </c:pt>
                <c:pt idx="289">
                  <c:v>43523</c:v>
                </c:pt>
                <c:pt idx="290">
                  <c:v>43524</c:v>
                </c:pt>
              </c:numCache>
            </c:numRef>
          </c:cat>
          <c:val>
            <c:numRef>
              <c:f>Index_Charts!$M$2:$M$292</c:f>
              <c:numCache>
                <c:formatCode>0.00</c:formatCode>
                <c:ptCount val="291"/>
                <c:pt idx="0">
                  <c:v>100</c:v>
                </c:pt>
                <c:pt idx="1">
                  <c:v>100</c:v>
                </c:pt>
                <c:pt idx="2">
                  <c:v>100.969971424899</c:v>
                </c:pt>
                <c:pt idx="3">
                  <c:v>101.2982390223163</c:v>
                </c:pt>
                <c:pt idx="4">
                  <c:v>100.1453474000613</c:v>
                </c:pt>
                <c:pt idx="5">
                  <c:v>102.0907284178886</c:v>
                </c:pt>
                <c:pt idx="6">
                  <c:v>102.1545032975074</c:v>
                </c:pt>
                <c:pt idx="7">
                  <c:v>102.1545032975074</c:v>
                </c:pt>
                <c:pt idx="8">
                  <c:v>102.1545032975074</c:v>
                </c:pt>
                <c:pt idx="9">
                  <c:v>102.62663515825071</c:v>
                </c:pt>
                <c:pt idx="10">
                  <c:v>102.8530606998428</c:v>
                </c:pt>
                <c:pt idx="11">
                  <c:v>103.0003856155512</c:v>
                </c:pt>
                <c:pt idx="12">
                  <c:v>103.41072011232291</c:v>
                </c:pt>
                <c:pt idx="13">
                  <c:v>103.6277524545913</c:v>
                </c:pt>
                <c:pt idx="14">
                  <c:v>103.6277524545913</c:v>
                </c:pt>
                <c:pt idx="15">
                  <c:v>103.6277524545913</c:v>
                </c:pt>
                <c:pt idx="16">
                  <c:v>104.09988431533461</c:v>
                </c:pt>
                <c:pt idx="17">
                  <c:v>104.3010965324263</c:v>
                </c:pt>
                <c:pt idx="18">
                  <c:v>104.0786260221284</c:v>
                </c:pt>
                <c:pt idx="19">
                  <c:v>104.465230331135</c:v>
                </c:pt>
                <c:pt idx="20">
                  <c:v>104.4528708583406</c:v>
                </c:pt>
                <c:pt idx="21">
                  <c:v>104.4528708583406</c:v>
                </c:pt>
                <c:pt idx="22">
                  <c:v>104.4528708583406</c:v>
                </c:pt>
                <c:pt idx="23">
                  <c:v>104.657049348903</c:v>
                </c:pt>
                <c:pt idx="24">
                  <c:v>104.9502160435844</c:v>
                </c:pt>
                <c:pt idx="25">
                  <c:v>104.5171401168711</c:v>
                </c:pt>
                <c:pt idx="26">
                  <c:v>104.9843281884967</c:v>
                </c:pt>
                <c:pt idx="27">
                  <c:v>105.7209527670387</c:v>
                </c:pt>
                <c:pt idx="28">
                  <c:v>105.7209527670387</c:v>
                </c:pt>
                <c:pt idx="29">
                  <c:v>105.7209527670387</c:v>
                </c:pt>
                <c:pt idx="30">
                  <c:v>106.1861633230173</c:v>
                </c:pt>
                <c:pt idx="31">
                  <c:v>106.1861633230173</c:v>
                </c:pt>
                <c:pt idx="32">
                  <c:v>105.97555790660191</c:v>
                </c:pt>
                <c:pt idx="33">
                  <c:v>105.59587490236019</c:v>
                </c:pt>
                <c:pt idx="34">
                  <c:v>104.9887775987027</c:v>
                </c:pt>
                <c:pt idx="35">
                  <c:v>104.9887775987027</c:v>
                </c:pt>
                <c:pt idx="36">
                  <c:v>104.9887775987027</c:v>
                </c:pt>
                <c:pt idx="37">
                  <c:v>105.95034458210149</c:v>
                </c:pt>
                <c:pt idx="38">
                  <c:v>105.973086012043</c:v>
                </c:pt>
                <c:pt idx="39">
                  <c:v>106.2093991318706</c:v>
                </c:pt>
                <c:pt idx="40">
                  <c:v>105.9607265392487</c:v>
                </c:pt>
                <c:pt idx="41">
                  <c:v>106.8501142015286</c:v>
                </c:pt>
                <c:pt idx="42">
                  <c:v>106.8501142015286</c:v>
                </c:pt>
                <c:pt idx="43">
                  <c:v>106.8501142015286</c:v>
                </c:pt>
                <c:pt idx="44">
                  <c:v>106.8511029593522</c:v>
                </c:pt>
                <c:pt idx="45">
                  <c:v>106.80413696273369</c:v>
                </c:pt>
                <c:pt idx="46">
                  <c:v>106.2034665849293</c:v>
                </c:pt>
                <c:pt idx="47">
                  <c:v>105.6260320159783</c:v>
                </c:pt>
                <c:pt idx="48">
                  <c:v>104.77273401425791</c:v>
                </c:pt>
                <c:pt idx="49">
                  <c:v>104.77273401425791</c:v>
                </c:pt>
                <c:pt idx="50">
                  <c:v>104.77273401425791</c:v>
                </c:pt>
                <c:pt idx="51">
                  <c:v>103.9846940288915</c:v>
                </c:pt>
                <c:pt idx="52">
                  <c:v>104.1824455936008</c:v>
                </c:pt>
                <c:pt idx="53">
                  <c:v>103.1309016482593</c:v>
                </c:pt>
                <c:pt idx="54">
                  <c:v>103.95651443092039</c:v>
                </c:pt>
                <c:pt idx="55">
                  <c:v>104.8592503238182</c:v>
                </c:pt>
                <c:pt idx="56">
                  <c:v>104.8592503238182</c:v>
                </c:pt>
                <c:pt idx="57">
                  <c:v>104.8592503238182</c:v>
                </c:pt>
                <c:pt idx="58">
                  <c:v>105.6848631064793</c:v>
                </c:pt>
                <c:pt idx="59">
                  <c:v>105.13758565114649</c:v>
                </c:pt>
                <c:pt idx="60">
                  <c:v>104.9502160435844</c:v>
                </c:pt>
                <c:pt idx="61">
                  <c:v>106.15452307266381</c:v>
                </c:pt>
                <c:pt idx="62">
                  <c:v>105.7595143221571</c:v>
                </c:pt>
                <c:pt idx="63">
                  <c:v>105.7595143221571</c:v>
                </c:pt>
                <c:pt idx="64">
                  <c:v>105.7595143221571</c:v>
                </c:pt>
                <c:pt idx="65">
                  <c:v>105.0901252756162</c:v>
                </c:pt>
                <c:pt idx="66">
                  <c:v>104.74059938499261</c:v>
                </c:pt>
                <c:pt idx="67">
                  <c:v>105.6453127935374</c:v>
                </c:pt>
                <c:pt idx="68">
                  <c:v>106.47290309184569</c:v>
                </c:pt>
                <c:pt idx="69">
                  <c:v>106.46598178708091</c:v>
                </c:pt>
                <c:pt idx="70">
                  <c:v>106.46598178708091</c:v>
                </c:pt>
                <c:pt idx="71">
                  <c:v>106.46598178708091</c:v>
                </c:pt>
                <c:pt idx="72">
                  <c:v>106.6568120470253</c:v>
                </c:pt>
                <c:pt idx="73">
                  <c:v>107.2095276703877</c:v>
                </c:pt>
                <c:pt idx="74">
                  <c:v>107.34647062894901</c:v>
                </c:pt>
                <c:pt idx="75">
                  <c:v>106.8654399477935</c:v>
                </c:pt>
                <c:pt idx="76">
                  <c:v>106.9608550777658</c:v>
                </c:pt>
                <c:pt idx="77">
                  <c:v>106.9608550777658</c:v>
                </c:pt>
                <c:pt idx="78">
                  <c:v>106.9608550777658</c:v>
                </c:pt>
                <c:pt idx="79">
                  <c:v>106.78436180626279</c:v>
                </c:pt>
                <c:pt idx="80">
                  <c:v>105.90041231201241</c:v>
                </c:pt>
                <c:pt idx="81">
                  <c:v>106.5094871313169</c:v>
                </c:pt>
                <c:pt idx="82">
                  <c:v>106.2034665849293</c:v>
                </c:pt>
                <c:pt idx="83">
                  <c:v>107.001888527443</c:v>
                </c:pt>
                <c:pt idx="84">
                  <c:v>107.001888527443</c:v>
                </c:pt>
                <c:pt idx="85">
                  <c:v>107.001888527443</c:v>
                </c:pt>
                <c:pt idx="86">
                  <c:v>106.4145663802565</c:v>
                </c:pt>
                <c:pt idx="87">
                  <c:v>106.4808131544341</c:v>
                </c:pt>
                <c:pt idx="88">
                  <c:v>105.5143023819176</c:v>
                </c:pt>
                <c:pt idx="89">
                  <c:v>104.700554693139</c:v>
                </c:pt>
                <c:pt idx="90">
                  <c:v>105.938479488219</c:v>
                </c:pt>
                <c:pt idx="91">
                  <c:v>105.938479488219</c:v>
                </c:pt>
                <c:pt idx="92">
                  <c:v>105.938479488219</c:v>
                </c:pt>
                <c:pt idx="93">
                  <c:v>105.3748875287975</c:v>
                </c:pt>
                <c:pt idx="94">
                  <c:v>105.7960983616283</c:v>
                </c:pt>
                <c:pt idx="95">
                  <c:v>106.4882288381107</c:v>
                </c:pt>
                <c:pt idx="96">
                  <c:v>106.2889941366661</c:v>
                </c:pt>
                <c:pt idx="97">
                  <c:v>106.5154196782582</c:v>
                </c:pt>
                <c:pt idx="98">
                  <c:v>106.5154196782582</c:v>
                </c:pt>
                <c:pt idx="99">
                  <c:v>106.5154196782582</c:v>
                </c:pt>
                <c:pt idx="100">
                  <c:v>107.30889783165399</c:v>
                </c:pt>
                <c:pt idx="101">
                  <c:v>108.24179083817</c:v>
                </c:pt>
                <c:pt idx="102">
                  <c:v>108.25217279531719</c:v>
                </c:pt>
                <c:pt idx="103">
                  <c:v>108.9927524051534</c:v>
                </c:pt>
                <c:pt idx="104">
                  <c:v>108.95023581874089</c:v>
                </c:pt>
                <c:pt idx="105">
                  <c:v>108.95023581874089</c:v>
                </c:pt>
                <c:pt idx="106">
                  <c:v>108.95023581874089</c:v>
                </c:pt>
                <c:pt idx="107">
                  <c:v>108.1389600245212</c:v>
                </c:pt>
                <c:pt idx="108">
                  <c:v>108.84295559488611</c:v>
                </c:pt>
                <c:pt idx="109">
                  <c:v>108.5700584355874</c:v>
                </c:pt>
                <c:pt idx="110">
                  <c:v>108.3391834837893</c:v>
                </c:pt>
                <c:pt idx="111">
                  <c:v>108.86421388809239</c:v>
                </c:pt>
                <c:pt idx="112">
                  <c:v>108.86421388809239</c:v>
                </c:pt>
                <c:pt idx="113">
                  <c:v>108.86421388809239</c:v>
                </c:pt>
                <c:pt idx="114">
                  <c:v>109.6013328455461</c:v>
                </c:pt>
                <c:pt idx="115">
                  <c:v>110.0912623471133</c:v>
                </c:pt>
                <c:pt idx="116">
                  <c:v>110.0685209171717</c:v>
                </c:pt>
                <c:pt idx="117">
                  <c:v>110.4175524288836</c:v>
                </c:pt>
                <c:pt idx="118">
                  <c:v>111.5155679919318</c:v>
                </c:pt>
                <c:pt idx="119">
                  <c:v>111.5155679919318</c:v>
                </c:pt>
                <c:pt idx="120">
                  <c:v>111.5155679919318</c:v>
                </c:pt>
                <c:pt idx="121">
                  <c:v>111.9229362152328</c:v>
                </c:pt>
                <c:pt idx="122">
                  <c:v>112.28828223103319</c:v>
                </c:pt>
                <c:pt idx="123">
                  <c:v>112.18644017520791</c:v>
                </c:pt>
                <c:pt idx="124">
                  <c:v>111.1828509843084</c:v>
                </c:pt>
                <c:pt idx="125">
                  <c:v>112.3307988174456</c:v>
                </c:pt>
                <c:pt idx="126">
                  <c:v>112.3307988174456</c:v>
                </c:pt>
                <c:pt idx="127">
                  <c:v>112.3307988174456</c:v>
                </c:pt>
                <c:pt idx="128">
                  <c:v>112.59084212503829</c:v>
                </c:pt>
                <c:pt idx="129">
                  <c:v>112.61407793389159</c:v>
                </c:pt>
                <c:pt idx="130">
                  <c:v>113.2127707960489</c:v>
                </c:pt>
                <c:pt idx="131">
                  <c:v>113.417443665523</c:v>
                </c:pt>
                <c:pt idx="132">
                  <c:v>113.0100754422219</c:v>
                </c:pt>
                <c:pt idx="133">
                  <c:v>113.0100754422219</c:v>
                </c:pt>
                <c:pt idx="134">
                  <c:v>113.0100754422219</c:v>
                </c:pt>
                <c:pt idx="135">
                  <c:v>112.2808665473565</c:v>
                </c:pt>
                <c:pt idx="136">
                  <c:v>113.0654458803405</c:v>
                </c:pt>
                <c:pt idx="137">
                  <c:v>113.0654458803405</c:v>
                </c:pt>
                <c:pt idx="138">
                  <c:v>112.5705725896556</c:v>
                </c:pt>
                <c:pt idx="139">
                  <c:v>113.41793804443471</c:v>
                </c:pt>
                <c:pt idx="140">
                  <c:v>113.41793804443471</c:v>
                </c:pt>
                <c:pt idx="141">
                  <c:v>113.41793804443471</c:v>
                </c:pt>
                <c:pt idx="142">
                  <c:v>114.2188318815073</c:v>
                </c:pt>
                <c:pt idx="143">
                  <c:v>114.4081790047164</c:v>
                </c:pt>
                <c:pt idx="144">
                  <c:v>114.4081790047164</c:v>
                </c:pt>
                <c:pt idx="145">
                  <c:v>114.5253468068066</c:v>
                </c:pt>
                <c:pt idx="146">
                  <c:v>114.27173042506701</c:v>
                </c:pt>
                <c:pt idx="147">
                  <c:v>114.27173042506701</c:v>
                </c:pt>
                <c:pt idx="148">
                  <c:v>114.27173042506701</c:v>
                </c:pt>
                <c:pt idx="149">
                  <c:v>115.60507035011911</c:v>
                </c:pt>
                <c:pt idx="150">
                  <c:v>116.0653371169799</c:v>
                </c:pt>
                <c:pt idx="151">
                  <c:v>115.6045759712074</c:v>
                </c:pt>
                <c:pt idx="152">
                  <c:v>115.4552735398519</c:v>
                </c:pt>
                <c:pt idx="153">
                  <c:v>115.4918575793231</c:v>
                </c:pt>
                <c:pt idx="154">
                  <c:v>115.4918575793231</c:v>
                </c:pt>
                <c:pt idx="155">
                  <c:v>115.4918575793231</c:v>
                </c:pt>
                <c:pt idx="156">
                  <c:v>114.5213917755124</c:v>
                </c:pt>
                <c:pt idx="157">
                  <c:v>113.907867546002</c:v>
                </c:pt>
                <c:pt idx="158">
                  <c:v>113.4792410294946</c:v>
                </c:pt>
                <c:pt idx="159">
                  <c:v>114.0720013447106</c:v>
                </c:pt>
                <c:pt idx="160">
                  <c:v>114.58813292860179</c:v>
                </c:pt>
                <c:pt idx="161">
                  <c:v>114.58813292860179</c:v>
                </c:pt>
                <c:pt idx="162">
                  <c:v>114.58813292860179</c:v>
                </c:pt>
                <c:pt idx="163">
                  <c:v>113.0951086150469</c:v>
                </c:pt>
                <c:pt idx="164">
                  <c:v>111.6060393327862</c:v>
                </c:pt>
                <c:pt idx="165">
                  <c:v>112.42077577938829</c:v>
                </c:pt>
                <c:pt idx="166">
                  <c:v>112.42077577938829</c:v>
                </c:pt>
                <c:pt idx="167">
                  <c:v>113.8574408970011</c:v>
                </c:pt>
                <c:pt idx="168">
                  <c:v>113.8574408970011</c:v>
                </c:pt>
                <c:pt idx="169">
                  <c:v>113.8574408970011</c:v>
                </c:pt>
                <c:pt idx="170">
                  <c:v>112.4983932685367</c:v>
                </c:pt>
                <c:pt idx="171">
                  <c:v>111.5210061599612</c:v>
                </c:pt>
                <c:pt idx="172">
                  <c:v>111.0805145495714</c:v>
                </c:pt>
                <c:pt idx="173">
                  <c:v>111.0805145495714</c:v>
                </c:pt>
                <c:pt idx="174">
                  <c:v>110.17827303558541</c:v>
                </c:pt>
                <c:pt idx="175">
                  <c:v>110.17827303558541</c:v>
                </c:pt>
                <c:pt idx="176">
                  <c:v>110.17827303558541</c:v>
                </c:pt>
                <c:pt idx="177">
                  <c:v>108.4410255396146</c:v>
                </c:pt>
                <c:pt idx="178">
                  <c:v>109.4302777420726</c:v>
                </c:pt>
                <c:pt idx="179">
                  <c:v>109.2953122991585</c:v>
                </c:pt>
                <c:pt idx="180">
                  <c:v>108.5413844587045</c:v>
                </c:pt>
                <c:pt idx="181">
                  <c:v>108.0756795238142</c:v>
                </c:pt>
                <c:pt idx="182">
                  <c:v>108.845427489445</c:v>
                </c:pt>
                <c:pt idx="183">
                  <c:v>108.845427489445</c:v>
                </c:pt>
                <c:pt idx="184">
                  <c:v>107.3617963752138</c:v>
                </c:pt>
                <c:pt idx="185">
                  <c:v>104.8009136122289</c:v>
                </c:pt>
                <c:pt idx="186">
                  <c:v>102.0047064872401</c:v>
                </c:pt>
                <c:pt idx="187">
                  <c:v>102.31715395948071</c:v>
                </c:pt>
                <c:pt idx="188">
                  <c:v>101.8524377824139</c:v>
                </c:pt>
                <c:pt idx="189">
                  <c:v>103.42505710076431</c:v>
                </c:pt>
                <c:pt idx="190">
                  <c:v>101.1959025875792</c:v>
                </c:pt>
                <c:pt idx="191">
                  <c:v>103.547663070884</c:v>
                </c:pt>
                <c:pt idx="192">
                  <c:v>103.9431662003026</c:v>
                </c:pt>
                <c:pt idx="193">
                  <c:v>104.6575437278147</c:v>
                </c:pt>
                <c:pt idx="194">
                  <c:v>103.35534967420431</c:v>
                </c:pt>
                <c:pt idx="195">
                  <c:v>103.35534967420431</c:v>
                </c:pt>
                <c:pt idx="196">
                  <c:v>101.8771567280026</c:v>
                </c:pt>
                <c:pt idx="197">
                  <c:v>101.3007109168751</c:v>
                </c:pt>
                <c:pt idx="198">
                  <c:v>100.3272788395938</c:v>
                </c:pt>
                <c:pt idx="199">
                  <c:v>101.09801556304819</c:v>
                </c:pt>
                <c:pt idx="200">
                  <c:v>100.1107408762372</c:v>
                </c:pt>
                <c:pt idx="201">
                  <c:v>99.172409701691706</c:v>
                </c:pt>
                <c:pt idx="202">
                  <c:v>101.35608135499371</c:v>
                </c:pt>
                <c:pt idx="203">
                  <c:v>100.8374778765437</c:v>
                </c:pt>
                <c:pt idx="204">
                  <c:v>102.69832010045781</c:v>
                </c:pt>
                <c:pt idx="205">
                  <c:v>102.63751149430971</c:v>
                </c:pt>
                <c:pt idx="206">
                  <c:v>104.3436131188388</c:v>
                </c:pt>
                <c:pt idx="207">
                  <c:v>104.05687335001031</c:v>
                </c:pt>
                <c:pt idx="208">
                  <c:v>104.1161988194231</c:v>
                </c:pt>
                <c:pt idx="209">
                  <c:v>104.79250917072881</c:v>
                </c:pt>
                <c:pt idx="210">
                  <c:v>104.79250917072881</c:v>
                </c:pt>
                <c:pt idx="211">
                  <c:v>104.6619931380207</c:v>
                </c:pt>
                <c:pt idx="212">
                  <c:v>103.643572579768</c:v>
                </c:pt>
                <c:pt idx="213">
                  <c:v>104.6352966767849</c:v>
                </c:pt>
                <c:pt idx="214">
                  <c:v>104.57399369172509</c:v>
                </c:pt>
                <c:pt idx="215">
                  <c:v>104.9734518524378</c:v>
                </c:pt>
                <c:pt idx="216">
                  <c:v>105.62108822686061</c:v>
                </c:pt>
                <c:pt idx="217">
                  <c:v>106.4239595795802</c:v>
                </c:pt>
                <c:pt idx="218">
                  <c:v>105.3640111927386</c:v>
                </c:pt>
                <c:pt idx="219">
                  <c:v>104.8088236748173</c:v>
                </c:pt>
                <c:pt idx="220">
                  <c:v>104.084064190158</c:v>
                </c:pt>
                <c:pt idx="221">
                  <c:v>104.084064190158</c:v>
                </c:pt>
                <c:pt idx="222">
                  <c:v>105.09111403343979</c:v>
                </c:pt>
                <c:pt idx="223">
                  <c:v>105.6547059928612</c:v>
                </c:pt>
                <c:pt idx="224">
                  <c:v>106.0823437515449</c:v>
                </c:pt>
                <c:pt idx="225">
                  <c:v>107.36624578541981</c:v>
                </c:pt>
                <c:pt idx="226">
                  <c:v>107.5447165725699</c:v>
                </c:pt>
                <c:pt idx="227">
                  <c:v>107.6139296202181</c:v>
                </c:pt>
                <c:pt idx="228">
                  <c:v>107.4730316303628</c:v>
                </c:pt>
                <c:pt idx="229">
                  <c:v>106.6167673551717</c:v>
                </c:pt>
                <c:pt idx="230">
                  <c:v>104.8197000108763</c:v>
                </c:pt>
                <c:pt idx="231">
                  <c:v>105.7347953765684</c:v>
                </c:pt>
                <c:pt idx="232">
                  <c:v>103.7053699437397</c:v>
                </c:pt>
                <c:pt idx="233">
                  <c:v>104.30554594263219</c:v>
                </c:pt>
                <c:pt idx="234">
                  <c:v>106.16886006110521</c:v>
                </c:pt>
                <c:pt idx="235">
                  <c:v>106.70229490690841</c:v>
                </c:pt>
                <c:pt idx="236">
                  <c:v>106.83973224438139</c:v>
                </c:pt>
                <c:pt idx="237">
                  <c:v>107.6594124801013</c:v>
                </c:pt>
                <c:pt idx="238">
                  <c:v>107.860624697193</c:v>
                </c:pt>
                <c:pt idx="239">
                  <c:v>108.44003678179099</c:v>
                </c:pt>
                <c:pt idx="240">
                  <c:v>108.2857905613178</c:v>
                </c:pt>
                <c:pt idx="241">
                  <c:v>106.3310163441668</c:v>
                </c:pt>
                <c:pt idx="242">
                  <c:v>105.4361905138574</c:v>
                </c:pt>
                <c:pt idx="243">
                  <c:v>105.4361905138574</c:v>
                </c:pt>
                <c:pt idx="244">
                  <c:v>106.0922313297804</c:v>
                </c:pt>
                <c:pt idx="245">
                  <c:v>106.58611586264171</c:v>
                </c:pt>
                <c:pt idx="246">
                  <c:v>107.3781108793023</c:v>
                </c:pt>
                <c:pt idx="247">
                  <c:v>107.4043129616263</c:v>
                </c:pt>
                <c:pt idx="248">
                  <c:v>107.87446730672249</c:v>
                </c:pt>
                <c:pt idx="249">
                  <c:v>106.7116881062321</c:v>
                </c:pt>
                <c:pt idx="250">
                  <c:v>105.52270682341771</c:v>
                </c:pt>
                <c:pt idx="251">
                  <c:v>106.0675123841917</c:v>
                </c:pt>
                <c:pt idx="252">
                  <c:v>106.50701523675809</c:v>
                </c:pt>
                <c:pt idx="253">
                  <c:v>106.8071032362043</c:v>
                </c:pt>
                <c:pt idx="254">
                  <c:v>107.3311448826839</c:v>
                </c:pt>
                <c:pt idx="255">
                  <c:v>106.99941663288411</c:v>
                </c:pt>
                <c:pt idx="256">
                  <c:v>106.735912672909</c:v>
                </c:pt>
                <c:pt idx="257">
                  <c:v>106.16886006110521</c:v>
                </c:pt>
                <c:pt idx="258">
                  <c:v>107.6440867338363</c:v>
                </c:pt>
                <c:pt idx="259">
                  <c:v>107.6786932576604</c:v>
                </c:pt>
                <c:pt idx="260">
                  <c:v>107.82601817336879</c:v>
                </c:pt>
                <c:pt idx="261">
                  <c:v>107.8433214352809</c:v>
                </c:pt>
                <c:pt idx="262">
                  <c:v>108.38614948040779</c:v>
                </c:pt>
                <c:pt idx="263">
                  <c:v>107.99954517140119</c:v>
                </c:pt>
                <c:pt idx="264">
                  <c:v>107.0973036574152</c:v>
                </c:pt>
                <c:pt idx="265">
                  <c:v>107.2782463391241</c:v>
                </c:pt>
                <c:pt idx="266">
                  <c:v>106.5935315463184</c:v>
                </c:pt>
                <c:pt idx="267">
                  <c:v>105.41690973629829</c:v>
                </c:pt>
                <c:pt idx="268">
                  <c:v>105.3244608797967</c:v>
                </c:pt>
                <c:pt idx="269">
                  <c:v>105.32050584850251</c:v>
                </c:pt>
                <c:pt idx="270">
                  <c:v>107.0918654893857</c:v>
                </c:pt>
                <c:pt idx="271">
                  <c:v>107.71181664474921</c:v>
                </c:pt>
                <c:pt idx="272">
                  <c:v>107.8957255999288</c:v>
                </c:pt>
                <c:pt idx="273">
                  <c:v>108.11424107893249</c:v>
                </c:pt>
                <c:pt idx="274">
                  <c:v>109.3808398508953</c:v>
                </c:pt>
                <c:pt idx="275">
                  <c:v>109.44955851963179</c:v>
                </c:pt>
                <c:pt idx="276">
                  <c:v>108.20570117761051</c:v>
                </c:pt>
                <c:pt idx="277">
                  <c:v>107.6638618903072</c:v>
                </c:pt>
                <c:pt idx="278">
                  <c:v>107.0963148995916</c:v>
                </c:pt>
                <c:pt idx="279">
                  <c:v>106.7230588212029</c:v>
                </c:pt>
                <c:pt idx="280">
                  <c:v>106.2524100971949</c:v>
                </c:pt>
                <c:pt idx="281">
                  <c:v>106.03834402839711</c:v>
                </c:pt>
                <c:pt idx="282">
                  <c:v>105.21322562464781</c:v>
                </c:pt>
                <c:pt idx="283">
                  <c:v>104.85134026122979</c:v>
                </c:pt>
                <c:pt idx="284">
                  <c:v>106.147601767899</c:v>
                </c:pt>
                <c:pt idx="285">
                  <c:v>106.6854860239081</c:v>
                </c:pt>
                <c:pt idx="286">
                  <c:v>106.703283664732</c:v>
                </c:pt>
                <c:pt idx="287">
                  <c:v>107.5778399596587</c:v>
                </c:pt>
                <c:pt idx="288">
                  <c:v>107.1348764547099</c:v>
                </c:pt>
                <c:pt idx="289">
                  <c:v>106.8515973382639</c:v>
                </c:pt>
                <c:pt idx="290">
                  <c:v>106.7116881062321</c:v>
                </c:pt>
              </c:numCache>
            </c:numRef>
          </c:val>
          <c:smooth val="0"/>
        </c:ser>
        <c:ser>
          <c:idx val="4"/>
          <c:order val="3"/>
          <c:tx>
            <c:strRef>
              <c:f>Index_Charts!$N$1</c:f>
              <c:strCache>
                <c:ptCount val="1"/>
                <c:pt idx="0">
                  <c:v>SSE Composite </c:v>
                </c:pt>
              </c:strCache>
            </c:strRef>
          </c:tx>
          <c:spPr>
            <a:ln w="28575" cap="rnd">
              <a:solidFill>
                <a:schemeClr val="accent5"/>
              </a:solidFill>
              <a:round/>
            </a:ln>
            <a:effectLst/>
          </c:spPr>
          <c:marker>
            <c:symbol val="none"/>
          </c:marker>
          <c:cat>
            <c:numRef>
              <c:f>Index_Charts!$B$2:$B$292</c:f>
              <c:numCache>
                <c:formatCode>[$-409]mmmm\-yy;@</c:formatCode>
                <c:ptCount val="291"/>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pt idx="248">
                  <c:v>43466</c:v>
                </c:pt>
                <c:pt idx="249">
                  <c:v>43467</c:v>
                </c:pt>
                <c:pt idx="250">
                  <c:v>43468</c:v>
                </c:pt>
                <c:pt idx="251">
                  <c:v>43469</c:v>
                </c:pt>
                <c:pt idx="252">
                  <c:v>43472</c:v>
                </c:pt>
                <c:pt idx="253">
                  <c:v>43473</c:v>
                </c:pt>
                <c:pt idx="254">
                  <c:v>43474</c:v>
                </c:pt>
                <c:pt idx="255">
                  <c:v>43475</c:v>
                </c:pt>
                <c:pt idx="256">
                  <c:v>43476</c:v>
                </c:pt>
                <c:pt idx="257">
                  <c:v>43479</c:v>
                </c:pt>
                <c:pt idx="258">
                  <c:v>43480</c:v>
                </c:pt>
                <c:pt idx="259">
                  <c:v>43481</c:v>
                </c:pt>
                <c:pt idx="260">
                  <c:v>43482</c:v>
                </c:pt>
                <c:pt idx="261">
                  <c:v>43483</c:v>
                </c:pt>
                <c:pt idx="262">
                  <c:v>43486</c:v>
                </c:pt>
                <c:pt idx="263">
                  <c:v>43487</c:v>
                </c:pt>
                <c:pt idx="264">
                  <c:v>43488</c:v>
                </c:pt>
                <c:pt idx="265">
                  <c:v>43489</c:v>
                </c:pt>
                <c:pt idx="266">
                  <c:v>43490</c:v>
                </c:pt>
                <c:pt idx="267">
                  <c:v>43493</c:v>
                </c:pt>
                <c:pt idx="268">
                  <c:v>43494</c:v>
                </c:pt>
                <c:pt idx="269">
                  <c:v>43495</c:v>
                </c:pt>
                <c:pt idx="270">
                  <c:v>43496</c:v>
                </c:pt>
                <c:pt idx="271">
                  <c:v>43497</c:v>
                </c:pt>
                <c:pt idx="272">
                  <c:v>43500</c:v>
                </c:pt>
                <c:pt idx="273">
                  <c:v>43501</c:v>
                </c:pt>
                <c:pt idx="274">
                  <c:v>43502</c:v>
                </c:pt>
                <c:pt idx="275">
                  <c:v>43503</c:v>
                </c:pt>
                <c:pt idx="276">
                  <c:v>43504</c:v>
                </c:pt>
                <c:pt idx="277">
                  <c:v>43507</c:v>
                </c:pt>
                <c:pt idx="278">
                  <c:v>43508</c:v>
                </c:pt>
                <c:pt idx="279">
                  <c:v>43509</c:v>
                </c:pt>
                <c:pt idx="280">
                  <c:v>43510</c:v>
                </c:pt>
                <c:pt idx="281">
                  <c:v>43511</c:v>
                </c:pt>
                <c:pt idx="282">
                  <c:v>43514</c:v>
                </c:pt>
                <c:pt idx="283">
                  <c:v>43515</c:v>
                </c:pt>
                <c:pt idx="284">
                  <c:v>43516</c:v>
                </c:pt>
                <c:pt idx="285">
                  <c:v>43517</c:v>
                </c:pt>
                <c:pt idx="286">
                  <c:v>43518</c:v>
                </c:pt>
                <c:pt idx="287">
                  <c:v>43521</c:v>
                </c:pt>
                <c:pt idx="288">
                  <c:v>43522</c:v>
                </c:pt>
                <c:pt idx="289">
                  <c:v>43523</c:v>
                </c:pt>
                <c:pt idx="290">
                  <c:v>43524</c:v>
                </c:pt>
              </c:numCache>
            </c:numRef>
          </c:cat>
          <c:val>
            <c:numRef>
              <c:f>Index_Charts!$N$2:$N$292</c:f>
              <c:numCache>
                <c:formatCode>0.00</c:formatCode>
                <c:ptCount val="291"/>
                <c:pt idx="0">
                  <c:v>100</c:v>
                </c:pt>
                <c:pt idx="1">
                  <c:v>100</c:v>
                </c:pt>
                <c:pt idx="2">
                  <c:v>99.819590166417569</c:v>
                </c:pt>
                <c:pt idx="3">
                  <c:v>98.981885173890177</c:v>
                </c:pt>
                <c:pt idx="4">
                  <c:v>98.807628902936528</c:v>
                </c:pt>
                <c:pt idx="5">
                  <c:v>98.807628902936528</c:v>
                </c:pt>
                <c:pt idx="6">
                  <c:v>98.807628902936528</c:v>
                </c:pt>
                <c:pt idx="7">
                  <c:v>98.807628902936528</c:v>
                </c:pt>
                <c:pt idx="8">
                  <c:v>98.807628902936528</c:v>
                </c:pt>
                <c:pt idx="9">
                  <c:v>99.034300904794577</c:v>
                </c:pt>
                <c:pt idx="10">
                  <c:v>100.6761345276083</c:v>
                </c:pt>
                <c:pt idx="11">
                  <c:v>101.2365820777962</c:v>
                </c:pt>
                <c:pt idx="12">
                  <c:v>100.3553919093589</c:v>
                </c:pt>
                <c:pt idx="13">
                  <c:v>99.689355535808048</c:v>
                </c:pt>
                <c:pt idx="14">
                  <c:v>99.689355535808048</c:v>
                </c:pt>
                <c:pt idx="15">
                  <c:v>99.689355535808048</c:v>
                </c:pt>
                <c:pt idx="16">
                  <c:v>98.161915064426211</c:v>
                </c:pt>
                <c:pt idx="17">
                  <c:v>96.778089277779983</c:v>
                </c:pt>
                <c:pt idx="18">
                  <c:v>97.554447984408441</c:v>
                </c:pt>
                <c:pt idx="19">
                  <c:v>98.374197196752391</c:v>
                </c:pt>
                <c:pt idx="20">
                  <c:v>96.927825968412975</c:v>
                </c:pt>
                <c:pt idx="21">
                  <c:v>96.927825968412975</c:v>
                </c:pt>
                <c:pt idx="22">
                  <c:v>96.927825968412975</c:v>
                </c:pt>
                <c:pt idx="23">
                  <c:v>96.816430706466804</c:v>
                </c:pt>
                <c:pt idx="24">
                  <c:v>98.738709001494485</c:v>
                </c:pt>
                <c:pt idx="25">
                  <c:v>98.39306812214727</c:v>
                </c:pt>
                <c:pt idx="26">
                  <c:v>97.037895847639049</c:v>
                </c:pt>
                <c:pt idx="27">
                  <c:v>97.26516742739426</c:v>
                </c:pt>
                <c:pt idx="28">
                  <c:v>97.26516742739426</c:v>
                </c:pt>
                <c:pt idx="29">
                  <c:v>97.26516742739426</c:v>
                </c:pt>
                <c:pt idx="30">
                  <c:v>97.26516742739426</c:v>
                </c:pt>
                <c:pt idx="31">
                  <c:v>97.26516742739426</c:v>
                </c:pt>
                <c:pt idx="32">
                  <c:v>97.231875075736156</c:v>
                </c:pt>
                <c:pt idx="33">
                  <c:v>97.852974663731445</c:v>
                </c:pt>
                <c:pt idx="34">
                  <c:v>97.54289822070524</c:v>
                </c:pt>
                <c:pt idx="35">
                  <c:v>97.54289822070524</c:v>
                </c:pt>
                <c:pt idx="36">
                  <c:v>97.54289822070524</c:v>
                </c:pt>
                <c:pt idx="37">
                  <c:v>98.982263854667366</c:v>
                </c:pt>
                <c:pt idx="38">
                  <c:v>99.766543300884578</c:v>
                </c:pt>
                <c:pt idx="39">
                  <c:v>99.692448095488089</c:v>
                </c:pt>
                <c:pt idx="40">
                  <c:v>100.1740984872965</c:v>
                </c:pt>
                <c:pt idx="41">
                  <c:v>99.82224093185765</c:v>
                </c:pt>
                <c:pt idx="42">
                  <c:v>99.82224093185765</c:v>
                </c:pt>
                <c:pt idx="43">
                  <c:v>99.82224093185765</c:v>
                </c:pt>
                <c:pt idx="44">
                  <c:v>100.1620753726218</c:v>
                </c:pt>
                <c:pt idx="45">
                  <c:v>100.73281041725571</c:v>
                </c:pt>
                <c:pt idx="46">
                  <c:v>100.0211114533263</c:v>
                </c:pt>
                <c:pt idx="47">
                  <c:v>99.538829926889349</c:v>
                </c:pt>
                <c:pt idx="48">
                  <c:v>100.7702051439996</c:v>
                </c:pt>
                <c:pt idx="49">
                  <c:v>100.7702051439996</c:v>
                </c:pt>
                <c:pt idx="50">
                  <c:v>100.7702051439996</c:v>
                </c:pt>
                <c:pt idx="51">
                  <c:v>101.4182857373672</c:v>
                </c:pt>
                <c:pt idx="52">
                  <c:v>101.4343796703963</c:v>
                </c:pt>
                <c:pt idx="53">
                  <c:v>100.0021458577372</c:v>
                </c:pt>
                <c:pt idx="54">
                  <c:v>99.550474360786794</c:v>
                </c:pt>
                <c:pt idx="55">
                  <c:v>99.129255109665948</c:v>
                </c:pt>
                <c:pt idx="56">
                  <c:v>99.129255109665948</c:v>
                </c:pt>
                <c:pt idx="57">
                  <c:v>99.129255109665948</c:v>
                </c:pt>
                <c:pt idx="58">
                  <c:v>98.932940683443064</c:v>
                </c:pt>
                <c:pt idx="59">
                  <c:v>98.471518156480926</c:v>
                </c:pt>
                <c:pt idx="60">
                  <c:v>95.977999909116662</c:v>
                </c:pt>
                <c:pt idx="61">
                  <c:v>97.683041664983605</c:v>
                </c:pt>
                <c:pt idx="62">
                  <c:v>97.041272417901993</c:v>
                </c:pt>
                <c:pt idx="63">
                  <c:v>97.041272417901993</c:v>
                </c:pt>
                <c:pt idx="64">
                  <c:v>97.041272417901993</c:v>
                </c:pt>
                <c:pt idx="65">
                  <c:v>97.547884184271126</c:v>
                </c:pt>
                <c:pt idx="66">
                  <c:v>98.274162358120904</c:v>
                </c:pt>
                <c:pt idx="67">
                  <c:v>98.304898614533244</c:v>
                </c:pt>
                <c:pt idx="68">
                  <c:v>98.12562482328228</c:v>
                </c:pt>
                <c:pt idx="69">
                  <c:v>96.789165690511766</c:v>
                </c:pt>
                <c:pt idx="70">
                  <c:v>96.789165690511766</c:v>
                </c:pt>
                <c:pt idx="71">
                  <c:v>96.789165690511766</c:v>
                </c:pt>
                <c:pt idx="72">
                  <c:v>96.335853243527069</c:v>
                </c:pt>
                <c:pt idx="73">
                  <c:v>97.188484570020535</c:v>
                </c:pt>
                <c:pt idx="74">
                  <c:v>96.241593286747204</c:v>
                </c:pt>
                <c:pt idx="75">
                  <c:v>96.063739548410538</c:v>
                </c:pt>
                <c:pt idx="76">
                  <c:v>95.361318263521383</c:v>
                </c:pt>
                <c:pt idx="77">
                  <c:v>95.361318263521383</c:v>
                </c:pt>
                <c:pt idx="78">
                  <c:v>95.361318263521383</c:v>
                </c:pt>
                <c:pt idx="79">
                  <c:v>95.361318263521383</c:v>
                </c:pt>
                <c:pt idx="80">
                  <c:v>91.761357898776083</c:v>
                </c:pt>
                <c:pt idx="81">
                  <c:v>92.010940087651974</c:v>
                </c:pt>
                <c:pt idx="82">
                  <c:v>90.751163812255115</c:v>
                </c:pt>
                <c:pt idx="83">
                  <c:v>91.19138021569654</c:v>
                </c:pt>
                <c:pt idx="84">
                  <c:v>91.19138021569654</c:v>
                </c:pt>
                <c:pt idx="85">
                  <c:v>91.19138021569654</c:v>
                </c:pt>
                <c:pt idx="86">
                  <c:v>90.231298218685609</c:v>
                </c:pt>
                <c:pt idx="87">
                  <c:v>89.763375005049056</c:v>
                </c:pt>
                <c:pt idx="88">
                  <c:v>88.774671052631533</c:v>
                </c:pt>
                <c:pt idx="89">
                  <c:v>87.945328593933013</c:v>
                </c:pt>
                <c:pt idx="90">
                  <c:v>89.855205093508872</c:v>
                </c:pt>
                <c:pt idx="91">
                  <c:v>89.855205093508872</c:v>
                </c:pt>
                <c:pt idx="92">
                  <c:v>89.855205093508872</c:v>
                </c:pt>
                <c:pt idx="93">
                  <c:v>87.587506816253935</c:v>
                </c:pt>
                <c:pt idx="94">
                  <c:v>87.945076140081554</c:v>
                </c:pt>
                <c:pt idx="95">
                  <c:v>87.068998162135927</c:v>
                </c:pt>
                <c:pt idx="96">
                  <c:v>86.272380033929721</c:v>
                </c:pt>
                <c:pt idx="97">
                  <c:v>86.693567728319266</c:v>
                </c:pt>
                <c:pt idx="98">
                  <c:v>86.693567728319266</c:v>
                </c:pt>
                <c:pt idx="99">
                  <c:v>86.693567728319266</c:v>
                </c:pt>
                <c:pt idx="100">
                  <c:v>88.835670214484722</c:v>
                </c:pt>
                <c:pt idx="101">
                  <c:v>89.230602708324909</c:v>
                </c:pt>
                <c:pt idx="102">
                  <c:v>87.657373419638873</c:v>
                </c:pt>
                <c:pt idx="103">
                  <c:v>89.547242951488471</c:v>
                </c:pt>
                <c:pt idx="104">
                  <c:v>89.342913115482474</c:v>
                </c:pt>
                <c:pt idx="105">
                  <c:v>89.342913115482474</c:v>
                </c:pt>
                <c:pt idx="106">
                  <c:v>89.342913115482474</c:v>
                </c:pt>
                <c:pt idx="107">
                  <c:v>88.801967625318099</c:v>
                </c:pt>
                <c:pt idx="108">
                  <c:v>88.299710687886261</c:v>
                </c:pt>
                <c:pt idx="109">
                  <c:v>87.956720573979069</c:v>
                </c:pt>
                <c:pt idx="110">
                  <c:v>87.492457941188363</c:v>
                </c:pt>
                <c:pt idx="111">
                  <c:v>89.282545088257876</c:v>
                </c:pt>
                <c:pt idx="112">
                  <c:v>89.282545088257876</c:v>
                </c:pt>
                <c:pt idx="113">
                  <c:v>89.282545088257876</c:v>
                </c:pt>
                <c:pt idx="114">
                  <c:v>90.237798905360094</c:v>
                </c:pt>
                <c:pt idx="115">
                  <c:v>91.690039685745461</c:v>
                </c:pt>
                <c:pt idx="116">
                  <c:v>91.629608545057948</c:v>
                </c:pt>
                <c:pt idx="117">
                  <c:v>90.953600244375352</c:v>
                </c:pt>
                <c:pt idx="118">
                  <c:v>90.681234095407362</c:v>
                </c:pt>
                <c:pt idx="119">
                  <c:v>90.681234095407362</c:v>
                </c:pt>
                <c:pt idx="120">
                  <c:v>90.681234095407362</c:v>
                </c:pt>
                <c:pt idx="121">
                  <c:v>90.537840307791711</c:v>
                </c:pt>
                <c:pt idx="122">
                  <c:v>90.769813840529949</c:v>
                </c:pt>
                <c:pt idx="123">
                  <c:v>89.133060851476344</c:v>
                </c:pt>
                <c:pt idx="124">
                  <c:v>87.349789958395576</c:v>
                </c:pt>
                <c:pt idx="125">
                  <c:v>86.479423748838727</c:v>
                </c:pt>
                <c:pt idx="126">
                  <c:v>86.479423748838727</c:v>
                </c:pt>
                <c:pt idx="127">
                  <c:v>86.479423748838727</c:v>
                </c:pt>
                <c:pt idx="128">
                  <c:v>85.365881366886072</c:v>
                </c:pt>
                <c:pt idx="129">
                  <c:v>87.707958860120357</c:v>
                </c:pt>
                <c:pt idx="130">
                  <c:v>86.593880013733454</c:v>
                </c:pt>
                <c:pt idx="131">
                  <c:v>88.18156228541423</c:v>
                </c:pt>
                <c:pt idx="132">
                  <c:v>88.210846932180758</c:v>
                </c:pt>
                <c:pt idx="133">
                  <c:v>88.210846932180758</c:v>
                </c:pt>
                <c:pt idx="134">
                  <c:v>88.210846932180758</c:v>
                </c:pt>
                <c:pt idx="135">
                  <c:v>87.913014500949245</c:v>
                </c:pt>
                <c:pt idx="136">
                  <c:v>87.75816561982468</c:v>
                </c:pt>
                <c:pt idx="137">
                  <c:v>85.937121319222825</c:v>
                </c:pt>
                <c:pt idx="138">
                  <c:v>85.367017409217596</c:v>
                </c:pt>
                <c:pt idx="139">
                  <c:v>84.223843256452682</c:v>
                </c:pt>
                <c:pt idx="140">
                  <c:v>84.223843256452682</c:v>
                </c:pt>
                <c:pt idx="141">
                  <c:v>84.223843256452682</c:v>
                </c:pt>
                <c:pt idx="142">
                  <c:v>85.154766833622745</c:v>
                </c:pt>
                <c:pt idx="143">
                  <c:v>86.270612856969706</c:v>
                </c:pt>
                <c:pt idx="144">
                  <c:v>85.664155592357716</c:v>
                </c:pt>
                <c:pt idx="145">
                  <c:v>85.980259371086973</c:v>
                </c:pt>
                <c:pt idx="146">
                  <c:v>86.131921022337124</c:v>
                </c:pt>
                <c:pt idx="147">
                  <c:v>86.131921022337124</c:v>
                </c:pt>
                <c:pt idx="148">
                  <c:v>86.131921022337124</c:v>
                </c:pt>
                <c:pt idx="149">
                  <c:v>87.756082875550305</c:v>
                </c:pt>
                <c:pt idx="150">
                  <c:v>87.664000333239073</c:v>
                </c:pt>
                <c:pt idx="151">
                  <c:v>87.389898564042483</c:v>
                </c:pt>
                <c:pt idx="152">
                  <c:v>86.394031233590454</c:v>
                </c:pt>
                <c:pt idx="153">
                  <c:v>85.999982328230402</c:v>
                </c:pt>
                <c:pt idx="154">
                  <c:v>85.999982328230402</c:v>
                </c:pt>
                <c:pt idx="155">
                  <c:v>85.999982328230402</c:v>
                </c:pt>
                <c:pt idx="156">
                  <c:v>85.857472129094745</c:v>
                </c:pt>
                <c:pt idx="157">
                  <c:v>86.799314335339503</c:v>
                </c:pt>
                <c:pt idx="158">
                  <c:v>85.340036403845374</c:v>
                </c:pt>
                <c:pt idx="159">
                  <c:v>84.937877418507881</c:v>
                </c:pt>
                <c:pt idx="160">
                  <c:v>85.275786898654829</c:v>
                </c:pt>
                <c:pt idx="161">
                  <c:v>85.275786898654829</c:v>
                </c:pt>
                <c:pt idx="162">
                  <c:v>85.275786898654829</c:v>
                </c:pt>
                <c:pt idx="163">
                  <c:v>84.240221200064624</c:v>
                </c:pt>
                <c:pt idx="164">
                  <c:v>84.092377913317449</c:v>
                </c:pt>
                <c:pt idx="165">
                  <c:v>83.818149917195143</c:v>
                </c:pt>
                <c:pt idx="166">
                  <c:v>84.779620410388972</c:v>
                </c:pt>
                <c:pt idx="167">
                  <c:v>84.623887940784371</c:v>
                </c:pt>
                <c:pt idx="168">
                  <c:v>84.623887940784371</c:v>
                </c:pt>
                <c:pt idx="169">
                  <c:v>84.623887940784371</c:v>
                </c:pt>
                <c:pt idx="170">
                  <c:v>83.681793280688282</c:v>
                </c:pt>
                <c:pt idx="171">
                  <c:v>85.201597023064153</c:v>
                </c:pt>
                <c:pt idx="172">
                  <c:v>86.176700024235544</c:v>
                </c:pt>
                <c:pt idx="173">
                  <c:v>86.126019913559745</c:v>
                </c:pt>
                <c:pt idx="174">
                  <c:v>88.279482823039885</c:v>
                </c:pt>
                <c:pt idx="175">
                  <c:v>88.279482823039885</c:v>
                </c:pt>
                <c:pt idx="176">
                  <c:v>88.279482823039885</c:v>
                </c:pt>
                <c:pt idx="177">
                  <c:v>88.279482823039885</c:v>
                </c:pt>
                <c:pt idx="178">
                  <c:v>87.763624934361999</c:v>
                </c:pt>
                <c:pt idx="179">
                  <c:v>88.573844013814224</c:v>
                </c:pt>
                <c:pt idx="180">
                  <c:v>88.099293886577513</c:v>
                </c:pt>
                <c:pt idx="181">
                  <c:v>89.032584218604782</c:v>
                </c:pt>
                <c:pt idx="182">
                  <c:v>89.032584218604782</c:v>
                </c:pt>
                <c:pt idx="183">
                  <c:v>89.032584218604782</c:v>
                </c:pt>
                <c:pt idx="184">
                  <c:v>89.032584218604782</c:v>
                </c:pt>
                <c:pt idx="185">
                  <c:v>89.032584218604782</c:v>
                </c:pt>
                <c:pt idx="186">
                  <c:v>89.032584218604782</c:v>
                </c:pt>
                <c:pt idx="187">
                  <c:v>85.724176495536611</c:v>
                </c:pt>
                <c:pt idx="188">
                  <c:v>85.866276457163607</c:v>
                </c:pt>
                <c:pt idx="189">
                  <c:v>86.018506129579478</c:v>
                </c:pt>
                <c:pt idx="190">
                  <c:v>81.525490265379503</c:v>
                </c:pt>
                <c:pt idx="191">
                  <c:v>82.265653401058302</c:v>
                </c:pt>
                <c:pt idx="192">
                  <c:v>81.04077887062239</c:v>
                </c:pt>
                <c:pt idx="193">
                  <c:v>80.353851940865212</c:v>
                </c:pt>
                <c:pt idx="194">
                  <c:v>80.836165024033605</c:v>
                </c:pt>
                <c:pt idx="195">
                  <c:v>78.463256604192793</c:v>
                </c:pt>
                <c:pt idx="196">
                  <c:v>80.484339025326165</c:v>
                </c:pt>
                <c:pt idx="197">
                  <c:v>83.779208910611118</c:v>
                </c:pt>
                <c:pt idx="198">
                  <c:v>81.884195631538546</c:v>
                </c:pt>
                <c:pt idx="199">
                  <c:v>82.151481146746335</c:v>
                </c:pt>
                <c:pt idx="200">
                  <c:v>82.167417296118273</c:v>
                </c:pt>
                <c:pt idx="201">
                  <c:v>82.011116805347996</c:v>
                </c:pt>
                <c:pt idx="202">
                  <c:v>80.220461637112734</c:v>
                </c:pt>
                <c:pt idx="203">
                  <c:v>81.039201034050947</c:v>
                </c:pt>
                <c:pt idx="204">
                  <c:v>82.135324100254422</c:v>
                </c:pt>
                <c:pt idx="205">
                  <c:v>82.244321050611944</c:v>
                </c:pt>
                <c:pt idx="206">
                  <c:v>84.460834309488206</c:v>
                </c:pt>
                <c:pt idx="207">
                  <c:v>84.112290210849451</c:v>
                </c:pt>
                <c:pt idx="208">
                  <c:v>83.920583067415293</c:v>
                </c:pt>
                <c:pt idx="209">
                  <c:v>83.352120107444321</c:v>
                </c:pt>
                <c:pt idx="210">
                  <c:v>83.17193117098185</c:v>
                </c:pt>
                <c:pt idx="211">
                  <c:v>82.011905723633703</c:v>
                </c:pt>
                <c:pt idx="212">
                  <c:v>83.010613159914385</c:v>
                </c:pt>
                <c:pt idx="213">
                  <c:v>83.779303580805433</c:v>
                </c:pt>
                <c:pt idx="214">
                  <c:v>83.064953851435973</c:v>
                </c:pt>
                <c:pt idx="215">
                  <c:v>84.198724098234848</c:v>
                </c:pt>
                <c:pt idx="216">
                  <c:v>84.543954740073545</c:v>
                </c:pt>
                <c:pt idx="217">
                  <c:v>85.314002100416019</c:v>
                </c:pt>
                <c:pt idx="218">
                  <c:v>83.494504079654234</c:v>
                </c:pt>
                <c:pt idx="219">
                  <c:v>83.672831168962276</c:v>
                </c:pt>
                <c:pt idx="220">
                  <c:v>83.481250252453819</c:v>
                </c:pt>
                <c:pt idx="221">
                  <c:v>81.400052257947266</c:v>
                </c:pt>
                <c:pt idx="222">
                  <c:v>81.284144383406712</c:v>
                </c:pt>
                <c:pt idx="223">
                  <c:v>81.248453720159972</c:v>
                </c:pt>
                <c:pt idx="224">
                  <c:v>82.102315759179206</c:v>
                </c:pt>
                <c:pt idx="225">
                  <c:v>81.020109211536109</c:v>
                </c:pt>
                <c:pt idx="226">
                  <c:v>81.674753605041005</c:v>
                </c:pt>
                <c:pt idx="227">
                  <c:v>83.776747485559596</c:v>
                </c:pt>
                <c:pt idx="228">
                  <c:v>84.128920608312797</c:v>
                </c:pt>
                <c:pt idx="229">
                  <c:v>83.619184725532165</c:v>
                </c:pt>
                <c:pt idx="230">
                  <c:v>82.210997142222382</c:v>
                </c:pt>
                <c:pt idx="231">
                  <c:v>82.233307751343062</c:v>
                </c:pt>
                <c:pt idx="232">
                  <c:v>81.560960031506241</c:v>
                </c:pt>
                <c:pt idx="233">
                  <c:v>81.860938320474986</c:v>
                </c:pt>
                <c:pt idx="234">
                  <c:v>82.115443359453835</c:v>
                </c:pt>
                <c:pt idx="235">
                  <c:v>83.121976865129014</c:v>
                </c:pt>
                <c:pt idx="236">
                  <c:v>81.849988134668934</c:v>
                </c:pt>
                <c:pt idx="237">
                  <c:v>81.983567778810027</c:v>
                </c:pt>
                <c:pt idx="238">
                  <c:v>81.3106204810761</c:v>
                </c:pt>
                <c:pt idx="239">
                  <c:v>80.455874853576717</c:v>
                </c:pt>
                <c:pt idx="240">
                  <c:v>80.0363281092216</c:v>
                </c:pt>
                <c:pt idx="241">
                  <c:v>79.404625459466004</c:v>
                </c:pt>
                <c:pt idx="242">
                  <c:v>79.744081219453079</c:v>
                </c:pt>
                <c:pt idx="243">
                  <c:v>79.043900462495472</c:v>
                </c:pt>
                <c:pt idx="244">
                  <c:v>78.837992789918005</c:v>
                </c:pt>
                <c:pt idx="245">
                  <c:v>78.358078018338176</c:v>
                </c:pt>
                <c:pt idx="246">
                  <c:v>78.699206285091094</c:v>
                </c:pt>
                <c:pt idx="247">
                  <c:v>78.699206285091094</c:v>
                </c:pt>
                <c:pt idx="248">
                  <c:v>78.699206285091094</c:v>
                </c:pt>
                <c:pt idx="249">
                  <c:v>77.796525982550406</c:v>
                </c:pt>
                <c:pt idx="250">
                  <c:v>77.767241335783808</c:v>
                </c:pt>
                <c:pt idx="251">
                  <c:v>79.361014056630438</c:v>
                </c:pt>
                <c:pt idx="252">
                  <c:v>79.936009260007296</c:v>
                </c:pt>
                <c:pt idx="253">
                  <c:v>79.726882800823944</c:v>
                </c:pt>
                <c:pt idx="254">
                  <c:v>80.291211828977694</c:v>
                </c:pt>
                <c:pt idx="255">
                  <c:v>79.999406733449106</c:v>
                </c:pt>
                <c:pt idx="256">
                  <c:v>80.590558983317905</c:v>
                </c:pt>
                <c:pt idx="257">
                  <c:v>80.020455073312576</c:v>
                </c:pt>
                <c:pt idx="258">
                  <c:v>81.111686846144508</c:v>
                </c:pt>
                <c:pt idx="259">
                  <c:v>81.114116714464558</c:v>
                </c:pt>
                <c:pt idx="260">
                  <c:v>80.773777365997475</c:v>
                </c:pt>
                <c:pt idx="261">
                  <c:v>81.921464131356785</c:v>
                </c:pt>
                <c:pt idx="262">
                  <c:v>82.379162964010163</c:v>
                </c:pt>
                <c:pt idx="263">
                  <c:v>81.407026295593198</c:v>
                </c:pt>
                <c:pt idx="264">
                  <c:v>81.448050046451471</c:v>
                </c:pt>
                <c:pt idx="265">
                  <c:v>81.78539150543277</c:v>
                </c:pt>
                <c:pt idx="266">
                  <c:v>82.101873964939202</c:v>
                </c:pt>
                <c:pt idx="267">
                  <c:v>81.952105717574781</c:v>
                </c:pt>
                <c:pt idx="268">
                  <c:v>81.866176737892275</c:v>
                </c:pt>
                <c:pt idx="269">
                  <c:v>81.276760108252176</c:v>
                </c:pt>
                <c:pt idx="270">
                  <c:v>81.560676020923353</c:v>
                </c:pt>
                <c:pt idx="271">
                  <c:v>82.622844044108703</c:v>
                </c:pt>
                <c:pt idx="272">
                  <c:v>82.622844044108703</c:v>
                </c:pt>
                <c:pt idx="273">
                  <c:v>82.622844044108703</c:v>
                </c:pt>
                <c:pt idx="274">
                  <c:v>82.622844044108703</c:v>
                </c:pt>
                <c:pt idx="275">
                  <c:v>82.622844044108703</c:v>
                </c:pt>
                <c:pt idx="276">
                  <c:v>82.622844044108703</c:v>
                </c:pt>
                <c:pt idx="277">
                  <c:v>83.748283313810234</c:v>
                </c:pt>
                <c:pt idx="278">
                  <c:v>84.316241366078273</c:v>
                </c:pt>
                <c:pt idx="279">
                  <c:v>85.868012077392251</c:v>
                </c:pt>
                <c:pt idx="280">
                  <c:v>85.824842468796675</c:v>
                </c:pt>
                <c:pt idx="281">
                  <c:v>84.647303035505132</c:v>
                </c:pt>
                <c:pt idx="282">
                  <c:v>86.918504109948699</c:v>
                </c:pt>
                <c:pt idx="283">
                  <c:v>86.959180736761283</c:v>
                </c:pt>
                <c:pt idx="284">
                  <c:v>87.135046401017902</c:v>
                </c:pt>
                <c:pt idx="285">
                  <c:v>86.837845104414853</c:v>
                </c:pt>
                <c:pt idx="286">
                  <c:v>88.492206749606197</c:v>
                </c:pt>
                <c:pt idx="287">
                  <c:v>93.448412317728284</c:v>
                </c:pt>
                <c:pt idx="288">
                  <c:v>92.824630407561457</c:v>
                </c:pt>
                <c:pt idx="289">
                  <c:v>93.213030657995716</c:v>
                </c:pt>
                <c:pt idx="290">
                  <c:v>92.806895524498088</c:v>
                </c:pt>
              </c:numCache>
            </c:numRef>
          </c:val>
          <c:smooth val="0"/>
        </c:ser>
        <c:ser>
          <c:idx val="5"/>
          <c:order val="4"/>
          <c:tx>
            <c:strRef>
              <c:f>Index_Charts!$O$1</c:f>
              <c:strCache>
                <c:ptCount val="1"/>
                <c:pt idx="0">
                  <c:v>FTSE/JSE Africa All Share</c:v>
                </c:pt>
              </c:strCache>
            </c:strRef>
          </c:tx>
          <c:spPr>
            <a:ln w="28575" cap="rnd">
              <a:solidFill>
                <a:schemeClr val="accent6"/>
              </a:solidFill>
              <a:round/>
            </a:ln>
            <a:effectLst/>
          </c:spPr>
          <c:marker>
            <c:symbol val="none"/>
          </c:marker>
          <c:cat>
            <c:numRef>
              <c:f>Index_Charts!$B$2:$B$292</c:f>
              <c:numCache>
                <c:formatCode>[$-409]mmmm\-yy;@</c:formatCode>
                <c:ptCount val="291"/>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pt idx="248">
                  <c:v>43466</c:v>
                </c:pt>
                <c:pt idx="249">
                  <c:v>43467</c:v>
                </c:pt>
                <c:pt idx="250">
                  <c:v>43468</c:v>
                </c:pt>
                <c:pt idx="251">
                  <c:v>43469</c:v>
                </c:pt>
                <c:pt idx="252">
                  <c:v>43472</c:v>
                </c:pt>
                <c:pt idx="253">
                  <c:v>43473</c:v>
                </c:pt>
                <c:pt idx="254">
                  <c:v>43474</c:v>
                </c:pt>
                <c:pt idx="255">
                  <c:v>43475</c:v>
                </c:pt>
                <c:pt idx="256">
                  <c:v>43476</c:v>
                </c:pt>
                <c:pt idx="257">
                  <c:v>43479</c:v>
                </c:pt>
                <c:pt idx="258">
                  <c:v>43480</c:v>
                </c:pt>
                <c:pt idx="259">
                  <c:v>43481</c:v>
                </c:pt>
                <c:pt idx="260">
                  <c:v>43482</c:v>
                </c:pt>
                <c:pt idx="261">
                  <c:v>43483</c:v>
                </c:pt>
                <c:pt idx="262">
                  <c:v>43486</c:v>
                </c:pt>
                <c:pt idx="263">
                  <c:v>43487</c:v>
                </c:pt>
                <c:pt idx="264">
                  <c:v>43488</c:v>
                </c:pt>
                <c:pt idx="265">
                  <c:v>43489</c:v>
                </c:pt>
                <c:pt idx="266">
                  <c:v>43490</c:v>
                </c:pt>
                <c:pt idx="267">
                  <c:v>43493</c:v>
                </c:pt>
                <c:pt idx="268">
                  <c:v>43494</c:v>
                </c:pt>
                <c:pt idx="269">
                  <c:v>43495</c:v>
                </c:pt>
                <c:pt idx="270">
                  <c:v>43496</c:v>
                </c:pt>
                <c:pt idx="271">
                  <c:v>43497</c:v>
                </c:pt>
                <c:pt idx="272">
                  <c:v>43500</c:v>
                </c:pt>
                <c:pt idx="273">
                  <c:v>43501</c:v>
                </c:pt>
                <c:pt idx="274">
                  <c:v>43502</c:v>
                </c:pt>
                <c:pt idx="275">
                  <c:v>43503</c:v>
                </c:pt>
                <c:pt idx="276">
                  <c:v>43504</c:v>
                </c:pt>
                <c:pt idx="277">
                  <c:v>43507</c:v>
                </c:pt>
                <c:pt idx="278">
                  <c:v>43508</c:v>
                </c:pt>
                <c:pt idx="279">
                  <c:v>43509</c:v>
                </c:pt>
                <c:pt idx="280">
                  <c:v>43510</c:v>
                </c:pt>
                <c:pt idx="281">
                  <c:v>43511</c:v>
                </c:pt>
                <c:pt idx="282">
                  <c:v>43514</c:v>
                </c:pt>
                <c:pt idx="283">
                  <c:v>43515</c:v>
                </c:pt>
                <c:pt idx="284">
                  <c:v>43516</c:v>
                </c:pt>
                <c:pt idx="285">
                  <c:v>43517</c:v>
                </c:pt>
                <c:pt idx="286">
                  <c:v>43518</c:v>
                </c:pt>
                <c:pt idx="287">
                  <c:v>43521</c:v>
                </c:pt>
                <c:pt idx="288">
                  <c:v>43522</c:v>
                </c:pt>
                <c:pt idx="289">
                  <c:v>43523</c:v>
                </c:pt>
                <c:pt idx="290">
                  <c:v>43524</c:v>
                </c:pt>
              </c:numCache>
            </c:numRef>
          </c:cat>
          <c:val>
            <c:numRef>
              <c:f>Index_Charts!$O$2:$O$292</c:f>
              <c:numCache>
                <c:formatCode>0.00</c:formatCode>
                <c:ptCount val="291"/>
                <c:pt idx="0">
                  <c:v>100</c:v>
                </c:pt>
                <c:pt idx="1">
                  <c:v>100</c:v>
                </c:pt>
                <c:pt idx="2">
                  <c:v>100</c:v>
                </c:pt>
                <c:pt idx="3">
                  <c:v>98.900882783663548</c:v>
                </c:pt>
                <c:pt idx="4">
                  <c:v>98.428395594950601</c:v>
                </c:pt>
                <c:pt idx="5">
                  <c:v>100.51668766129031</c:v>
                </c:pt>
                <c:pt idx="6">
                  <c:v>100.7287850350035</c:v>
                </c:pt>
                <c:pt idx="7">
                  <c:v>100.7287850350035</c:v>
                </c:pt>
                <c:pt idx="8">
                  <c:v>100.7287850350035</c:v>
                </c:pt>
                <c:pt idx="9">
                  <c:v>101.1122944371578</c:v>
                </c:pt>
                <c:pt idx="10">
                  <c:v>102.2942424738421</c:v>
                </c:pt>
                <c:pt idx="11">
                  <c:v>101.25381887035709</c:v>
                </c:pt>
                <c:pt idx="12">
                  <c:v>101.8142743731717</c:v>
                </c:pt>
                <c:pt idx="13">
                  <c:v>101.96243248251631</c:v>
                </c:pt>
                <c:pt idx="14">
                  <c:v>101.96243248251631</c:v>
                </c:pt>
                <c:pt idx="15">
                  <c:v>101.96243248251631</c:v>
                </c:pt>
                <c:pt idx="16">
                  <c:v>102.2694202671785</c:v>
                </c:pt>
                <c:pt idx="17">
                  <c:v>102.4375515101347</c:v>
                </c:pt>
                <c:pt idx="18">
                  <c:v>104.0356725934717</c:v>
                </c:pt>
                <c:pt idx="19">
                  <c:v>103.69948221273479</c:v>
                </c:pt>
                <c:pt idx="20">
                  <c:v>103.79851867127471</c:v>
                </c:pt>
                <c:pt idx="21">
                  <c:v>103.79851867127471</c:v>
                </c:pt>
                <c:pt idx="22">
                  <c:v>103.79851867127471</c:v>
                </c:pt>
                <c:pt idx="23">
                  <c:v>103.9747797727677</c:v>
                </c:pt>
                <c:pt idx="24">
                  <c:v>103.9670284664023</c:v>
                </c:pt>
                <c:pt idx="25">
                  <c:v>102.72678339533179</c:v>
                </c:pt>
                <c:pt idx="26">
                  <c:v>103.56653829541921</c:v>
                </c:pt>
                <c:pt idx="27">
                  <c:v>103.56653829541921</c:v>
                </c:pt>
                <c:pt idx="28">
                  <c:v>103.56653829541921</c:v>
                </c:pt>
                <c:pt idx="29">
                  <c:v>103.56653829541921</c:v>
                </c:pt>
                <c:pt idx="30">
                  <c:v>104.9781593423431</c:v>
                </c:pt>
                <c:pt idx="31">
                  <c:v>104.9781593423431</c:v>
                </c:pt>
                <c:pt idx="32">
                  <c:v>105.36448084634171</c:v>
                </c:pt>
                <c:pt idx="33">
                  <c:v>103.24357921438531</c:v>
                </c:pt>
                <c:pt idx="34">
                  <c:v>103.91954720834001</c:v>
                </c:pt>
                <c:pt idx="35">
                  <c:v>103.91954720834001</c:v>
                </c:pt>
                <c:pt idx="36">
                  <c:v>103.91954720834001</c:v>
                </c:pt>
                <c:pt idx="37">
                  <c:v>104.3374868317923</c:v>
                </c:pt>
                <c:pt idx="38">
                  <c:v>103.9490562514106</c:v>
                </c:pt>
                <c:pt idx="39">
                  <c:v>104.3995153090103</c:v>
                </c:pt>
                <c:pt idx="40">
                  <c:v>104.56263524226981</c:v>
                </c:pt>
                <c:pt idx="41">
                  <c:v>105.3147643278392</c:v>
                </c:pt>
                <c:pt idx="42">
                  <c:v>105.3147643278392</c:v>
                </c:pt>
                <c:pt idx="43">
                  <c:v>105.3147643278392</c:v>
                </c:pt>
                <c:pt idx="44">
                  <c:v>105.6601300921576</c:v>
                </c:pt>
                <c:pt idx="45">
                  <c:v>104.3574058865223</c:v>
                </c:pt>
                <c:pt idx="46">
                  <c:v>105.67332533927291</c:v>
                </c:pt>
                <c:pt idx="47">
                  <c:v>104.8846389297285</c:v>
                </c:pt>
                <c:pt idx="48">
                  <c:v>104.1997839728942</c:v>
                </c:pt>
                <c:pt idx="49">
                  <c:v>104.1997839728942</c:v>
                </c:pt>
                <c:pt idx="50">
                  <c:v>104.1997839728942</c:v>
                </c:pt>
                <c:pt idx="51">
                  <c:v>104.23019433065851</c:v>
                </c:pt>
                <c:pt idx="52">
                  <c:v>104.7721368296652</c:v>
                </c:pt>
                <c:pt idx="53">
                  <c:v>102.8281452457813</c:v>
                </c:pt>
                <c:pt idx="54">
                  <c:v>102.2076441580747</c:v>
                </c:pt>
                <c:pt idx="55">
                  <c:v>102.6002027597535</c:v>
                </c:pt>
                <c:pt idx="56">
                  <c:v>102.6002027597535</c:v>
                </c:pt>
                <c:pt idx="57">
                  <c:v>102.6002027597535</c:v>
                </c:pt>
                <c:pt idx="58">
                  <c:v>102.4925317064483</c:v>
                </c:pt>
                <c:pt idx="59">
                  <c:v>100.831426752318</c:v>
                </c:pt>
                <c:pt idx="60">
                  <c:v>100.2291322214235</c:v>
                </c:pt>
                <c:pt idx="61">
                  <c:v>101.2318628444194</c:v>
                </c:pt>
                <c:pt idx="62">
                  <c:v>103.2584689331246</c:v>
                </c:pt>
                <c:pt idx="63">
                  <c:v>103.2584689331246</c:v>
                </c:pt>
                <c:pt idx="64">
                  <c:v>103.2584689331246</c:v>
                </c:pt>
                <c:pt idx="65">
                  <c:v>104.31976698491501</c:v>
                </c:pt>
                <c:pt idx="66">
                  <c:v>104.1543216597458</c:v>
                </c:pt>
                <c:pt idx="67">
                  <c:v>104.7000857330537</c:v>
                </c:pt>
                <c:pt idx="68">
                  <c:v>105.2584862383667</c:v>
                </c:pt>
                <c:pt idx="69">
                  <c:v>104.95578871164631</c:v>
                </c:pt>
                <c:pt idx="70">
                  <c:v>104.95578871164631</c:v>
                </c:pt>
                <c:pt idx="71">
                  <c:v>104.95578871164631</c:v>
                </c:pt>
                <c:pt idx="72">
                  <c:v>104.8158686186018</c:v>
                </c:pt>
                <c:pt idx="73">
                  <c:v>104.9271269043878</c:v>
                </c:pt>
                <c:pt idx="74">
                  <c:v>105.34066811213511</c:v>
                </c:pt>
                <c:pt idx="75">
                  <c:v>105.44601377353059</c:v>
                </c:pt>
                <c:pt idx="76">
                  <c:v>103.94051178811461</c:v>
                </c:pt>
                <c:pt idx="77">
                  <c:v>103.94051178811461</c:v>
                </c:pt>
                <c:pt idx="78">
                  <c:v>103.94051178811461</c:v>
                </c:pt>
                <c:pt idx="79">
                  <c:v>103.17680982187861</c:v>
                </c:pt>
                <c:pt idx="80">
                  <c:v>101.40386974055841</c:v>
                </c:pt>
                <c:pt idx="81">
                  <c:v>102.1219471570011</c:v>
                </c:pt>
                <c:pt idx="82">
                  <c:v>101.3698360977256</c:v>
                </c:pt>
                <c:pt idx="83">
                  <c:v>102.4914861814036</c:v>
                </c:pt>
                <c:pt idx="84">
                  <c:v>102.4914861814036</c:v>
                </c:pt>
                <c:pt idx="85">
                  <c:v>102.4914861814036</c:v>
                </c:pt>
                <c:pt idx="86">
                  <c:v>100.7476225121011</c:v>
                </c:pt>
                <c:pt idx="87">
                  <c:v>99.603691929195605</c:v>
                </c:pt>
                <c:pt idx="88">
                  <c:v>99.810255230689677</c:v>
                </c:pt>
                <c:pt idx="89">
                  <c:v>100.5780671919288</c:v>
                </c:pt>
                <c:pt idx="90">
                  <c:v>103.8512455808541</c:v>
                </c:pt>
                <c:pt idx="91">
                  <c:v>103.8512455808541</c:v>
                </c:pt>
                <c:pt idx="92">
                  <c:v>103.8512455808541</c:v>
                </c:pt>
                <c:pt idx="93">
                  <c:v>103.0375567017074</c:v>
                </c:pt>
                <c:pt idx="94">
                  <c:v>103.6309282171346</c:v>
                </c:pt>
                <c:pt idx="95">
                  <c:v>103.8314887627689</c:v>
                </c:pt>
                <c:pt idx="96">
                  <c:v>103.49616364413799</c:v>
                </c:pt>
                <c:pt idx="97">
                  <c:v>103.3156843898785</c:v>
                </c:pt>
                <c:pt idx="98">
                  <c:v>103.3156843898785</c:v>
                </c:pt>
                <c:pt idx="99">
                  <c:v>103.3156843898785</c:v>
                </c:pt>
                <c:pt idx="100">
                  <c:v>104.94892069368071</c:v>
                </c:pt>
                <c:pt idx="101">
                  <c:v>104.60137374780351</c:v>
                </c:pt>
                <c:pt idx="102">
                  <c:v>103.16630049255041</c:v>
                </c:pt>
                <c:pt idx="103">
                  <c:v>102.4783269868761</c:v>
                </c:pt>
                <c:pt idx="104">
                  <c:v>101.6036551555561</c:v>
                </c:pt>
                <c:pt idx="105">
                  <c:v>101.6036551555561</c:v>
                </c:pt>
                <c:pt idx="106">
                  <c:v>101.6036551555561</c:v>
                </c:pt>
                <c:pt idx="107">
                  <c:v>99.941450597499554</c:v>
                </c:pt>
                <c:pt idx="108">
                  <c:v>101.1510509689854</c:v>
                </c:pt>
                <c:pt idx="109">
                  <c:v>101.37482938112851</c:v>
                </c:pt>
                <c:pt idx="110">
                  <c:v>101.44606929451579</c:v>
                </c:pt>
                <c:pt idx="111">
                  <c:v>102.73220930978761</c:v>
                </c:pt>
                <c:pt idx="112">
                  <c:v>102.73220930978761</c:v>
                </c:pt>
                <c:pt idx="113">
                  <c:v>102.73220930978761</c:v>
                </c:pt>
                <c:pt idx="114">
                  <c:v>101.95096775961299</c:v>
                </c:pt>
                <c:pt idx="115">
                  <c:v>102.8487312733846</c:v>
                </c:pt>
                <c:pt idx="116">
                  <c:v>101.6464315509174</c:v>
                </c:pt>
                <c:pt idx="117">
                  <c:v>102.28704998258659</c:v>
                </c:pt>
                <c:pt idx="118">
                  <c:v>103.042586037698</c:v>
                </c:pt>
                <c:pt idx="119">
                  <c:v>103.042586037698</c:v>
                </c:pt>
                <c:pt idx="120">
                  <c:v>103.042586037698</c:v>
                </c:pt>
                <c:pt idx="121">
                  <c:v>103.314350444132</c:v>
                </c:pt>
                <c:pt idx="122">
                  <c:v>103.52944018262799</c:v>
                </c:pt>
                <c:pt idx="123">
                  <c:v>103.4700795969032</c:v>
                </c:pt>
                <c:pt idx="124">
                  <c:v>101.7957793956577</c:v>
                </c:pt>
                <c:pt idx="125">
                  <c:v>102.96263942437</c:v>
                </c:pt>
                <c:pt idx="126">
                  <c:v>102.96263942437</c:v>
                </c:pt>
                <c:pt idx="127">
                  <c:v>102.96263942437</c:v>
                </c:pt>
                <c:pt idx="128">
                  <c:v>102.499688145116</c:v>
                </c:pt>
                <c:pt idx="129">
                  <c:v>104.0218824786587</c:v>
                </c:pt>
                <c:pt idx="130">
                  <c:v>104.1673005913345</c:v>
                </c:pt>
                <c:pt idx="131">
                  <c:v>104.1673005913345</c:v>
                </c:pt>
                <c:pt idx="132">
                  <c:v>104.017159589664</c:v>
                </c:pt>
                <c:pt idx="133">
                  <c:v>104.017159589664</c:v>
                </c:pt>
                <c:pt idx="134">
                  <c:v>104.017159589664</c:v>
                </c:pt>
                <c:pt idx="135">
                  <c:v>104.3456707692108</c:v>
                </c:pt>
                <c:pt idx="136">
                  <c:v>103.84756821690389</c:v>
                </c:pt>
                <c:pt idx="137">
                  <c:v>100.3093852817474</c:v>
                </c:pt>
                <c:pt idx="138">
                  <c:v>101.9609363001248</c:v>
                </c:pt>
                <c:pt idx="139">
                  <c:v>102.1144842713375</c:v>
                </c:pt>
                <c:pt idx="140">
                  <c:v>102.1144842713375</c:v>
                </c:pt>
                <c:pt idx="141">
                  <c:v>102.1144842713375</c:v>
                </c:pt>
                <c:pt idx="142">
                  <c:v>103.0123739691664</c:v>
                </c:pt>
                <c:pt idx="143">
                  <c:v>103.0863538792224</c:v>
                </c:pt>
                <c:pt idx="144">
                  <c:v>104.7795456364472</c:v>
                </c:pt>
                <c:pt idx="145">
                  <c:v>104.92153875328709</c:v>
                </c:pt>
                <c:pt idx="146">
                  <c:v>105.99042587479801</c:v>
                </c:pt>
                <c:pt idx="147">
                  <c:v>105.99042587479801</c:v>
                </c:pt>
                <c:pt idx="148">
                  <c:v>105.99042587479801</c:v>
                </c:pt>
                <c:pt idx="149">
                  <c:v>107.53686557360029</c:v>
                </c:pt>
                <c:pt idx="150">
                  <c:v>108.22855249581249</c:v>
                </c:pt>
                <c:pt idx="151">
                  <c:v>108.456116429669</c:v>
                </c:pt>
                <c:pt idx="152">
                  <c:v>105.9994570480286</c:v>
                </c:pt>
                <c:pt idx="153">
                  <c:v>105.7575261579551</c:v>
                </c:pt>
                <c:pt idx="154">
                  <c:v>105.7575261579551</c:v>
                </c:pt>
                <c:pt idx="155">
                  <c:v>105.7575261579551</c:v>
                </c:pt>
                <c:pt idx="156">
                  <c:v>105.8344443539124</c:v>
                </c:pt>
                <c:pt idx="157">
                  <c:v>104.35749601799171</c:v>
                </c:pt>
                <c:pt idx="158">
                  <c:v>102.9339776171114</c:v>
                </c:pt>
                <c:pt idx="159">
                  <c:v>102.9850821602422</c:v>
                </c:pt>
                <c:pt idx="160">
                  <c:v>102.8732650593462</c:v>
                </c:pt>
                <c:pt idx="161">
                  <c:v>102.8732650593462</c:v>
                </c:pt>
                <c:pt idx="162">
                  <c:v>102.8732650593462</c:v>
                </c:pt>
                <c:pt idx="163">
                  <c:v>102.23659438603531</c:v>
                </c:pt>
                <c:pt idx="164">
                  <c:v>101.2609212301432</c:v>
                </c:pt>
                <c:pt idx="165">
                  <c:v>100.8608096113315</c:v>
                </c:pt>
                <c:pt idx="166">
                  <c:v>101.2480324300237</c:v>
                </c:pt>
                <c:pt idx="167">
                  <c:v>101.99615967835319</c:v>
                </c:pt>
                <c:pt idx="168">
                  <c:v>101.99615967835319</c:v>
                </c:pt>
                <c:pt idx="169">
                  <c:v>101.99615967835319</c:v>
                </c:pt>
                <c:pt idx="170">
                  <c:v>101.48560095697989</c:v>
                </c:pt>
                <c:pt idx="171">
                  <c:v>101.6345882758427</c:v>
                </c:pt>
                <c:pt idx="172">
                  <c:v>101.75044326656629</c:v>
                </c:pt>
                <c:pt idx="173">
                  <c:v>101.9329234394457</c:v>
                </c:pt>
                <c:pt idx="174">
                  <c:v>103.0459569546523</c:v>
                </c:pt>
                <c:pt idx="175">
                  <c:v>103.0459569546523</c:v>
                </c:pt>
                <c:pt idx="176">
                  <c:v>103.0459569546523</c:v>
                </c:pt>
                <c:pt idx="177">
                  <c:v>103.0459569546523</c:v>
                </c:pt>
                <c:pt idx="178">
                  <c:v>102.5385167821191</c:v>
                </c:pt>
                <c:pt idx="179">
                  <c:v>101.9750148356399</c:v>
                </c:pt>
                <c:pt idx="180">
                  <c:v>100.9266416365567</c:v>
                </c:pt>
                <c:pt idx="181">
                  <c:v>100.42172514516579</c:v>
                </c:pt>
                <c:pt idx="182">
                  <c:v>100.5682428617679</c:v>
                </c:pt>
                <c:pt idx="183">
                  <c:v>99.996484872694666</c:v>
                </c:pt>
                <c:pt idx="184">
                  <c:v>99.453767243051374</c:v>
                </c:pt>
                <c:pt idx="185">
                  <c:v>99.199776762376644</c:v>
                </c:pt>
                <c:pt idx="186">
                  <c:v>98.080109571024678</c:v>
                </c:pt>
                <c:pt idx="187">
                  <c:v>97.737123277497503</c:v>
                </c:pt>
                <c:pt idx="188">
                  <c:v>97.680556767323083</c:v>
                </c:pt>
                <c:pt idx="189">
                  <c:v>95.202932805908006</c:v>
                </c:pt>
                <c:pt idx="190">
                  <c:v>94.150125138532047</c:v>
                </c:pt>
                <c:pt idx="191">
                  <c:v>96.392199517904785</c:v>
                </c:pt>
                <c:pt idx="192">
                  <c:v>94.578520012430886</c:v>
                </c:pt>
                <c:pt idx="193">
                  <c:v>95.974422131097299</c:v>
                </c:pt>
                <c:pt idx="194">
                  <c:v>94.441592284169403</c:v>
                </c:pt>
                <c:pt idx="195">
                  <c:v>93.975756797895656</c:v>
                </c:pt>
                <c:pt idx="196">
                  <c:v>93.904336621569698</c:v>
                </c:pt>
                <c:pt idx="197">
                  <c:v>94.104752956852963</c:v>
                </c:pt>
                <c:pt idx="198">
                  <c:v>92.237841805571279</c:v>
                </c:pt>
                <c:pt idx="199">
                  <c:v>91.712988233156366</c:v>
                </c:pt>
                <c:pt idx="200">
                  <c:v>93.06048975277298</c:v>
                </c:pt>
                <c:pt idx="201">
                  <c:v>91.641297662422332</c:v>
                </c:pt>
                <c:pt idx="202">
                  <c:v>92.511877525033114</c:v>
                </c:pt>
                <c:pt idx="203">
                  <c:v>91.495320734636351</c:v>
                </c:pt>
                <c:pt idx="204">
                  <c:v>94.437716630986628</c:v>
                </c:pt>
                <c:pt idx="205">
                  <c:v>96.582647312676116</c:v>
                </c:pt>
                <c:pt idx="206">
                  <c:v>97.830841979344768</c:v>
                </c:pt>
                <c:pt idx="207">
                  <c:v>98.992582540597013</c:v>
                </c:pt>
                <c:pt idx="208">
                  <c:v>98.15416158625618</c:v>
                </c:pt>
                <c:pt idx="209">
                  <c:v>98.604981169733406</c:v>
                </c:pt>
                <c:pt idx="210">
                  <c:v>97.458833352681481</c:v>
                </c:pt>
                <c:pt idx="211">
                  <c:v>96.071764118013078</c:v>
                </c:pt>
                <c:pt idx="212">
                  <c:v>94.204456388266195</c:v>
                </c:pt>
                <c:pt idx="213">
                  <c:v>93.934656847864602</c:v>
                </c:pt>
                <c:pt idx="214">
                  <c:v>93.735736694972772</c:v>
                </c:pt>
                <c:pt idx="215">
                  <c:v>93.999984136861372</c:v>
                </c:pt>
                <c:pt idx="216">
                  <c:v>93.909852667494889</c:v>
                </c:pt>
                <c:pt idx="217">
                  <c:v>94.500195765551453</c:v>
                </c:pt>
                <c:pt idx="218">
                  <c:v>92.056280973679449</c:v>
                </c:pt>
                <c:pt idx="219">
                  <c:v>92.508506608078832</c:v>
                </c:pt>
                <c:pt idx="220">
                  <c:v>92.271821369522442</c:v>
                </c:pt>
                <c:pt idx="221">
                  <c:v>91.389163890016533</c:v>
                </c:pt>
                <c:pt idx="222">
                  <c:v>93.178129346590083</c:v>
                </c:pt>
                <c:pt idx="223">
                  <c:v>92.572193504333171</c:v>
                </c:pt>
                <c:pt idx="224">
                  <c:v>93.547668370992696</c:v>
                </c:pt>
                <c:pt idx="225">
                  <c:v>93.263646084725025</c:v>
                </c:pt>
                <c:pt idx="226">
                  <c:v>91.328307121900252</c:v>
                </c:pt>
                <c:pt idx="227">
                  <c:v>93.879532441200041</c:v>
                </c:pt>
                <c:pt idx="228">
                  <c:v>94.159534863933914</c:v>
                </c:pt>
                <c:pt idx="229">
                  <c:v>93.212451410124842</c:v>
                </c:pt>
                <c:pt idx="230">
                  <c:v>91.584496810427524</c:v>
                </c:pt>
                <c:pt idx="231">
                  <c:v>92.002039855414665</c:v>
                </c:pt>
                <c:pt idx="232">
                  <c:v>90.914513546038805</c:v>
                </c:pt>
                <c:pt idx="233">
                  <c:v>92.272975052330281</c:v>
                </c:pt>
                <c:pt idx="234">
                  <c:v>93.012251390368064</c:v>
                </c:pt>
                <c:pt idx="235">
                  <c:v>93.275543438681382</c:v>
                </c:pt>
                <c:pt idx="236">
                  <c:v>92.944418446522846</c:v>
                </c:pt>
                <c:pt idx="237">
                  <c:v>92.944418446522846</c:v>
                </c:pt>
                <c:pt idx="238">
                  <c:v>92.361466128954348</c:v>
                </c:pt>
                <c:pt idx="239">
                  <c:v>92.961182899825005</c:v>
                </c:pt>
                <c:pt idx="240">
                  <c:v>92.560638649960396</c:v>
                </c:pt>
                <c:pt idx="241">
                  <c:v>92.709878336937365</c:v>
                </c:pt>
                <c:pt idx="242">
                  <c:v>93.882939410742082</c:v>
                </c:pt>
                <c:pt idx="243">
                  <c:v>93.882939410742082</c:v>
                </c:pt>
                <c:pt idx="244">
                  <c:v>93.882939410742082</c:v>
                </c:pt>
                <c:pt idx="245">
                  <c:v>92.928627413089814</c:v>
                </c:pt>
                <c:pt idx="246">
                  <c:v>94.538699929264823</c:v>
                </c:pt>
                <c:pt idx="247">
                  <c:v>95.06501363148341</c:v>
                </c:pt>
                <c:pt idx="248">
                  <c:v>95.06501363148341</c:v>
                </c:pt>
                <c:pt idx="249">
                  <c:v>92.410101069824506</c:v>
                </c:pt>
                <c:pt idx="250">
                  <c:v>93.141752285553807</c:v>
                </c:pt>
                <c:pt idx="251">
                  <c:v>94.102571775294265</c:v>
                </c:pt>
                <c:pt idx="252">
                  <c:v>93.663361125071475</c:v>
                </c:pt>
                <c:pt idx="253">
                  <c:v>94.035009225857223</c:v>
                </c:pt>
                <c:pt idx="254">
                  <c:v>95.941145592607199</c:v>
                </c:pt>
                <c:pt idx="255">
                  <c:v>96.027906145019372</c:v>
                </c:pt>
                <c:pt idx="256">
                  <c:v>96.717159517558699</c:v>
                </c:pt>
                <c:pt idx="257">
                  <c:v>96.41469633265865</c:v>
                </c:pt>
                <c:pt idx="258">
                  <c:v>96.5011324117811</c:v>
                </c:pt>
                <c:pt idx="259">
                  <c:v>96.957558172652924</c:v>
                </c:pt>
                <c:pt idx="260">
                  <c:v>96.325682493512318</c:v>
                </c:pt>
                <c:pt idx="261">
                  <c:v>96.857980925296886</c:v>
                </c:pt>
                <c:pt idx="262">
                  <c:v>97.592642532103014</c:v>
                </c:pt>
                <c:pt idx="263">
                  <c:v>97.483258980879896</c:v>
                </c:pt>
                <c:pt idx="264">
                  <c:v>97.189033812279916</c:v>
                </c:pt>
                <c:pt idx="265">
                  <c:v>96.69139994361376</c:v>
                </c:pt>
                <c:pt idx="266">
                  <c:v>97.432532989920432</c:v>
                </c:pt>
                <c:pt idx="267">
                  <c:v>96.922821504359106</c:v>
                </c:pt>
                <c:pt idx="268">
                  <c:v>98.040866329262514</c:v>
                </c:pt>
                <c:pt idx="269">
                  <c:v>97.579339127224486</c:v>
                </c:pt>
                <c:pt idx="270">
                  <c:v>97.624549072258745</c:v>
                </c:pt>
                <c:pt idx="271">
                  <c:v>97.216055226796016</c:v>
                </c:pt>
                <c:pt idx="272">
                  <c:v>96.245681801302666</c:v>
                </c:pt>
                <c:pt idx="273">
                  <c:v>97.719475535795539</c:v>
                </c:pt>
                <c:pt idx="274">
                  <c:v>98.377200920350461</c:v>
                </c:pt>
                <c:pt idx="275">
                  <c:v>97.141624659393202</c:v>
                </c:pt>
                <c:pt idx="276">
                  <c:v>95.979523572263446</c:v>
                </c:pt>
                <c:pt idx="277">
                  <c:v>96.276885315997305</c:v>
                </c:pt>
                <c:pt idx="278">
                  <c:v>97.270801081289207</c:v>
                </c:pt>
                <c:pt idx="279">
                  <c:v>98.32121125158001</c:v>
                </c:pt>
                <c:pt idx="280">
                  <c:v>98.292170892150097</c:v>
                </c:pt>
                <c:pt idx="281">
                  <c:v>98.474777249086586</c:v>
                </c:pt>
                <c:pt idx="282">
                  <c:v>99.613263891242354</c:v>
                </c:pt>
                <c:pt idx="283">
                  <c:v>99.495444034486439</c:v>
                </c:pt>
                <c:pt idx="284">
                  <c:v>100.3912787348138</c:v>
                </c:pt>
                <c:pt idx="285">
                  <c:v>100.0167103744205</c:v>
                </c:pt>
                <c:pt idx="286">
                  <c:v>100.934573205861</c:v>
                </c:pt>
                <c:pt idx="287">
                  <c:v>100.72768543107721</c:v>
                </c:pt>
                <c:pt idx="288">
                  <c:v>101.38492410569761</c:v>
                </c:pt>
                <c:pt idx="289">
                  <c:v>101.48433911640871</c:v>
                </c:pt>
                <c:pt idx="290">
                  <c:v>100.95099515957961</c:v>
                </c:pt>
              </c:numCache>
            </c:numRef>
          </c:val>
          <c:smooth val="0"/>
        </c:ser>
        <c:ser>
          <c:idx val="6"/>
          <c:order val="5"/>
          <c:tx>
            <c:strRef>
              <c:f>Index_Charts!$P$1</c:f>
              <c:strCache>
                <c:ptCount val="1"/>
                <c:pt idx="0">
                  <c:v>MSCI Emerging Market Index</c:v>
                </c:pt>
              </c:strCache>
            </c:strRef>
          </c:tx>
          <c:spPr>
            <a:ln w="28575" cap="rnd">
              <a:solidFill>
                <a:srgbClr val="FF0000"/>
              </a:solidFill>
              <a:round/>
            </a:ln>
            <a:effectLst/>
          </c:spPr>
          <c:marker>
            <c:symbol val="none"/>
          </c:marker>
          <c:cat>
            <c:numRef>
              <c:f>Index_Charts!$B$2:$B$292</c:f>
              <c:numCache>
                <c:formatCode>[$-409]mmmm\-yy;@</c:formatCode>
                <c:ptCount val="291"/>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pt idx="248">
                  <c:v>43466</c:v>
                </c:pt>
                <c:pt idx="249">
                  <c:v>43467</c:v>
                </c:pt>
                <c:pt idx="250">
                  <c:v>43468</c:v>
                </c:pt>
                <c:pt idx="251">
                  <c:v>43469</c:v>
                </c:pt>
                <c:pt idx="252">
                  <c:v>43472</c:v>
                </c:pt>
                <c:pt idx="253">
                  <c:v>43473</c:v>
                </c:pt>
                <c:pt idx="254">
                  <c:v>43474</c:v>
                </c:pt>
                <c:pt idx="255">
                  <c:v>43475</c:v>
                </c:pt>
                <c:pt idx="256">
                  <c:v>43476</c:v>
                </c:pt>
                <c:pt idx="257">
                  <c:v>43479</c:v>
                </c:pt>
                <c:pt idx="258">
                  <c:v>43480</c:v>
                </c:pt>
                <c:pt idx="259">
                  <c:v>43481</c:v>
                </c:pt>
                <c:pt idx="260">
                  <c:v>43482</c:v>
                </c:pt>
                <c:pt idx="261">
                  <c:v>43483</c:v>
                </c:pt>
                <c:pt idx="262">
                  <c:v>43486</c:v>
                </c:pt>
                <c:pt idx="263">
                  <c:v>43487</c:v>
                </c:pt>
                <c:pt idx="264">
                  <c:v>43488</c:v>
                </c:pt>
                <c:pt idx="265">
                  <c:v>43489</c:v>
                </c:pt>
                <c:pt idx="266">
                  <c:v>43490</c:v>
                </c:pt>
                <c:pt idx="267">
                  <c:v>43493</c:v>
                </c:pt>
                <c:pt idx="268">
                  <c:v>43494</c:v>
                </c:pt>
                <c:pt idx="269">
                  <c:v>43495</c:v>
                </c:pt>
                <c:pt idx="270">
                  <c:v>43496</c:v>
                </c:pt>
                <c:pt idx="271">
                  <c:v>43497</c:v>
                </c:pt>
                <c:pt idx="272">
                  <c:v>43500</c:v>
                </c:pt>
                <c:pt idx="273">
                  <c:v>43501</c:v>
                </c:pt>
                <c:pt idx="274">
                  <c:v>43502</c:v>
                </c:pt>
                <c:pt idx="275">
                  <c:v>43503</c:v>
                </c:pt>
                <c:pt idx="276">
                  <c:v>43504</c:v>
                </c:pt>
                <c:pt idx="277">
                  <c:v>43507</c:v>
                </c:pt>
                <c:pt idx="278">
                  <c:v>43508</c:v>
                </c:pt>
                <c:pt idx="279">
                  <c:v>43509</c:v>
                </c:pt>
                <c:pt idx="280">
                  <c:v>43510</c:v>
                </c:pt>
                <c:pt idx="281">
                  <c:v>43511</c:v>
                </c:pt>
                <c:pt idx="282">
                  <c:v>43514</c:v>
                </c:pt>
                <c:pt idx="283">
                  <c:v>43515</c:v>
                </c:pt>
                <c:pt idx="284">
                  <c:v>43516</c:v>
                </c:pt>
                <c:pt idx="285">
                  <c:v>43517</c:v>
                </c:pt>
                <c:pt idx="286">
                  <c:v>43518</c:v>
                </c:pt>
                <c:pt idx="287">
                  <c:v>43521</c:v>
                </c:pt>
                <c:pt idx="288">
                  <c:v>43522</c:v>
                </c:pt>
                <c:pt idx="289">
                  <c:v>43523</c:v>
                </c:pt>
                <c:pt idx="290">
                  <c:v>43524</c:v>
                </c:pt>
              </c:numCache>
            </c:numRef>
          </c:cat>
          <c:val>
            <c:numRef>
              <c:f>Index_Charts!$P$2:$P$292</c:f>
              <c:numCache>
                <c:formatCode>0.00</c:formatCode>
                <c:ptCount val="291"/>
                <c:pt idx="0">
                  <c:v>100</c:v>
                </c:pt>
                <c:pt idx="1">
                  <c:v>100</c:v>
                </c:pt>
                <c:pt idx="2">
                  <c:v>99.876161519540844</c:v>
                </c:pt>
                <c:pt idx="3">
                  <c:v>99.937653730527501</c:v>
                </c:pt>
                <c:pt idx="4">
                  <c:v>98.698414867450083</c:v>
                </c:pt>
                <c:pt idx="5">
                  <c:v>99.624214266192965</c:v>
                </c:pt>
                <c:pt idx="6">
                  <c:v>99.239033889040726</c:v>
                </c:pt>
                <c:pt idx="7">
                  <c:v>99.239033889040726</c:v>
                </c:pt>
                <c:pt idx="8">
                  <c:v>99.239033889040726</c:v>
                </c:pt>
                <c:pt idx="9">
                  <c:v>99.332980322492432</c:v>
                </c:pt>
                <c:pt idx="10">
                  <c:v>100.3792019677507</c:v>
                </c:pt>
                <c:pt idx="11">
                  <c:v>100.3971371959552</c:v>
                </c:pt>
                <c:pt idx="12">
                  <c:v>100.5124350915551</c:v>
                </c:pt>
                <c:pt idx="13">
                  <c:v>99.932529379611907</c:v>
                </c:pt>
                <c:pt idx="14">
                  <c:v>99.932529379611907</c:v>
                </c:pt>
                <c:pt idx="15">
                  <c:v>99.932529379611907</c:v>
                </c:pt>
                <c:pt idx="16">
                  <c:v>99.348353375239128</c:v>
                </c:pt>
                <c:pt idx="17">
                  <c:v>99.443153867176804</c:v>
                </c:pt>
                <c:pt idx="18">
                  <c:v>100.44923476359661</c:v>
                </c:pt>
                <c:pt idx="19">
                  <c:v>101.1316274938508</c:v>
                </c:pt>
                <c:pt idx="20">
                  <c:v>99.774528559715762</c:v>
                </c:pt>
                <c:pt idx="21">
                  <c:v>99.774528559715762</c:v>
                </c:pt>
                <c:pt idx="22">
                  <c:v>99.774528559715762</c:v>
                </c:pt>
                <c:pt idx="23">
                  <c:v>98.922178190762452</c:v>
                </c:pt>
                <c:pt idx="24">
                  <c:v>98.57628450396281</c:v>
                </c:pt>
                <c:pt idx="25">
                  <c:v>97.385726974583164</c:v>
                </c:pt>
                <c:pt idx="26">
                  <c:v>97.733328778354704</c:v>
                </c:pt>
                <c:pt idx="27">
                  <c:v>98.754782727521103</c:v>
                </c:pt>
                <c:pt idx="28">
                  <c:v>98.754782727521103</c:v>
                </c:pt>
                <c:pt idx="29">
                  <c:v>98.754782727521103</c:v>
                </c:pt>
                <c:pt idx="30">
                  <c:v>99.449132276578283</c:v>
                </c:pt>
                <c:pt idx="31">
                  <c:v>99.282590871822876</c:v>
                </c:pt>
                <c:pt idx="32">
                  <c:v>98.339710303361542</c:v>
                </c:pt>
                <c:pt idx="33">
                  <c:v>97.179044820989276</c:v>
                </c:pt>
                <c:pt idx="34">
                  <c:v>97.035562995353914</c:v>
                </c:pt>
                <c:pt idx="35">
                  <c:v>97.035562995353914</c:v>
                </c:pt>
                <c:pt idx="36">
                  <c:v>97.035562995353914</c:v>
                </c:pt>
                <c:pt idx="37">
                  <c:v>97.324234763596579</c:v>
                </c:pt>
                <c:pt idx="38">
                  <c:v>97.589846952719284</c:v>
                </c:pt>
                <c:pt idx="39">
                  <c:v>97.683793386171047</c:v>
                </c:pt>
                <c:pt idx="40">
                  <c:v>98.776134189669278</c:v>
                </c:pt>
                <c:pt idx="41">
                  <c:v>99.454256627493862</c:v>
                </c:pt>
                <c:pt idx="42">
                  <c:v>99.454256627493862</c:v>
                </c:pt>
                <c:pt idx="43">
                  <c:v>99.454256627493862</c:v>
                </c:pt>
                <c:pt idx="44">
                  <c:v>99.830896419786782</c:v>
                </c:pt>
                <c:pt idx="45">
                  <c:v>98.239785460508315</c:v>
                </c:pt>
                <c:pt idx="46">
                  <c:v>98.652295709210165</c:v>
                </c:pt>
                <c:pt idx="47">
                  <c:v>97.710269199234773</c:v>
                </c:pt>
                <c:pt idx="48">
                  <c:v>97.170504236130057</c:v>
                </c:pt>
                <c:pt idx="49">
                  <c:v>97.170504236130057</c:v>
                </c:pt>
                <c:pt idx="50">
                  <c:v>97.170504236130057</c:v>
                </c:pt>
                <c:pt idx="51">
                  <c:v>97.062892866903482</c:v>
                </c:pt>
                <c:pt idx="52">
                  <c:v>97.537749385077902</c:v>
                </c:pt>
                <c:pt idx="53">
                  <c:v>96.773367040174875</c:v>
                </c:pt>
                <c:pt idx="54">
                  <c:v>96.940762503416209</c:v>
                </c:pt>
                <c:pt idx="55">
                  <c:v>97.073995627220512</c:v>
                </c:pt>
                <c:pt idx="56">
                  <c:v>97.073995627220512</c:v>
                </c:pt>
                <c:pt idx="57">
                  <c:v>97.073995627220512</c:v>
                </c:pt>
                <c:pt idx="58">
                  <c:v>97.106449849685674</c:v>
                </c:pt>
                <c:pt idx="59">
                  <c:v>96.188336977316155</c:v>
                </c:pt>
                <c:pt idx="60">
                  <c:v>95.035358021317293</c:v>
                </c:pt>
                <c:pt idx="61">
                  <c:v>95.715188576113675</c:v>
                </c:pt>
                <c:pt idx="62">
                  <c:v>96.527398196228432</c:v>
                </c:pt>
                <c:pt idx="63">
                  <c:v>96.527398196228432</c:v>
                </c:pt>
                <c:pt idx="64">
                  <c:v>96.527398196228432</c:v>
                </c:pt>
                <c:pt idx="65">
                  <c:v>97.938302814976723</c:v>
                </c:pt>
                <c:pt idx="66">
                  <c:v>97.741869363213993</c:v>
                </c:pt>
                <c:pt idx="67">
                  <c:v>98.231244875649097</c:v>
                </c:pt>
                <c:pt idx="68">
                  <c:v>98.189396009838717</c:v>
                </c:pt>
                <c:pt idx="69">
                  <c:v>96.968946433451706</c:v>
                </c:pt>
                <c:pt idx="70">
                  <c:v>96.968946433451706</c:v>
                </c:pt>
                <c:pt idx="71">
                  <c:v>96.968946433451706</c:v>
                </c:pt>
                <c:pt idx="72">
                  <c:v>97.316548237223245</c:v>
                </c:pt>
                <c:pt idx="73">
                  <c:v>97.417327138562442</c:v>
                </c:pt>
                <c:pt idx="74">
                  <c:v>96.993714129543605</c:v>
                </c:pt>
                <c:pt idx="75">
                  <c:v>96.141363760590323</c:v>
                </c:pt>
                <c:pt idx="76">
                  <c:v>95.121617928395736</c:v>
                </c:pt>
                <c:pt idx="77">
                  <c:v>95.121617928395736</c:v>
                </c:pt>
                <c:pt idx="78">
                  <c:v>95.121617928395736</c:v>
                </c:pt>
                <c:pt idx="79">
                  <c:v>94.457160426345993</c:v>
                </c:pt>
                <c:pt idx="80">
                  <c:v>92.667907898332871</c:v>
                </c:pt>
                <c:pt idx="81">
                  <c:v>93.370798032249184</c:v>
                </c:pt>
                <c:pt idx="82">
                  <c:v>92.254543591145151</c:v>
                </c:pt>
                <c:pt idx="83">
                  <c:v>92.921563268652662</c:v>
                </c:pt>
                <c:pt idx="84">
                  <c:v>92.921563268652662</c:v>
                </c:pt>
                <c:pt idx="85">
                  <c:v>92.921563268652662</c:v>
                </c:pt>
                <c:pt idx="86">
                  <c:v>91.474788193495428</c:v>
                </c:pt>
                <c:pt idx="87">
                  <c:v>91.192094834654213</c:v>
                </c:pt>
                <c:pt idx="88">
                  <c:v>89.857201421153306</c:v>
                </c:pt>
                <c:pt idx="89">
                  <c:v>89.395155780267856</c:v>
                </c:pt>
                <c:pt idx="90">
                  <c:v>91.343263186663023</c:v>
                </c:pt>
                <c:pt idx="91">
                  <c:v>91.343263186663023</c:v>
                </c:pt>
                <c:pt idx="92">
                  <c:v>91.343263186663023</c:v>
                </c:pt>
                <c:pt idx="93">
                  <c:v>90.472123531019406</c:v>
                </c:pt>
                <c:pt idx="94">
                  <c:v>90.333766056299496</c:v>
                </c:pt>
                <c:pt idx="95">
                  <c:v>90.194554523093728</c:v>
                </c:pt>
                <c:pt idx="96">
                  <c:v>90.047656463514599</c:v>
                </c:pt>
                <c:pt idx="97">
                  <c:v>90.527637332604456</c:v>
                </c:pt>
                <c:pt idx="98">
                  <c:v>90.527637332604456</c:v>
                </c:pt>
                <c:pt idx="99">
                  <c:v>90.527637332604456</c:v>
                </c:pt>
                <c:pt idx="100">
                  <c:v>91.874487564908407</c:v>
                </c:pt>
                <c:pt idx="101">
                  <c:v>91.912920196775076</c:v>
                </c:pt>
                <c:pt idx="102">
                  <c:v>90.933315113418928</c:v>
                </c:pt>
                <c:pt idx="103">
                  <c:v>91.404755397649609</c:v>
                </c:pt>
                <c:pt idx="104">
                  <c:v>91.865946980049202</c:v>
                </c:pt>
                <c:pt idx="105">
                  <c:v>91.865946980049202</c:v>
                </c:pt>
                <c:pt idx="106">
                  <c:v>91.865946980049202</c:v>
                </c:pt>
                <c:pt idx="107">
                  <c:v>91.404755397649609</c:v>
                </c:pt>
                <c:pt idx="108">
                  <c:v>91.461977316206585</c:v>
                </c:pt>
                <c:pt idx="109">
                  <c:v>91.277500683246799</c:v>
                </c:pt>
                <c:pt idx="110">
                  <c:v>90.585713309647446</c:v>
                </c:pt>
                <c:pt idx="111">
                  <c:v>91.390236403388883</c:v>
                </c:pt>
                <c:pt idx="112">
                  <c:v>91.390236403388883</c:v>
                </c:pt>
                <c:pt idx="113">
                  <c:v>91.390236403388883</c:v>
                </c:pt>
                <c:pt idx="114">
                  <c:v>91.343263186663023</c:v>
                </c:pt>
                <c:pt idx="115">
                  <c:v>92.270770702377675</c:v>
                </c:pt>
                <c:pt idx="116">
                  <c:v>92.991596064498495</c:v>
                </c:pt>
                <c:pt idx="117">
                  <c:v>93.021488111505832</c:v>
                </c:pt>
                <c:pt idx="118">
                  <c:v>93.293932768515972</c:v>
                </c:pt>
                <c:pt idx="119">
                  <c:v>93.293932768515972</c:v>
                </c:pt>
                <c:pt idx="120">
                  <c:v>93.293932768515972</c:v>
                </c:pt>
                <c:pt idx="121">
                  <c:v>93.104331784640607</c:v>
                </c:pt>
                <c:pt idx="122">
                  <c:v>92.875444110412616</c:v>
                </c:pt>
                <c:pt idx="123">
                  <c:v>92.825054659743074</c:v>
                </c:pt>
                <c:pt idx="124">
                  <c:v>91.163910904618746</c:v>
                </c:pt>
                <c:pt idx="125">
                  <c:v>91.668659469800502</c:v>
                </c:pt>
                <c:pt idx="126">
                  <c:v>91.668659469800502</c:v>
                </c:pt>
                <c:pt idx="127">
                  <c:v>91.668659469800502</c:v>
                </c:pt>
                <c:pt idx="128">
                  <c:v>91.469663842579934</c:v>
                </c:pt>
                <c:pt idx="129">
                  <c:v>92.220381251708076</c:v>
                </c:pt>
                <c:pt idx="130">
                  <c:v>92.215256900792596</c:v>
                </c:pt>
                <c:pt idx="131">
                  <c:v>92.124726701284473</c:v>
                </c:pt>
                <c:pt idx="132">
                  <c:v>90.732611369226547</c:v>
                </c:pt>
                <c:pt idx="133">
                  <c:v>90.732611369226547</c:v>
                </c:pt>
                <c:pt idx="134">
                  <c:v>90.732611369226547</c:v>
                </c:pt>
                <c:pt idx="135">
                  <c:v>89.103921836567324</c:v>
                </c:pt>
                <c:pt idx="136">
                  <c:v>89.040721508608883</c:v>
                </c:pt>
                <c:pt idx="137">
                  <c:v>87.406907625034165</c:v>
                </c:pt>
                <c:pt idx="138">
                  <c:v>87.248052746652078</c:v>
                </c:pt>
                <c:pt idx="139">
                  <c:v>87.3650587592238</c:v>
                </c:pt>
                <c:pt idx="140">
                  <c:v>87.3650587592238</c:v>
                </c:pt>
                <c:pt idx="141">
                  <c:v>87.3650587592238</c:v>
                </c:pt>
                <c:pt idx="142">
                  <c:v>88.279755397649566</c:v>
                </c:pt>
                <c:pt idx="143">
                  <c:v>89.19018174364578</c:v>
                </c:pt>
                <c:pt idx="144">
                  <c:v>89.728238589778613</c:v>
                </c:pt>
                <c:pt idx="145">
                  <c:v>89.522410494670652</c:v>
                </c:pt>
                <c:pt idx="146">
                  <c:v>89.692368133369712</c:v>
                </c:pt>
                <c:pt idx="147">
                  <c:v>89.692368133369712</c:v>
                </c:pt>
                <c:pt idx="148">
                  <c:v>89.692368133369712</c:v>
                </c:pt>
                <c:pt idx="149">
                  <c:v>91.310808964197861</c:v>
                </c:pt>
                <c:pt idx="150">
                  <c:v>91.4372096201148</c:v>
                </c:pt>
                <c:pt idx="151">
                  <c:v>91.429523093741466</c:v>
                </c:pt>
                <c:pt idx="152">
                  <c:v>90.345722875102453</c:v>
                </c:pt>
                <c:pt idx="153">
                  <c:v>90.185159879748554</c:v>
                </c:pt>
                <c:pt idx="154">
                  <c:v>90.185159879748554</c:v>
                </c:pt>
                <c:pt idx="155">
                  <c:v>90.185159879748554</c:v>
                </c:pt>
                <c:pt idx="156">
                  <c:v>89.431026236676686</c:v>
                </c:pt>
                <c:pt idx="157">
                  <c:v>88.836601530472777</c:v>
                </c:pt>
                <c:pt idx="158">
                  <c:v>87.260863623941006</c:v>
                </c:pt>
                <c:pt idx="159">
                  <c:v>86.967921563268675</c:v>
                </c:pt>
                <c:pt idx="160">
                  <c:v>87.36847499316751</c:v>
                </c:pt>
                <c:pt idx="161">
                  <c:v>87.36847499316751</c:v>
                </c:pt>
                <c:pt idx="162">
                  <c:v>87.36847499316751</c:v>
                </c:pt>
                <c:pt idx="163">
                  <c:v>86.366664389177402</c:v>
                </c:pt>
                <c:pt idx="164">
                  <c:v>85.690250068324673</c:v>
                </c:pt>
                <c:pt idx="165">
                  <c:v>85.795299262093465</c:v>
                </c:pt>
                <c:pt idx="166">
                  <c:v>86.912407761683511</c:v>
                </c:pt>
                <c:pt idx="167">
                  <c:v>87.842477452855903</c:v>
                </c:pt>
                <c:pt idx="168">
                  <c:v>87.842477452855903</c:v>
                </c:pt>
                <c:pt idx="169">
                  <c:v>87.842477452855903</c:v>
                </c:pt>
                <c:pt idx="170">
                  <c:v>86.809066684886574</c:v>
                </c:pt>
                <c:pt idx="171">
                  <c:v>87.091760043727803</c:v>
                </c:pt>
                <c:pt idx="172">
                  <c:v>88.059408308280894</c:v>
                </c:pt>
                <c:pt idx="173">
                  <c:v>88.559886581033069</c:v>
                </c:pt>
                <c:pt idx="174">
                  <c:v>89.798271385624474</c:v>
                </c:pt>
                <c:pt idx="175">
                  <c:v>89.798271385624474</c:v>
                </c:pt>
                <c:pt idx="176">
                  <c:v>89.798271385624474</c:v>
                </c:pt>
                <c:pt idx="177">
                  <c:v>89.022786280404404</c:v>
                </c:pt>
                <c:pt idx="178">
                  <c:v>88.974104946706746</c:v>
                </c:pt>
                <c:pt idx="179">
                  <c:v>89.336225744738996</c:v>
                </c:pt>
                <c:pt idx="180">
                  <c:v>89.787168625307501</c:v>
                </c:pt>
                <c:pt idx="181">
                  <c:v>89.497642798578866</c:v>
                </c:pt>
                <c:pt idx="182">
                  <c:v>89.368679967204173</c:v>
                </c:pt>
                <c:pt idx="183">
                  <c:v>88.249863350642272</c:v>
                </c:pt>
                <c:pt idx="184">
                  <c:v>88.397615468707301</c:v>
                </c:pt>
                <c:pt idx="185">
                  <c:v>86.292361300901845</c:v>
                </c:pt>
                <c:pt idx="186">
                  <c:v>85.470757037441857</c:v>
                </c:pt>
                <c:pt idx="187">
                  <c:v>85.021522273845306</c:v>
                </c:pt>
                <c:pt idx="188">
                  <c:v>84.892559442470613</c:v>
                </c:pt>
                <c:pt idx="189">
                  <c:v>84.181982782180881</c:v>
                </c:pt>
                <c:pt idx="190">
                  <c:v>81.533547417327128</c:v>
                </c:pt>
                <c:pt idx="191">
                  <c:v>83.705418147034663</c:v>
                </c:pt>
                <c:pt idx="192">
                  <c:v>82.986300901885741</c:v>
                </c:pt>
                <c:pt idx="193">
                  <c:v>84.095722875102453</c:v>
                </c:pt>
                <c:pt idx="194">
                  <c:v>84.014587318939576</c:v>
                </c:pt>
                <c:pt idx="195">
                  <c:v>82.920538398469461</c:v>
                </c:pt>
                <c:pt idx="196">
                  <c:v>82.969219732167275</c:v>
                </c:pt>
                <c:pt idx="197">
                  <c:v>83.941992347635946</c:v>
                </c:pt>
                <c:pt idx="198">
                  <c:v>82.035733807051045</c:v>
                </c:pt>
                <c:pt idx="199">
                  <c:v>81.396044001093202</c:v>
                </c:pt>
                <c:pt idx="200">
                  <c:v>81.046734080349822</c:v>
                </c:pt>
                <c:pt idx="201">
                  <c:v>80.243065045094298</c:v>
                </c:pt>
                <c:pt idx="202">
                  <c:v>79.83738726427984</c:v>
                </c:pt>
                <c:pt idx="203">
                  <c:v>79.965496037168606</c:v>
                </c:pt>
                <c:pt idx="204">
                  <c:v>81.641158786553675</c:v>
                </c:pt>
                <c:pt idx="205">
                  <c:v>82.966657556709478</c:v>
                </c:pt>
                <c:pt idx="206">
                  <c:v>85.125717409128143</c:v>
                </c:pt>
                <c:pt idx="207">
                  <c:v>84.755056026236645</c:v>
                </c:pt>
                <c:pt idx="208">
                  <c:v>84.745661382891484</c:v>
                </c:pt>
                <c:pt idx="209">
                  <c:v>85.228204427439181</c:v>
                </c:pt>
                <c:pt idx="210">
                  <c:v>84.853272752118045</c:v>
                </c:pt>
                <c:pt idx="211">
                  <c:v>83.370627220552052</c:v>
                </c:pt>
                <c:pt idx="212">
                  <c:v>82.537066138289106</c:v>
                </c:pt>
                <c:pt idx="213">
                  <c:v>82.503757857338044</c:v>
                </c:pt>
                <c:pt idx="214">
                  <c:v>82.684818256354134</c:v>
                </c:pt>
                <c:pt idx="215">
                  <c:v>83.770326591965016</c:v>
                </c:pt>
                <c:pt idx="216">
                  <c:v>84.235788466794133</c:v>
                </c:pt>
                <c:pt idx="217">
                  <c:v>84.407454222465134</c:v>
                </c:pt>
                <c:pt idx="218">
                  <c:v>83.064020224104937</c:v>
                </c:pt>
                <c:pt idx="219">
                  <c:v>83.274118611642507</c:v>
                </c:pt>
                <c:pt idx="220">
                  <c:v>83.355254167805398</c:v>
                </c:pt>
                <c:pt idx="221">
                  <c:v>82.772786280404432</c:v>
                </c:pt>
                <c:pt idx="222">
                  <c:v>83.404789559989069</c:v>
                </c:pt>
                <c:pt idx="223">
                  <c:v>83.711396556436156</c:v>
                </c:pt>
                <c:pt idx="224">
                  <c:v>84.694417873735958</c:v>
                </c:pt>
                <c:pt idx="225">
                  <c:v>85.239307187756182</c:v>
                </c:pt>
                <c:pt idx="226">
                  <c:v>84.954905711943155</c:v>
                </c:pt>
                <c:pt idx="227">
                  <c:v>86.846645258267301</c:v>
                </c:pt>
                <c:pt idx="228">
                  <c:v>86.622881934954819</c:v>
                </c:pt>
                <c:pt idx="229">
                  <c:v>85.568973763323299</c:v>
                </c:pt>
                <c:pt idx="230">
                  <c:v>83.606347362667336</c:v>
                </c:pt>
                <c:pt idx="231">
                  <c:v>83.814737633233108</c:v>
                </c:pt>
                <c:pt idx="232">
                  <c:v>82.22789696638425</c:v>
                </c:pt>
                <c:pt idx="233">
                  <c:v>82.39956272205518</c:v>
                </c:pt>
                <c:pt idx="234">
                  <c:v>83.603785187209581</c:v>
                </c:pt>
                <c:pt idx="235">
                  <c:v>84.169171904892039</c:v>
                </c:pt>
                <c:pt idx="236">
                  <c:v>83.005944247062033</c:v>
                </c:pt>
                <c:pt idx="237">
                  <c:v>82.657488384804552</c:v>
                </c:pt>
                <c:pt idx="238">
                  <c:v>82.244124077616846</c:v>
                </c:pt>
                <c:pt idx="239">
                  <c:v>82.642969390543854</c:v>
                </c:pt>
                <c:pt idx="240">
                  <c:v>81.971679420606733</c:v>
                </c:pt>
                <c:pt idx="241">
                  <c:v>81.761581033069149</c:v>
                </c:pt>
                <c:pt idx="242">
                  <c:v>81.37810877288868</c:v>
                </c:pt>
                <c:pt idx="243">
                  <c:v>81.158615742005978</c:v>
                </c:pt>
                <c:pt idx="244">
                  <c:v>81.148367040174875</c:v>
                </c:pt>
                <c:pt idx="245">
                  <c:v>81.334551790106573</c:v>
                </c:pt>
                <c:pt idx="246">
                  <c:v>82.214232030609452</c:v>
                </c:pt>
                <c:pt idx="247">
                  <c:v>82.473865810330679</c:v>
                </c:pt>
                <c:pt idx="248">
                  <c:v>82.505465974309914</c:v>
                </c:pt>
                <c:pt idx="249">
                  <c:v>81.629201967750717</c:v>
                </c:pt>
                <c:pt idx="250">
                  <c:v>81.098831647991247</c:v>
                </c:pt>
                <c:pt idx="251">
                  <c:v>82.414081716315906</c:v>
                </c:pt>
                <c:pt idx="252">
                  <c:v>83.523503689532674</c:v>
                </c:pt>
                <c:pt idx="253">
                  <c:v>83.314259360481003</c:v>
                </c:pt>
                <c:pt idx="254">
                  <c:v>84.928429898879472</c:v>
                </c:pt>
                <c:pt idx="255">
                  <c:v>85.292258813883521</c:v>
                </c:pt>
                <c:pt idx="256">
                  <c:v>85.500649084449293</c:v>
                </c:pt>
                <c:pt idx="257">
                  <c:v>84.783239956272226</c:v>
                </c:pt>
                <c:pt idx="258">
                  <c:v>85.842272478819353</c:v>
                </c:pt>
                <c:pt idx="259">
                  <c:v>86.207809510795286</c:v>
                </c:pt>
                <c:pt idx="260">
                  <c:v>86.173647171358255</c:v>
                </c:pt>
                <c:pt idx="261">
                  <c:v>86.943153867176861</c:v>
                </c:pt>
                <c:pt idx="262">
                  <c:v>86.981586499043473</c:v>
                </c:pt>
                <c:pt idx="263">
                  <c:v>86.313712763049978</c:v>
                </c:pt>
                <c:pt idx="264">
                  <c:v>86.393140202241042</c:v>
                </c:pt>
                <c:pt idx="265">
                  <c:v>87.066138289150047</c:v>
                </c:pt>
                <c:pt idx="266">
                  <c:v>88.16787373599341</c:v>
                </c:pt>
                <c:pt idx="267">
                  <c:v>87.802336704017478</c:v>
                </c:pt>
                <c:pt idx="268">
                  <c:v>87.946672588138824</c:v>
                </c:pt>
                <c:pt idx="269">
                  <c:v>88.534264826455328</c:v>
                </c:pt>
                <c:pt idx="270">
                  <c:v>89.670162612735666</c:v>
                </c:pt>
                <c:pt idx="271">
                  <c:v>89.693222191855682</c:v>
                </c:pt>
                <c:pt idx="272">
                  <c:v>89.509599617381781</c:v>
                </c:pt>
                <c:pt idx="273">
                  <c:v>89.838412134462914</c:v>
                </c:pt>
                <c:pt idx="274">
                  <c:v>89.544616015304726</c:v>
                </c:pt>
                <c:pt idx="275">
                  <c:v>88.990332057939284</c:v>
                </c:pt>
                <c:pt idx="276">
                  <c:v>88.483021317299759</c:v>
                </c:pt>
                <c:pt idx="277">
                  <c:v>88.430069691172505</c:v>
                </c:pt>
                <c:pt idx="278">
                  <c:v>89.003996993714111</c:v>
                </c:pt>
                <c:pt idx="279">
                  <c:v>88.979229297622297</c:v>
                </c:pt>
                <c:pt idx="280">
                  <c:v>88.752903798852145</c:v>
                </c:pt>
                <c:pt idx="281">
                  <c:v>88.02268379338615</c:v>
                </c:pt>
                <c:pt idx="282">
                  <c:v>88.542805411314561</c:v>
                </c:pt>
                <c:pt idx="283">
                  <c:v>88.563302814976723</c:v>
                </c:pt>
                <c:pt idx="284">
                  <c:v>89.618065045094269</c:v>
                </c:pt>
                <c:pt idx="285">
                  <c:v>89.760692812243747</c:v>
                </c:pt>
                <c:pt idx="286">
                  <c:v>90.414901612462415</c:v>
                </c:pt>
                <c:pt idx="287">
                  <c:v>91.182700191309053</c:v>
                </c:pt>
                <c:pt idx="288">
                  <c:v>90.952104400109306</c:v>
                </c:pt>
                <c:pt idx="289">
                  <c:v>90.637810877288842</c:v>
                </c:pt>
                <c:pt idx="290">
                  <c:v>89.757276578300093</c:v>
                </c:pt>
              </c:numCache>
            </c:numRef>
          </c:val>
          <c:smooth val="0"/>
        </c:ser>
        <c:dLbls>
          <c:showLegendKey val="0"/>
          <c:showVal val="0"/>
          <c:showCatName val="0"/>
          <c:showSerName val="0"/>
          <c:showPercent val="0"/>
          <c:showBubbleSize val="0"/>
        </c:dLbls>
        <c:smooth val="0"/>
        <c:axId val="229599344"/>
        <c:axId val="229597776"/>
      </c:lineChart>
      <c:dateAx>
        <c:axId val="229599344"/>
        <c:scaling>
          <c:orientation val="minMax"/>
        </c:scaling>
        <c:delete val="0"/>
        <c:axPos val="b"/>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229597776"/>
        <c:crosses val="autoZero"/>
        <c:auto val="1"/>
        <c:lblOffset val="100"/>
        <c:baseTimeUnit val="days"/>
        <c:majorUnit val="30"/>
        <c:majorTimeUnit val="days"/>
      </c:dateAx>
      <c:valAx>
        <c:axId val="229597776"/>
        <c:scaling>
          <c:orientation val="minMax"/>
          <c:max val="120"/>
          <c:min val="75"/>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229599344"/>
        <c:crosses val="autoZero"/>
        <c:crossBetween val="between"/>
      </c:valAx>
      <c:spPr>
        <a:noFill/>
        <a:ln>
          <a:noFill/>
        </a:ln>
        <a:effectLst/>
      </c:spPr>
    </c:plotArea>
    <c:legend>
      <c:legendPos val="b"/>
      <c:layout>
        <c:manualLayout>
          <c:xMode val="edge"/>
          <c:yMode val="edge"/>
          <c:x val="1.4837219421646401E-2"/>
          <c:y val="0.85523165047772054"/>
          <c:w val="0.96562226018043995"/>
          <c:h val="0.1233781249586051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a:latin typeface="Garamond" panose="02020404030301010803" pitchFamily="18" charset="0"/>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1825742483175359E-2"/>
          <c:y val="2.5744174759968926E-2"/>
          <c:w val="0.89597962357662575"/>
          <c:h val="0.83635843596473514"/>
        </c:manualLayout>
      </c:layout>
      <c:lineChart>
        <c:grouping val="standard"/>
        <c:varyColors val="0"/>
        <c:ser>
          <c:idx val="0"/>
          <c:order val="0"/>
          <c:tx>
            <c:strRef>
              <c:f>'10 Year Bond Yield'!$B$1</c:f>
              <c:strCache>
                <c:ptCount val="1"/>
                <c:pt idx="0">
                  <c:v>Germany</c:v>
                </c:pt>
              </c:strCache>
            </c:strRef>
          </c:tx>
          <c:spPr>
            <a:ln w="28575" cap="rnd">
              <a:solidFill>
                <a:schemeClr val="accent1"/>
              </a:solidFill>
              <a:round/>
            </a:ln>
            <a:effectLst/>
          </c:spPr>
          <c:marker>
            <c:symbol val="none"/>
          </c:marker>
          <c:cat>
            <c:numRef>
              <c:f>'10 Year Bond Yield'!$A$1891:$A$2130</c:f>
              <c:numCache>
                <c:formatCode>[$-409]mmm\-yy;@</c:formatCode>
                <c:ptCount val="240"/>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numCache>
            </c:numRef>
          </c:cat>
          <c:val>
            <c:numRef>
              <c:f>'10 Year Bond Yield'!$B$1891:$B$2130</c:f>
              <c:numCache>
                <c:formatCode>0.00</c:formatCode>
                <c:ptCount val="240"/>
                <c:pt idx="0">
                  <c:v>0.497</c:v>
                </c:pt>
                <c:pt idx="1">
                  <c:v>0.497</c:v>
                </c:pt>
                <c:pt idx="2">
                  <c:v>0.501</c:v>
                </c:pt>
                <c:pt idx="3">
                  <c:v>0.5</c:v>
                </c:pt>
                <c:pt idx="4">
                  <c:v>0.52400000000000002</c:v>
                </c:pt>
                <c:pt idx="5">
                  <c:v>0.497</c:v>
                </c:pt>
                <c:pt idx="6">
                  <c:v>0.504</c:v>
                </c:pt>
                <c:pt idx="7">
                  <c:v>0.51600000000000001</c:v>
                </c:pt>
                <c:pt idx="8">
                  <c:v>0.499</c:v>
                </c:pt>
                <c:pt idx="9">
                  <c:v>0.51500000000000001</c:v>
                </c:pt>
                <c:pt idx="10">
                  <c:v>0.51100000000000001</c:v>
                </c:pt>
                <c:pt idx="11">
                  <c:v>0.52500000000000002</c:v>
                </c:pt>
                <c:pt idx="12">
                  <c:v>0.50700000000000001</c:v>
                </c:pt>
                <c:pt idx="13">
                  <c:v>0.53100000000000003</c:v>
                </c:pt>
                <c:pt idx="14">
                  <c:v>0.6</c:v>
                </c:pt>
                <c:pt idx="15">
                  <c:v>0.59</c:v>
                </c:pt>
                <c:pt idx="16">
                  <c:v>0.63600000000000001</c:v>
                </c:pt>
                <c:pt idx="17">
                  <c:v>0.63100000000000001</c:v>
                </c:pt>
                <c:pt idx="18">
                  <c:v>0.63400000000000001</c:v>
                </c:pt>
                <c:pt idx="19">
                  <c:v>0.59299999999999997</c:v>
                </c:pt>
                <c:pt idx="20">
                  <c:v>0.57099999999999995</c:v>
                </c:pt>
                <c:pt idx="21">
                  <c:v>0.55900000000000005</c:v>
                </c:pt>
                <c:pt idx="22">
                  <c:v>0.55900000000000005</c:v>
                </c:pt>
                <c:pt idx="23">
                  <c:v>0.58099999999999996</c:v>
                </c:pt>
                <c:pt idx="24">
                  <c:v>0.53200000000000003</c:v>
                </c:pt>
                <c:pt idx="25">
                  <c:v>0.54400000000000004</c:v>
                </c:pt>
                <c:pt idx="26">
                  <c:v>0.53200000000000003</c:v>
                </c:pt>
                <c:pt idx="27">
                  <c:v>0.56100000000000005</c:v>
                </c:pt>
                <c:pt idx="28">
                  <c:v>0.55900000000000005</c:v>
                </c:pt>
                <c:pt idx="29">
                  <c:v>0.55700000000000005</c:v>
                </c:pt>
                <c:pt idx="30">
                  <c:v>0.55900000000000005</c:v>
                </c:pt>
                <c:pt idx="31">
                  <c:v>0.61099999999999999</c:v>
                </c:pt>
                <c:pt idx="32">
                  <c:v>0.64500000000000002</c:v>
                </c:pt>
                <c:pt idx="33">
                  <c:v>0.60599999999999998</c:v>
                </c:pt>
                <c:pt idx="34">
                  <c:v>0.64</c:v>
                </c:pt>
                <c:pt idx="35">
                  <c:v>0.57899999999999996</c:v>
                </c:pt>
                <c:pt idx="36">
                  <c:v>0.52300000000000002</c:v>
                </c:pt>
                <c:pt idx="37">
                  <c:v>0.56000000000000005</c:v>
                </c:pt>
                <c:pt idx="38">
                  <c:v>0.50700000000000001</c:v>
                </c:pt>
                <c:pt idx="39">
                  <c:v>0.47199999999999998</c:v>
                </c:pt>
                <c:pt idx="40">
                  <c:v>0.40600000000000003</c:v>
                </c:pt>
                <c:pt idx="41">
                  <c:v>0.34399999999999997</c:v>
                </c:pt>
                <c:pt idx="42">
                  <c:v>0.26</c:v>
                </c:pt>
                <c:pt idx="43">
                  <c:v>0.372</c:v>
                </c:pt>
                <c:pt idx="44">
                  <c:v>0.34100000000000003</c:v>
                </c:pt>
                <c:pt idx="45">
                  <c:v>0.38600000000000001</c:v>
                </c:pt>
                <c:pt idx="46">
                  <c:v>0.41799999999999998</c:v>
                </c:pt>
                <c:pt idx="47">
                  <c:v>0.36899999999999999</c:v>
                </c:pt>
                <c:pt idx="48">
                  <c:v>0.46500000000000002</c:v>
                </c:pt>
                <c:pt idx="49">
                  <c:v>0.48399999999999999</c:v>
                </c:pt>
                <c:pt idx="50">
                  <c:v>0.44900000000000001</c:v>
                </c:pt>
                <c:pt idx="51">
                  <c:v>0.49299999999999999</c:v>
                </c:pt>
                <c:pt idx="52">
                  <c:v>0.49099999999999999</c:v>
                </c:pt>
                <c:pt idx="53">
                  <c:v>0.48199999999999998</c:v>
                </c:pt>
                <c:pt idx="54">
                  <c:v>0.42599999999999999</c:v>
                </c:pt>
                <c:pt idx="55">
                  <c:v>0.40300000000000002</c:v>
                </c:pt>
                <c:pt idx="56">
                  <c:v>0.39800000000000002</c:v>
                </c:pt>
                <c:pt idx="57">
                  <c:v>0.373</c:v>
                </c:pt>
                <c:pt idx="58">
                  <c:v>0.377</c:v>
                </c:pt>
                <c:pt idx="59">
                  <c:v>0.33500000000000002</c:v>
                </c:pt>
                <c:pt idx="60">
                  <c:v>0.33700000000000002</c:v>
                </c:pt>
                <c:pt idx="61">
                  <c:v>0.32700000000000001</c:v>
                </c:pt>
                <c:pt idx="62">
                  <c:v>0.34</c:v>
                </c:pt>
                <c:pt idx="63">
                  <c:v>0.32100000000000001</c:v>
                </c:pt>
                <c:pt idx="64">
                  <c:v>0.31900000000000001</c:v>
                </c:pt>
                <c:pt idx="65">
                  <c:v>0.30199999999999999</c:v>
                </c:pt>
                <c:pt idx="66">
                  <c:v>0.30399999999999999</c:v>
                </c:pt>
                <c:pt idx="67">
                  <c:v>0.29399999999999998</c:v>
                </c:pt>
                <c:pt idx="68">
                  <c:v>0.30499999999999999</c:v>
                </c:pt>
                <c:pt idx="69">
                  <c:v>0.29899999999999999</c:v>
                </c:pt>
                <c:pt idx="70">
                  <c:v>0.29199999999999998</c:v>
                </c:pt>
                <c:pt idx="71">
                  <c:v>0.3</c:v>
                </c:pt>
                <c:pt idx="72">
                  <c:v>0.32</c:v>
                </c:pt>
                <c:pt idx="73">
                  <c:v>0.36699999999999999</c:v>
                </c:pt>
                <c:pt idx="74">
                  <c:v>0.35699999999999998</c:v>
                </c:pt>
                <c:pt idx="75">
                  <c:v>0.34</c:v>
                </c:pt>
                <c:pt idx="76">
                  <c:v>0.36299999999999999</c:v>
                </c:pt>
                <c:pt idx="77">
                  <c:v>0.34599999999999997</c:v>
                </c:pt>
                <c:pt idx="78">
                  <c:v>0.34200000000000003</c:v>
                </c:pt>
                <c:pt idx="79">
                  <c:v>0.33</c:v>
                </c:pt>
                <c:pt idx="80">
                  <c:v>0.37</c:v>
                </c:pt>
                <c:pt idx="81">
                  <c:v>0.40600000000000003</c:v>
                </c:pt>
                <c:pt idx="82">
                  <c:v>0.39700000000000002</c:v>
                </c:pt>
                <c:pt idx="83">
                  <c:v>0.39600000000000002</c:v>
                </c:pt>
                <c:pt idx="84">
                  <c:v>0.40400000000000003</c:v>
                </c:pt>
                <c:pt idx="85">
                  <c:v>0.40300000000000002</c:v>
                </c:pt>
                <c:pt idx="86">
                  <c:v>0.44600000000000001</c:v>
                </c:pt>
                <c:pt idx="87">
                  <c:v>0.443</c:v>
                </c:pt>
                <c:pt idx="88">
                  <c:v>0.47799999999999998</c:v>
                </c:pt>
                <c:pt idx="89">
                  <c:v>0.46</c:v>
                </c:pt>
                <c:pt idx="90">
                  <c:v>0.40799999999999997</c:v>
                </c:pt>
                <c:pt idx="91">
                  <c:v>0.38900000000000001</c:v>
                </c:pt>
                <c:pt idx="92">
                  <c:v>0.40899999999999997</c:v>
                </c:pt>
                <c:pt idx="93">
                  <c:v>0.39800000000000002</c:v>
                </c:pt>
                <c:pt idx="94">
                  <c:v>0.375</c:v>
                </c:pt>
                <c:pt idx="95">
                  <c:v>0.317</c:v>
                </c:pt>
                <c:pt idx="96">
                  <c:v>0.311</c:v>
                </c:pt>
                <c:pt idx="97">
                  <c:v>0.32700000000000001</c:v>
                </c:pt>
                <c:pt idx="98">
                  <c:v>0.30399999999999999</c:v>
                </c:pt>
                <c:pt idx="99">
                  <c:v>0.32</c:v>
                </c:pt>
                <c:pt idx="100">
                  <c:v>0.30499999999999999</c:v>
                </c:pt>
                <c:pt idx="101">
                  <c:v>0.30199999999999999</c:v>
                </c:pt>
                <c:pt idx="102">
                  <c:v>0.33100000000000002</c:v>
                </c:pt>
                <c:pt idx="103">
                  <c:v>0.34399999999999997</c:v>
                </c:pt>
                <c:pt idx="104">
                  <c:v>0.33900000000000002</c:v>
                </c:pt>
                <c:pt idx="105">
                  <c:v>0.34499999999999997</c:v>
                </c:pt>
                <c:pt idx="106">
                  <c:v>0.376</c:v>
                </c:pt>
                <c:pt idx="107">
                  <c:v>0.38</c:v>
                </c:pt>
                <c:pt idx="108">
                  <c:v>0.40400000000000003</c:v>
                </c:pt>
                <c:pt idx="109">
                  <c:v>0.34599999999999997</c:v>
                </c:pt>
                <c:pt idx="110">
                  <c:v>0.32600000000000001</c:v>
                </c:pt>
                <c:pt idx="111">
                  <c:v>0.33300000000000002</c:v>
                </c:pt>
                <c:pt idx="112">
                  <c:v>0.35699999999999998</c:v>
                </c:pt>
                <c:pt idx="113">
                  <c:v>0.38</c:v>
                </c:pt>
                <c:pt idx="114">
                  <c:v>0.35499999999999998</c:v>
                </c:pt>
                <c:pt idx="115">
                  <c:v>0.38700000000000001</c:v>
                </c:pt>
                <c:pt idx="116">
                  <c:v>0.40100000000000002</c:v>
                </c:pt>
                <c:pt idx="117">
                  <c:v>0.43</c:v>
                </c:pt>
                <c:pt idx="118">
                  <c:v>0.41099999999999998</c:v>
                </c:pt>
                <c:pt idx="119">
                  <c:v>0.42299999999999999</c:v>
                </c:pt>
                <c:pt idx="120">
                  <c:v>0.45</c:v>
                </c:pt>
                <c:pt idx="121">
                  <c:v>0.45800000000000002</c:v>
                </c:pt>
                <c:pt idx="122">
                  <c:v>0.48</c:v>
                </c:pt>
                <c:pt idx="123">
                  <c:v>0.48699999999999999</c:v>
                </c:pt>
                <c:pt idx="124">
                  <c:v>0.47099999999999997</c:v>
                </c:pt>
                <c:pt idx="125">
                  <c:v>0.46200000000000002</c:v>
                </c:pt>
                <c:pt idx="126">
                  <c:v>0.51</c:v>
                </c:pt>
                <c:pt idx="127">
                  <c:v>0.54300000000000004</c:v>
                </c:pt>
                <c:pt idx="128">
                  <c:v>0.52600000000000002</c:v>
                </c:pt>
                <c:pt idx="129">
                  <c:v>0.52900000000000003</c:v>
                </c:pt>
                <c:pt idx="130">
                  <c:v>0.47</c:v>
                </c:pt>
                <c:pt idx="131">
                  <c:v>0.47099999999999997</c:v>
                </c:pt>
                <c:pt idx="132">
                  <c:v>0.42199999999999999</c:v>
                </c:pt>
                <c:pt idx="133">
                  <c:v>0.47499999999999998</c:v>
                </c:pt>
                <c:pt idx="134">
                  <c:v>0.53100000000000003</c:v>
                </c:pt>
                <c:pt idx="135">
                  <c:v>0.57299999999999995</c:v>
                </c:pt>
                <c:pt idx="136">
                  <c:v>0.52900000000000003</c:v>
                </c:pt>
                <c:pt idx="137">
                  <c:v>0.54900000000000004</c:v>
                </c:pt>
                <c:pt idx="138">
                  <c:v>0.55200000000000005</c:v>
                </c:pt>
                <c:pt idx="139">
                  <c:v>0.51800000000000002</c:v>
                </c:pt>
                <c:pt idx="140">
                  <c:v>0.498</c:v>
                </c:pt>
                <c:pt idx="141">
                  <c:v>0.503</c:v>
                </c:pt>
                <c:pt idx="142">
                  <c:v>0.49099999999999999</c:v>
                </c:pt>
                <c:pt idx="143">
                  <c:v>0.46100000000000002</c:v>
                </c:pt>
                <c:pt idx="144">
                  <c:v>0.41599999999999998</c:v>
                </c:pt>
                <c:pt idx="145">
                  <c:v>0.46</c:v>
                </c:pt>
                <c:pt idx="146">
                  <c:v>0.44800000000000001</c:v>
                </c:pt>
                <c:pt idx="147">
                  <c:v>0.40899999999999997</c:v>
                </c:pt>
                <c:pt idx="148">
                  <c:v>0.39600000000000002</c:v>
                </c:pt>
                <c:pt idx="149">
                  <c:v>0.39800000000000002</c:v>
                </c:pt>
                <c:pt idx="150">
                  <c:v>0.35199999999999998</c:v>
                </c:pt>
                <c:pt idx="151">
                  <c:v>0.377</c:v>
                </c:pt>
                <c:pt idx="152">
                  <c:v>0.36899999999999999</c:v>
                </c:pt>
                <c:pt idx="153">
                  <c:v>0.38500000000000001</c:v>
                </c:pt>
                <c:pt idx="154">
                  <c:v>0.39900000000000002</c:v>
                </c:pt>
                <c:pt idx="155">
                  <c:v>0.42799999999999999</c:v>
                </c:pt>
                <c:pt idx="156">
                  <c:v>0.42599999999999999</c:v>
                </c:pt>
                <c:pt idx="157">
                  <c:v>0.434</c:v>
                </c:pt>
                <c:pt idx="158">
                  <c:v>0.44700000000000001</c:v>
                </c:pt>
                <c:pt idx="159">
                  <c:v>0.45700000000000002</c:v>
                </c:pt>
                <c:pt idx="160">
                  <c:v>0.40699999999999997</c:v>
                </c:pt>
                <c:pt idx="161">
                  <c:v>0.39800000000000002</c:v>
                </c:pt>
                <c:pt idx="162">
                  <c:v>0.40899999999999997</c:v>
                </c:pt>
                <c:pt idx="163">
                  <c:v>0.39800000000000002</c:v>
                </c:pt>
                <c:pt idx="164">
                  <c:v>0.36</c:v>
                </c:pt>
                <c:pt idx="165">
                  <c:v>0.36699999999999999</c:v>
                </c:pt>
                <c:pt idx="166">
                  <c:v>0.373</c:v>
                </c:pt>
                <c:pt idx="167">
                  <c:v>0.35</c:v>
                </c:pt>
                <c:pt idx="168">
                  <c:v>0.376</c:v>
                </c:pt>
                <c:pt idx="169">
                  <c:v>0.37</c:v>
                </c:pt>
                <c:pt idx="170">
                  <c:v>0.34</c:v>
                </c:pt>
                <c:pt idx="171">
                  <c:v>0.36099999999999999</c:v>
                </c:pt>
                <c:pt idx="172">
                  <c:v>0.35</c:v>
                </c:pt>
                <c:pt idx="173">
                  <c:v>0.34899999999999998</c:v>
                </c:pt>
                <c:pt idx="174">
                  <c:v>0.32100000000000001</c:v>
                </c:pt>
                <c:pt idx="175">
                  <c:v>0.313</c:v>
                </c:pt>
                <c:pt idx="176">
                  <c:v>0.30599999999999999</c:v>
                </c:pt>
                <c:pt idx="177">
                  <c:v>0.26300000000000001</c:v>
                </c:pt>
                <c:pt idx="178">
                  <c:v>0.27700000000000002</c:v>
                </c:pt>
                <c:pt idx="179">
                  <c:v>0.23599999999999999</c:v>
                </c:pt>
                <c:pt idx="180">
                  <c:v>0.249</c:v>
                </c:pt>
                <c:pt idx="181">
                  <c:v>0.246</c:v>
                </c:pt>
                <c:pt idx="182">
                  <c:v>0.23200000000000001</c:v>
                </c:pt>
                <c:pt idx="183">
                  <c:v>0.27900000000000003</c:v>
                </c:pt>
                <c:pt idx="184">
                  <c:v>0.28499999999999998</c:v>
                </c:pt>
                <c:pt idx="185">
                  <c:v>0.252</c:v>
                </c:pt>
                <c:pt idx="186">
                  <c:v>0.25600000000000001</c:v>
                </c:pt>
                <c:pt idx="187">
                  <c:v>0.24399999999999999</c:v>
                </c:pt>
                <c:pt idx="188">
                  <c:v>0.23899999999999999</c:v>
                </c:pt>
                <c:pt idx="189">
                  <c:v>0.22800000000000001</c:v>
                </c:pt>
                <c:pt idx="190">
                  <c:v>0.25</c:v>
                </c:pt>
                <c:pt idx="191">
                  <c:v>0.25</c:v>
                </c:pt>
                <c:pt idx="192">
                  <c:v>0.25</c:v>
                </c:pt>
                <c:pt idx="193">
                  <c:v>0.25</c:v>
                </c:pt>
                <c:pt idx="194">
                  <c:v>0.23100000000000001</c:v>
                </c:pt>
                <c:pt idx="195">
                  <c:v>0.24199999999999999</c:v>
                </c:pt>
                <c:pt idx="196">
                  <c:v>0.24199999999999999</c:v>
                </c:pt>
                <c:pt idx="197">
                  <c:v>0.24199999999999999</c:v>
                </c:pt>
                <c:pt idx="198">
                  <c:v>0.16500000000000001</c:v>
                </c:pt>
                <c:pt idx="199">
                  <c:v>0.153</c:v>
                </c:pt>
                <c:pt idx="200">
                  <c:v>0.20799999999999999</c:v>
                </c:pt>
                <c:pt idx="201">
                  <c:v>0.221</c:v>
                </c:pt>
                <c:pt idx="202">
                  <c:v>0.22600000000000001</c:v>
                </c:pt>
                <c:pt idx="203">
                  <c:v>0.27900000000000003</c:v>
                </c:pt>
                <c:pt idx="204">
                  <c:v>0.255</c:v>
                </c:pt>
                <c:pt idx="205">
                  <c:v>0.23899999999999999</c:v>
                </c:pt>
                <c:pt idx="206">
                  <c:v>0.23100000000000001</c:v>
                </c:pt>
                <c:pt idx="207">
                  <c:v>0.20599999999999999</c:v>
                </c:pt>
                <c:pt idx="208">
                  <c:v>0.224</c:v>
                </c:pt>
                <c:pt idx="209">
                  <c:v>0.24299999999999999</c:v>
                </c:pt>
                <c:pt idx="210">
                  <c:v>0.26200000000000001</c:v>
                </c:pt>
                <c:pt idx="211">
                  <c:v>0.255</c:v>
                </c:pt>
                <c:pt idx="212">
                  <c:v>0.23599999999999999</c:v>
                </c:pt>
                <c:pt idx="213">
                  <c:v>0.22500000000000001</c:v>
                </c:pt>
                <c:pt idx="214">
                  <c:v>0.18</c:v>
                </c:pt>
                <c:pt idx="215">
                  <c:v>0.193</c:v>
                </c:pt>
                <c:pt idx="216">
                  <c:v>0.20499999999999999</c:v>
                </c:pt>
                <c:pt idx="217">
                  <c:v>0.2</c:v>
                </c:pt>
                <c:pt idx="218">
                  <c:v>0.188</c:v>
                </c:pt>
                <c:pt idx="219">
                  <c:v>0.14899999999999999</c:v>
                </c:pt>
                <c:pt idx="220">
                  <c:v>0.16600000000000001</c:v>
                </c:pt>
                <c:pt idx="221">
                  <c:v>0.17699999999999999</c:v>
                </c:pt>
                <c:pt idx="222">
                  <c:v>0.17</c:v>
                </c:pt>
                <c:pt idx="223">
                  <c:v>0.16200000000000001</c:v>
                </c:pt>
                <c:pt idx="224">
                  <c:v>0.115</c:v>
                </c:pt>
                <c:pt idx="225">
                  <c:v>8.6999999999999994E-2</c:v>
                </c:pt>
                <c:pt idx="226">
                  <c:v>0.12</c:v>
                </c:pt>
                <c:pt idx="227">
                  <c:v>0.13200000000000001</c:v>
                </c:pt>
                <c:pt idx="228">
                  <c:v>0.123</c:v>
                </c:pt>
                <c:pt idx="229">
                  <c:v>0.10299999999999999</c:v>
                </c:pt>
                <c:pt idx="230">
                  <c:v>0.10100000000000001</c:v>
                </c:pt>
                <c:pt idx="231">
                  <c:v>0.11</c:v>
                </c:pt>
                <c:pt idx="232">
                  <c:v>0.105</c:v>
                </c:pt>
                <c:pt idx="233">
                  <c:v>0.1</c:v>
                </c:pt>
                <c:pt idx="234">
                  <c:v>0.127</c:v>
                </c:pt>
                <c:pt idx="235">
                  <c:v>9.6000000000000002E-2</c:v>
                </c:pt>
                <c:pt idx="236">
                  <c:v>0.108</c:v>
                </c:pt>
                <c:pt idx="237">
                  <c:v>0.11799999999999999</c:v>
                </c:pt>
                <c:pt idx="238">
                  <c:v>0.14799999999999999</c:v>
                </c:pt>
                <c:pt idx="239">
                  <c:v>0.183</c:v>
                </c:pt>
              </c:numCache>
            </c:numRef>
          </c:val>
          <c:smooth val="0"/>
        </c:ser>
        <c:ser>
          <c:idx val="1"/>
          <c:order val="1"/>
          <c:tx>
            <c:strRef>
              <c:f>'10 Year Bond Yield'!$C$1</c:f>
              <c:strCache>
                <c:ptCount val="1"/>
                <c:pt idx="0">
                  <c:v>Spain</c:v>
                </c:pt>
              </c:strCache>
            </c:strRef>
          </c:tx>
          <c:spPr>
            <a:ln w="28575" cap="rnd">
              <a:solidFill>
                <a:schemeClr val="accent2"/>
              </a:solidFill>
              <a:round/>
            </a:ln>
            <a:effectLst/>
          </c:spPr>
          <c:marker>
            <c:symbol val="none"/>
          </c:marker>
          <c:cat>
            <c:numRef>
              <c:f>'10 Year Bond Yield'!$A$1891:$A$2130</c:f>
              <c:numCache>
                <c:formatCode>[$-409]mmm\-yy;@</c:formatCode>
                <c:ptCount val="240"/>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numCache>
            </c:numRef>
          </c:cat>
          <c:val>
            <c:numRef>
              <c:f>'10 Year Bond Yield'!$C$1891:$C$2130</c:f>
              <c:numCache>
                <c:formatCode>0.00</c:formatCode>
                <c:ptCount val="240"/>
                <c:pt idx="0">
                  <c:v>1.1639999999999999</c:v>
                </c:pt>
                <c:pt idx="1">
                  <c:v>1.1639999999999999</c:v>
                </c:pt>
                <c:pt idx="2">
                  <c:v>1.19</c:v>
                </c:pt>
                <c:pt idx="3">
                  <c:v>1.1659999999999999</c:v>
                </c:pt>
                <c:pt idx="4">
                  <c:v>1.234</c:v>
                </c:pt>
                <c:pt idx="5">
                  <c:v>1.232</c:v>
                </c:pt>
                <c:pt idx="6">
                  <c:v>1.238</c:v>
                </c:pt>
                <c:pt idx="7">
                  <c:v>1.262</c:v>
                </c:pt>
                <c:pt idx="8">
                  <c:v>1.272</c:v>
                </c:pt>
                <c:pt idx="9">
                  <c:v>1.254</c:v>
                </c:pt>
                <c:pt idx="10">
                  <c:v>1.238</c:v>
                </c:pt>
                <c:pt idx="11">
                  <c:v>1.244</c:v>
                </c:pt>
                <c:pt idx="12">
                  <c:v>1.2210000000000001</c:v>
                </c:pt>
                <c:pt idx="13">
                  <c:v>1.2170000000000001</c:v>
                </c:pt>
                <c:pt idx="14">
                  <c:v>1.284</c:v>
                </c:pt>
                <c:pt idx="15">
                  <c:v>1.282</c:v>
                </c:pt>
                <c:pt idx="16">
                  <c:v>1.3129999999999999</c:v>
                </c:pt>
                <c:pt idx="17">
                  <c:v>1.2989999999999999</c:v>
                </c:pt>
                <c:pt idx="18">
                  <c:v>1.302</c:v>
                </c:pt>
                <c:pt idx="19">
                  <c:v>1.27</c:v>
                </c:pt>
                <c:pt idx="20">
                  <c:v>1.262</c:v>
                </c:pt>
                <c:pt idx="21">
                  <c:v>1.28</c:v>
                </c:pt>
                <c:pt idx="22">
                  <c:v>1.28</c:v>
                </c:pt>
                <c:pt idx="23">
                  <c:v>1.3109999999999999</c:v>
                </c:pt>
                <c:pt idx="24">
                  <c:v>1.254</c:v>
                </c:pt>
                <c:pt idx="25">
                  <c:v>1.2989999999999999</c:v>
                </c:pt>
                <c:pt idx="26">
                  <c:v>1.276</c:v>
                </c:pt>
                <c:pt idx="27">
                  <c:v>1.32</c:v>
                </c:pt>
                <c:pt idx="28">
                  <c:v>1.304</c:v>
                </c:pt>
                <c:pt idx="29">
                  <c:v>1.3129999999999999</c:v>
                </c:pt>
                <c:pt idx="30">
                  <c:v>1.2729999999999999</c:v>
                </c:pt>
                <c:pt idx="31">
                  <c:v>1.3320000000000001</c:v>
                </c:pt>
                <c:pt idx="32">
                  <c:v>1.359</c:v>
                </c:pt>
                <c:pt idx="33">
                  <c:v>1.411999999999999</c:v>
                </c:pt>
                <c:pt idx="34">
                  <c:v>1.407999999999999</c:v>
                </c:pt>
                <c:pt idx="35">
                  <c:v>1.4430000000000001</c:v>
                </c:pt>
                <c:pt idx="36">
                  <c:v>1.508</c:v>
                </c:pt>
                <c:pt idx="37">
                  <c:v>1.4570000000000001</c:v>
                </c:pt>
                <c:pt idx="38">
                  <c:v>1.444</c:v>
                </c:pt>
                <c:pt idx="39">
                  <c:v>1.3919999999999999</c:v>
                </c:pt>
                <c:pt idx="40">
                  <c:v>1.466</c:v>
                </c:pt>
                <c:pt idx="41">
                  <c:v>1.5249999999999999</c:v>
                </c:pt>
                <c:pt idx="42">
                  <c:v>1.621</c:v>
                </c:pt>
                <c:pt idx="43">
                  <c:v>1.5329999999999999</c:v>
                </c:pt>
                <c:pt idx="44">
                  <c:v>1.5029999999999999</c:v>
                </c:pt>
                <c:pt idx="45">
                  <c:v>1.4410000000000001</c:v>
                </c:pt>
                <c:pt idx="46">
                  <c:v>1.33</c:v>
                </c:pt>
                <c:pt idx="47">
                  <c:v>1.3959999999999999</c:v>
                </c:pt>
                <c:pt idx="48">
                  <c:v>1.502</c:v>
                </c:pt>
                <c:pt idx="49">
                  <c:v>1.4710000000000001</c:v>
                </c:pt>
                <c:pt idx="50">
                  <c:v>1.47</c:v>
                </c:pt>
                <c:pt idx="51">
                  <c:v>1.4410000000000001</c:v>
                </c:pt>
                <c:pt idx="52">
                  <c:v>1.4510000000000001</c:v>
                </c:pt>
                <c:pt idx="53">
                  <c:v>1.411</c:v>
                </c:pt>
                <c:pt idx="54">
                  <c:v>1.349</c:v>
                </c:pt>
                <c:pt idx="55">
                  <c:v>1.2969999999999999</c:v>
                </c:pt>
                <c:pt idx="56">
                  <c:v>1.254</c:v>
                </c:pt>
                <c:pt idx="57">
                  <c:v>1.2410000000000001</c:v>
                </c:pt>
                <c:pt idx="58">
                  <c:v>1.2470000000000001</c:v>
                </c:pt>
                <c:pt idx="59">
                  <c:v>1.3360000000000001</c:v>
                </c:pt>
                <c:pt idx="60">
                  <c:v>1.353</c:v>
                </c:pt>
                <c:pt idx="61">
                  <c:v>1.35</c:v>
                </c:pt>
                <c:pt idx="62">
                  <c:v>1.393</c:v>
                </c:pt>
                <c:pt idx="63">
                  <c:v>1.355</c:v>
                </c:pt>
                <c:pt idx="64">
                  <c:v>1.365</c:v>
                </c:pt>
                <c:pt idx="65">
                  <c:v>1.321</c:v>
                </c:pt>
                <c:pt idx="66">
                  <c:v>1.298</c:v>
                </c:pt>
                <c:pt idx="67">
                  <c:v>1.292</c:v>
                </c:pt>
                <c:pt idx="68">
                  <c:v>1.2989999999999999</c:v>
                </c:pt>
                <c:pt idx="69">
                  <c:v>1.329</c:v>
                </c:pt>
                <c:pt idx="70">
                  <c:v>1.3089999999999999</c:v>
                </c:pt>
                <c:pt idx="71">
                  <c:v>1.294</c:v>
                </c:pt>
                <c:pt idx="72">
                  <c:v>1.278</c:v>
                </c:pt>
                <c:pt idx="73">
                  <c:v>1.304</c:v>
                </c:pt>
                <c:pt idx="74">
                  <c:v>1.286</c:v>
                </c:pt>
                <c:pt idx="75">
                  <c:v>1.2629999999999999</c:v>
                </c:pt>
                <c:pt idx="76">
                  <c:v>1.2789999999999999</c:v>
                </c:pt>
                <c:pt idx="77">
                  <c:v>1.25</c:v>
                </c:pt>
                <c:pt idx="78">
                  <c:v>1.28</c:v>
                </c:pt>
                <c:pt idx="79">
                  <c:v>1.2809999999999999</c:v>
                </c:pt>
                <c:pt idx="80">
                  <c:v>1.3140000000000001</c:v>
                </c:pt>
                <c:pt idx="81">
                  <c:v>1.38</c:v>
                </c:pt>
                <c:pt idx="82">
                  <c:v>1.371</c:v>
                </c:pt>
                <c:pt idx="83">
                  <c:v>1.351</c:v>
                </c:pt>
                <c:pt idx="84">
                  <c:v>1.363</c:v>
                </c:pt>
                <c:pt idx="85">
                  <c:v>1.375</c:v>
                </c:pt>
                <c:pt idx="86">
                  <c:v>1.425999999999999</c:v>
                </c:pt>
                <c:pt idx="87">
                  <c:v>1.4</c:v>
                </c:pt>
                <c:pt idx="88">
                  <c:v>1.454</c:v>
                </c:pt>
                <c:pt idx="89">
                  <c:v>1.4570000000000001</c:v>
                </c:pt>
                <c:pt idx="90">
                  <c:v>1.421999999999999</c:v>
                </c:pt>
                <c:pt idx="91">
                  <c:v>1.3979999999999999</c:v>
                </c:pt>
                <c:pt idx="92">
                  <c:v>1.395</c:v>
                </c:pt>
                <c:pt idx="93">
                  <c:v>1.407</c:v>
                </c:pt>
                <c:pt idx="94">
                  <c:v>1.3939999999999999</c:v>
                </c:pt>
                <c:pt idx="95">
                  <c:v>1.407</c:v>
                </c:pt>
                <c:pt idx="96">
                  <c:v>1.454</c:v>
                </c:pt>
                <c:pt idx="97">
                  <c:v>1.413999999999999</c:v>
                </c:pt>
                <c:pt idx="98">
                  <c:v>1.45</c:v>
                </c:pt>
                <c:pt idx="99">
                  <c:v>1.4450000000000001</c:v>
                </c:pt>
                <c:pt idx="100">
                  <c:v>1.4490000000000001</c:v>
                </c:pt>
                <c:pt idx="101">
                  <c:v>1.39</c:v>
                </c:pt>
                <c:pt idx="102">
                  <c:v>1.3680000000000001</c:v>
                </c:pt>
                <c:pt idx="103">
                  <c:v>1.381</c:v>
                </c:pt>
                <c:pt idx="104">
                  <c:v>1.373</c:v>
                </c:pt>
                <c:pt idx="105">
                  <c:v>1.3939999999999999</c:v>
                </c:pt>
                <c:pt idx="106">
                  <c:v>1.41</c:v>
                </c:pt>
                <c:pt idx="107">
                  <c:v>1.4550000000000001</c:v>
                </c:pt>
                <c:pt idx="108">
                  <c:v>1.464</c:v>
                </c:pt>
                <c:pt idx="109">
                  <c:v>1.47</c:v>
                </c:pt>
                <c:pt idx="110">
                  <c:v>1.4730000000000001</c:v>
                </c:pt>
                <c:pt idx="111">
                  <c:v>1.45</c:v>
                </c:pt>
                <c:pt idx="112">
                  <c:v>1.429</c:v>
                </c:pt>
                <c:pt idx="113">
                  <c:v>1.4490000000000001</c:v>
                </c:pt>
                <c:pt idx="114">
                  <c:v>1.4490000000000001</c:v>
                </c:pt>
                <c:pt idx="115">
                  <c:v>1.4610000000000001</c:v>
                </c:pt>
                <c:pt idx="116">
                  <c:v>1.4530000000000001</c:v>
                </c:pt>
                <c:pt idx="117">
                  <c:v>1.4670000000000001</c:v>
                </c:pt>
                <c:pt idx="118">
                  <c:v>1.4630000000000001</c:v>
                </c:pt>
                <c:pt idx="119">
                  <c:v>1.4690000000000001</c:v>
                </c:pt>
                <c:pt idx="120">
                  <c:v>1.486</c:v>
                </c:pt>
                <c:pt idx="121">
                  <c:v>1.488</c:v>
                </c:pt>
                <c:pt idx="122">
                  <c:v>1.5049999999999999</c:v>
                </c:pt>
                <c:pt idx="123">
                  <c:v>1.5269999999999999</c:v>
                </c:pt>
                <c:pt idx="124">
                  <c:v>1.5109999999999999</c:v>
                </c:pt>
                <c:pt idx="125">
                  <c:v>1.4950000000000001</c:v>
                </c:pt>
                <c:pt idx="126">
                  <c:v>1.524</c:v>
                </c:pt>
                <c:pt idx="127">
                  <c:v>1.526</c:v>
                </c:pt>
                <c:pt idx="128">
                  <c:v>1.5229999999999999</c:v>
                </c:pt>
                <c:pt idx="129">
                  <c:v>1.5049999999999999</c:v>
                </c:pt>
                <c:pt idx="130">
                  <c:v>1.5</c:v>
                </c:pt>
                <c:pt idx="131">
                  <c:v>1.53</c:v>
                </c:pt>
                <c:pt idx="132">
                  <c:v>1.5389999999999999</c:v>
                </c:pt>
                <c:pt idx="133">
                  <c:v>1.536</c:v>
                </c:pt>
                <c:pt idx="134">
                  <c:v>1.5629999999999999</c:v>
                </c:pt>
                <c:pt idx="135">
                  <c:v>1.577</c:v>
                </c:pt>
                <c:pt idx="136">
                  <c:v>1.591</c:v>
                </c:pt>
                <c:pt idx="137">
                  <c:v>1.6</c:v>
                </c:pt>
                <c:pt idx="138">
                  <c:v>1.613</c:v>
                </c:pt>
                <c:pt idx="139">
                  <c:v>1.643</c:v>
                </c:pt>
                <c:pt idx="140">
                  <c:v>1.6759999999999999</c:v>
                </c:pt>
                <c:pt idx="141">
                  <c:v>1.679</c:v>
                </c:pt>
                <c:pt idx="142">
                  <c:v>1.643</c:v>
                </c:pt>
                <c:pt idx="143">
                  <c:v>1.649</c:v>
                </c:pt>
                <c:pt idx="144">
                  <c:v>1.728</c:v>
                </c:pt>
                <c:pt idx="145">
                  <c:v>1.7350000000000001</c:v>
                </c:pt>
                <c:pt idx="146">
                  <c:v>1.696</c:v>
                </c:pt>
                <c:pt idx="147">
                  <c:v>1.663</c:v>
                </c:pt>
                <c:pt idx="148">
                  <c:v>1.625</c:v>
                </c:pt>
                <c:pt idx="149">
                  <c:v>1.587</c:v>
                </c:pt>
                <c:pt idx="150">
                  <c:v>1.5669999999999999</c:v>
                </c:pt>
                <c:pt idx="151">
                  <c:v>1.544</c:v>
                </c:pt>
                <c:pt idx="152">
                  <c:v>1.5669999999999999</c:v>
                </c:pt>
                <c:pt idx="153">
                  <c:v>1.548</c:v>
                </c:pt>
                <c:pt idx="154">
                  <c:v>1.5680000000000001</c:v>
                </c:pt>
                <c:pt idx="155">
                  <c:v>1.573</c:v>
                </c:pt>
                <c:pt idx="156">
                  <c:v>1.5660000000000001</c:v>
                </c:pt>
                <c:pt idx="157">
                  <c:v>1.5840000000000001</c:v>
                </c:pt>
                <c:pt idx="158">
                  <c:v>1.6020000000000001</c:v>
                </c:pt>
                <c:pt idx="159">
                  <c:v>1.6080000000000001</c:v>
                </c:pt>
                <c:pt idx="160">
                  <c:v>1.5980000000000001</c:v>
                </c:pt>
                <c:pt idx="161">
                  <c:v>1.601</c:v>
                </c:pt>
                <c:pt idx="162">
                  <c:v>1.6060000000000001</c:v>
                </c:pt>
                <c:pt idx="163">
                  <c:v>1.6180000000000001</c:v>
                </c:pt>
                <c:pt idx="164">
                  <c:v>1.631</c:v>
                </c:pt>
                <c:pt idx="165">
                  <c:v>1.6359999999999999</c:v>
                </c:pt>
                <c:pt idx="166">
                  <c:v>1.65</c:v>
                </c:pt>
                <c:pt idx="167">
                  <c:v>1.647</c:v>
                </c:pt>
                <c:pt idx="168">
                  <c:v>1.635</c:v>
                </c:pt>
                <c:pt idx="169">
                  <c:v>1.637</c:v>
                </c:pt>
                <c:pt idx="170">
                  <c:v>1.6319999999999999</c:v>
                </c:pt>
                <c:pt idx="171">
                  <c:v>1.5620000000000001</c:v>
                </c:pt>
                <c:pt idx="172">
                  <c:v>1.554</c:v>
                </c:pt>
                <c:pt idx="173">
                  <c:v>1.5429999999999999</c:v>
                </c:pt>
                <c:pt idx="174">
                  <c:v>1.508</c:v>
                </c:pt>
                <c:pt idx="175">
                  <c:v>1.502</c:v>
                </c:pt>
                <c:pt idx="176">
                  <c:v>1.4910000000000001</c:v>
                </c:pt>
                <c:pt idx="177">
                  <c:v>1.4850000000000001</c:v>
                </c:pt>
                <c:pt idx="178">
                  <c:v>1.4590000000000001</c:v>
                </c:pt>
                <c:pt idx="179">
                  <c:v>1.4610000000000001</c:v>
                </c:pt>
                <c:pt idx="180">
                  <c:v>1.4510000000000001</c:v>
                </c:pt>
                <c:pt idx="181">
                  <c:v>1.4430000000000001</c:v>
                </c:pt>
                <c:pt idx="182">
                  <c:v>1.4370000000000001</c:v>
                </c:pt>
                <c:pt idx="183">
                  <c:v>1.429</c:v>
                </c:pt>
                <c:pt idx="184">
                  <c:v>1.423999999999999</c:v>
                </c:pt>
                <c:pt idx="185">
                  <c:v>1.411999999999999</c:v>
                </c:pt>
                <c:pt idx="186">
                  <c:v>1.399</c:v>
                </c:pt>
                <c:pt idx="187">
                  <c:v>1.3779999999999999</c:v>
                </c:pt>
                <c:pt idx="188">
                  <c:v>1.3779999999999999</c:v>
                </c:pt>
                <c:pt idx="189">
                  <c:v>1.3740000000000001</c:v>
                </c:pt>
                <c:pt idx="190">
                  <c:v>1.401</c:v>
                </c:pt>
                <c:pt idx="191">
                  <c:v>1.401</c:v>
                </c:pt>
                <c:pt idx="192">
                  <c:v>1.401</c:v>
                </c:pt>
                <c:pt idx="193">
                  <c:v>1.401</c:v>
                </c:pt>
                <c:pt idx="194">
                  <c:v>1.3859999999999999</c:v>
                </c:pt>
                <c:pt idx="195">
                  <c:v>1.415999999999999</c:v>
                </c:pt>
                <c:pt idx="196">
                  <c:v>1.415999999999999</c:v>
                </c:pt>
                <c:pt idx="197">
                  <c:v>1.415999999999999</c:v>
                </c:pt>
                <c:pt idx="198">
                  <c:v>1.401</c:v>
                </c:pt>
                <c:pt idx="199">
                  <c:v>1.429</c:v>
                </c:pt>
                <c:pt idx="200">
                  <c:v>1.474</c:v>
                </c:pt>
                <c:pt idx="201">
                  <c:v>1.5</c:v>
                </c:pt>
                <c:pt idx="202">
                  <c:v>1.5129999999999999</c:v>
                </c:pt>
                <c:pt idx="203">
                  <c:v>1.492</c:v>
                </c:pt>
                <c:pt idx="204">
                  <c:v>1.4510000000000001</c:v>
                </c:pt>
                <c:pt idx="205">
                  <c:v>1.4450000000000001</c:v>
                </c:pt>
                <c:pt idx="206">
                  <c:v>1.419</c:v>
                </c:pt>
                <c:pt idx="207">
                  <c:v>1.39</c:v>
                </c:pt>
                <c:pt idx="208">
                  <c:v>1.375</c:v>
                </c:pt>
                <c:pt idx="209">
                  <c:v>1.3640000000000001</c:v>
                </c:pt>
                <c:pt idx="210">
                  <c:v>1.3460000000000001</c:v>
                </c:pt>
                <c:pt idx="211">
                  <c:v>1.3660000000000001</c:v>
                </c:pt>
                <c:pt idx="212">
                  <c:v>1.3340000000000001</c:v>
                </c:pt>
                <c:pt idx="213">
                  <c:v>1.3129999999999999</c:v>
                </c:pt>
                <c:pt idx="214">
                  <c:v>1.24</c:v>
                </c:pt>
                <c:pt idx="215">
                  <c:v>1.2310000000000001</c:v>
                </c:pt>
                <c:pt idx="216">
                  <c:v>1.22</c:v>
                </c:pt>
                <c:pt idx="217">
                  <c:v>1.238</c:v>
                </c:pt>
                <c:pt idx="218">
                  <c:v>1.254</c:v>
                </c:pt>
                <c:pt idx="219">
                  <c:v>1.196</c:v>
                </c:pt>
                <c:pt idx="220">
                  <c:v>1.2230000000000001</c:v>
                </c:pt>
                <c:pt idx="221">
                  <c:v>1.244</c:v>
                </c:pt>
                <c:pt idx="222">
                  <c:v>1.256</c:v>
                </c:pt>
                <c:pt idx="223">
                  <c:v>1.2569999999999999</c:v>
                </c:pt>
                <c:pt idx="224">
                  <c:v>1.242</c:v>
                </c:pt>
                <c:pt idx="225">
                  <c:v>1.2330000000000001</c:v>
                </c:pt>
                <c:pt idx="226">
                  <c:v>1.242</c:v>
                </c:pt>
                <c:pt idx="227">
                  <c:v>1.2390000000000001</c:v>
                </c:pt>
                <c:pt idx="228">
                  <c:v>1.234</c:v>
                </c:pt>
                <c:pt idx="229">
                  <c:v>1.242</c:v>
                </c:pt>
                <c:pt idx="230">
                  <c:v>1.24</c:v>
                </c:pt>
                <c:pt idx="231">
                  <c:v>1.2270000000000001</c:v>
                </c:pt>
                <c:pt idx="232">
                  <c:v>1.208</c:v>
                </c:pt>
                <c:pt idx="233">
                  <c:v>1.2</c:v>
                </c:pt>
                <c:pt idx="234">
                  <c:v>1.2030000000000001</c:v>
                </c:pt>
                <c:pt idx="235">
                  <c:v>1.175</c:v>
                </c:pt>
                <c:pt idx="236">
                  <c:v>1.163</c:v>
                </c:pt>
                <c:pt idx="237">
                  <c:v>1.1379999999999999</c:v>
                </c:pt>
                <c:pt idx="238">
                  <c:v>1.159</c:v>
                </c:pt>
                <c:pt idx="239">
                  <c:v>1.173</c:v>
                </c:pt>
              </c:numCache>
            </c:numRef>
          </c:val>
          <c:smooth val="0"/>
        </c:ser>
        <c:ser>
          <c:idx val="2"/>
          <c:order val="2"/>
          <c:tx>
            <c:strRef>
              <c:f>'10 Year Bond Yield'!$D$1</c:f>
              <c:strCache>
                <c:ptCount val="1"/>
                <c:pt idx="0">
                  <c:v>US</c:v>
                </c:pt>
              </c:strCache>
            </c:strRef>
          </c:tx>
          <c:spPr>
            <a:ln w="28575" cap="rnd">
              <a:solidFill>
                <a:schemeClr val="accent3"/>
              </a:solidFill>
              <a:round/>
            </a:ln>
            <a:effectLst/>
          </c:spPr>
          <c:marker>
            <c:symbol val="none"/>
          </c:marker>
          <c:cat>
            <c:numRef>
              <c:f>'10 Year Bond Yield'!$A$1891:$A$2130</c:f>
              <c:numCache>
                <c:formatCode>[$-409]mmm\-yy;@</c:formatCode>
                <c:ptCount val="240"/>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numCache>
            </c:numRef>
          </c:cat>
          <c:val>
            <c:numRef>
              <c:f>'10 Year Bond Yield'!$D$1891:$D$2130</c:f>
              <c:numCache>
                <c:formatCode>0.00</c:formatCode>
                <c:ptCount val="240"/>
                <c:pt idx="0">
                  <c:v>2.7389000000000001</c:v>
                </c:pt>
                <c:pt idx="1">
                  <c:v>2.7298</c:v>
                </c:pt>
                <c:pt idx="2">
                  <c:v>2.7753000000000001</c:v>
                </c:pt>
                <c:pt idx="3">
                  <c:v>2.802699999999998</c:v>
                </c:pt>
                <c:pt idx="4">
                  <c:v>2.8319999999999981</c:v>
                </c:pt>
                <c:pt idx="5">
                  <c:v>2.7734999999999999</c:v>
                </c:pt>
                <c:pt idx="6">
                  <c:v>2.7789999999999999</c:v>
                </c:pt>
                <c:pt idx="7">
                  <c:v>2.8008999999999991</c:v>
                </c:pt>
                <c:pt idx="8">
                  <c:v>2.7808000000000002</c:v>
                </c:pt>
                <c:pt idx="9">
                  <c:v>2.8357999999999981</c:v>
                </c:pt>
                <c:pt idx="10">
                  <c:v>2.826699999999998</c:v>
                </c:pt>
                <c:pt idx="11">
                  <c:v>2.826699999999998</c:v>
                </c:pt>
                <c:pt idx="12">
                  <c:v>2.8285</c:v>
                </c:pt>
                <c:pt idx="13">
                  <c:v>2.872799999999998</c:v>
                </c:pt>
                <c:pt idx="14">
                  <c:v>2.9098000000000002</c:v>
                </c:pt>
                <c:pt idx="15">
                  <c:v>2.9601999999999999</c:v>
                </c:pt>
                <c:pt idx="16">
                  <c:v>2.9752000000000001</c:v>
                </c:pt>
                <c:pt idx="17">
                  <c:v>2.9994999999999998</c:v>
                </c:pt>
                <c:pt idx="18">
                  <c:v>3.0259</c:v>
                </c:pt>
                <c:pt idx="19">
                  <c:v>2.9809000000000001</c:v>
                </c:pt>
                <c:pt idx="20">
                  <c:v>2.956799999999999</c:v>
                </c:pt>
                <c:pt idx="21">
                  <c:v>2.9531000000000001</c:v>
                </c:pt>
                <c:pt idx="22">
                  <c:v>2.9643999999999999</c:v>
                </c:pt>
                <c:pt idx="23">
                  <c:v>2.966299999999999</c:v>
                </c:pt>
                <c:pt idx="24">
                  <c:v>2.9458000000000002</c:v>
                </c:pt>
                <c:pt idx="25">
                  <c:v>2.9497</c:v>
                </c:pt>
                <c:pt idx="26">
                  <c:v>2.9497</c:v>
                </c:pt>
                <c:pt idx="27">
                  <c:v>2.976</c:v>
                </c:pt>
                <c:pt idx="28">
                  <c:v>3.0042</c:v>
                </c:pt>
                <c:pt idx="29">
                  <c:v>2.9622000000000002</c:v>
                </c:pt>
                <c:pt idx="30">
                  <c:v>2.9695</c:v>
                </c:pt>
                <c:pt idx="31">
                  <c:v>3.0024000000000002</c:v>
                </c:pt>
                <c:pt idx="32">
                  <c:v>3.072299999999998</c:v>
                </c:pt>
                <c:pt idx="33">
                  <c:v>3.0964</c:v>
                </c:pt>
                <c:pt idx="34">
                  <c:v>3.1112000000000002</c:v>
                </c:pt>
                <c:pt idx="35">
                  <c:v>3.0558999999999981</c:v>
                </c:pt>
                <c:pt idx="36">
                  <c:v>3.0596000000000001</c:v>
                </c:pt>
                <c:pt idx="37">
                  <c:v>3.059699999999999</c:v>
                </c:pt>
                <c:pt idx="38">
                  <c:v>2.9935</c:v>
                </c:pt>
                <c:pt idx="39">
                  <c:v>2.976999999999999</c:v>
                </c:pt>
                <c:pt idx="40">
                  <c:v>2.9312999999999998</c:v>
                </c:pt>
                <c:pt idx="41">
                  <c:v>2.9312999999999998</c:v>
                </c:pt>
                <c:pt idx="42">
                  <c:v>2.7810000000000001</c:v>
                </c:pt>
                <c:pt idx="43">
                  <c:v>2.8549999999999991</c:v>
                </c:pt>
                <c:pt idx="44">
                  <c:v>2.8586</c:v>
                </c:pt>
                <c:pt idx="45">
                  <c:v>2.9022000000000001</c:v>
                </c:pt>
                <c:pt idx="46">
                  <c:v>2.9424000000000001</c:v>
                </c:pt>
                <c:pt idx="47">
                  <c:v>2.9277000000000002</c:v>
                </c:pt>
                <c:pt idx="48">
                  <c:v>2.9716999999999998</c:v>
                </c:pt>
                <c:pt idx="49">
                  <c:v>2.9203999999999999</c:v>
                </c:pt>
                <c:pt idx="50">
                  <c:v>2.9460999999999991</c:v>
                </c:pt>
                <c:pt idx="51">
                  <c:v>2.9516</c:v>
                </c:pt>
                <c:pt idx="52">
                  <c:v>2.9607999999999999</c:v>
                </c:pt>
                <c:pt idx="53">
                  <c:v>2.966299999999999</c:v>
                </c:pt>
                <c:pt idx="54">
                  <c:v>2.9350999999999998</c:v>
                </c:pt>
                <c:pt idx="55">
                  <c:v>2.9205000000000001</c:v>
                </c:pt>
                <c:pt idx="56">
                  <c:v>2.9169</c:v>
                </c:pt>
                <c:pt idx="57">
                  <c:v>2.8967000000000001</c:v>
                </c:pt>
                <c:pt idx="58">
                  <c:v>2.9388999999999981</c:v>
                </c:pt>
                <c:pt idx="59">
                  <c:v>2.8967000000000001</c:v>
                </c:pt>
                <c:pt idx="60">
                  <c:v>2.894899999999998</c:v>
                </c:pt>
                <c:pt idx="61">
                  <c:v>2.8803000000000001</c:v>
                </c:pt>
                <c:pt idx="62">
                  <c:v>2.876599999999998</c:v>
                </c:pt>
                <c:pt idx="63">
                  <c:v>2.8256000000000001</c:v>
                </c:pt>
                <c:pt idx="64">
                  <c:v>2.8365</c:v>
                </c:pt>
                <c:pt idx="65">
                  <c:v>2.8601000000000001</c:v>
                </c:pt>
                <c:pt idx="66">
                  <c:v>2.8711000000000002</c:v>
                </c:pt>
                <c:pt idx="67">
                  <c:v>2.830899999999998</c:v>
                </c:pt>
                <c:pt idx="68">
                  <c:v>2.830899999999998</c:v>
                </c:pt>
                <c:pt idx="69">
                  <c:v>2.8290999999999991</c:v>
                </c:pt>
                <c:pt idx="70">
                  <c:v>2.8216999999999981</c:v>
                </c:pt>
                <c:pt idx="71">
                  <c:v>2.8563999999999981</c:v>
                </c:pt>
                <c:pt idx="72">
                  <c:v>2.8491</c:v>
                </c:pt>
                <c:pt idx="73">
                  <c:v>2.8491</c:v>
                </c:pt>
                <c:pt idx="74">
                  <c:v>2.8454000000000002</c:v>
                </c:pt>
                <c:pt idx="75">
                  <c:v>2.8271000000000002</c:v>
                </c:pt>
                <c:pt idx="76">
                  <c:v>2.8582000000000001</c:v>
                </c:pt>
                <c:pt idx="77">
                  <c:v>2.86</c:v>
                </c:pt>
                <c:pt idx="78">
                  <c:v>2.8692000000000002</c:v>
                </c:pt>
                <c:pt idx="79">
                  <c:v>2.8380000000000001</c:v>
                </c:pt>
                <c:pt idx="80">
                  <c:v>2.8931</c:v>
                </c:pt>
                <c:pt idx="81">
                  <c:v>2.9540999999999991</c:v>
                </c:pt>
                <c:pt idx="82">
                  <c:v>2.9485999999999999</c:v>
                </c:pt>
                <c:pt idx="83">
                  <c:v>2.9746000000000001</c:v>
                </c:pt>
                <c:pt idx="84">
                  <c:v>2.976399999999999</c:v>
                </c:pt>
                <c:pt idx="85">
                  <c:v>2.9542000000000002</c:v>
                </c:pt>
                <c:pt idx="86">
                  <c:v>2.972799999999999</c:v>
                </c:pt>
                <c:pt idx="87">
                  <c:v>2.9598</c:v>
                </c:pt>
                <c:pt idx="88">
                  <c:v>3.0064000000000002</c:v>
                </c:pt>
                <c:pt idx="89">
                  <c:v>2.9859</c:v>
                </c:pt>
                <c:pt idx="90">
                  <c:v>2.9487999999999999</c:v>
                </c:pt>
                <c:pt idx="91">
                  <c:v>2.939499999999998</c:v>
                </c:pt>
                <c:pt idx="92">
                  <c:v>2.972999999999999</c:v>
                </c:pt>
                <c:pt idx="93">
                  <c:v>2.96</c:v>
                </c:pt>
                <c:pt idx="94">
                  <c:v>2.9258000000000002</c:v>
                </c:pt>
                <c:pt idx="95">
                  <c:v>2.8732000000000002</c:v>
                </c:pt>
                <c:pt idx="96">
                  <c:v>2.8786</c:v>
                </c:pt>
                <c:pt idx="97">
                  <c:v>2.8984999999999981</c:v>
                </c:pt>
                <c:pt idx="98">
                  <c:v>2.8622999999999981</c:v>
                </c:pt>
                <c:pt idx="99">
                  <c:v>2.865899999999999</c:v>
                </c:pt>
                <c:pt idx="100">
                  <c:v>2.8605</c:v>
                </c:pt>
                <c:pt idx="101">
                  <c:v>2.8189999999999991</c:v>
                </c:pt>
                <c:pt idx="102">
                  <c:v>2.8298000000000001</c:v>
                </c:pt>
                <c:pt idx="103">
                  <c:v>2.8189000000000002</c:v>
                </c:pt>
                <c:pt idx="104">
                  <c:v>2.8260999999999981</c:v>
                </c:pt>
                <c:pt idx="105">
                  <c:v>2.8098000000000001</c:v>
                </c:pt>
                <c:pt idx="106">
                  <c:v>2.8458999999999981</c:v>
                </c:pt>
                <c:pt idx="107">
                  <c:v>2.8803999999999998</c:v>
                </c:pt>
                <c:pt idx="108">
                  <c:v>2.8839999999999999</c:v>
                </c:pt>
                <c:pt idx="109">
                  <c:v>2.8549999999999991</c:v>
                </c:pt>
                <c:pt idx="110">
                  <c:v>2.8603999999999998</c:v>
                </c:pt>
                <c:pt idx="111">
                  <c:v>2.8603999999999998</c:v>
                </c:pt>
                <c:pt idx="112">
                  <c:v>2.8984999999999981</c:v>
                </c:pt>
                <c:pt idx="113">
                  <c:v>2.9022000000000001</c:v>
                </c:pt>
                <c:pt idx="114">
                  <c:v>2.8731</c:v>
                </c:pt>
                <c:pt idx="115">
                  <c:v>2.9388000000000001</c:v>
                </c:pt>
                <c:pt idx="116">
                  <c:v>2.9314</c:v>
                </c:pt>
                <c:pt idx="117">
                  <c:v>2.9754999999999998</c:v>
                </c:pt>
                <c:pt idx="118">
                  <c:v>2.9626000000000001</c:v>
                </c:pt>
                <c:pt idx="119">
                  <c:v>2.97</c:v>
                </c:pt>
                <c:pt idx="120">
                  <c:v>2.995899999999998</c:v>
                </c:pt>
                <c:pt idx="121">
                  <c:v>2.986699999999999</c:v>
                </c:pt>
                <c:pt idx="122">
                  <c:v>3.055099999999999</c:v>
                </c:pt>
                <c:pt idx="123">
                  <c:v>3.0626000000000002</c:v>
                </c:pt>
                <c:pt idx="124">
                  <c:v>3.0626000000000002</c:v>
                </c:pt>
                <c:pt idx="125">
                  <c:v>3.0628000000000002</c:v>
                </c:pt>
                <c:pt idx="126">
                  <c:v>3.0889000000000002</c:v>
                </c:pt>
                <c:pt idx="127">
                  <c:v>3.0964</c:v>
                </c:pt>
                <c:pt idx="128">
                  <c:v>3.048</c:v>
                </c:pt>
                <c:pt idx="129">
                  <c:v>3.0518000000000001</c:v>
                </c:pt>
                <c:pt idx="130">
                  <c:v>3.0611999999999999</c:v>
                </c:pt>
                <c:pt idx="131">
                  <c:v>3.0836000000000001</c:v>
                </c:pt>
                <c:pt idx="132">
                  <c:v>3.0630999999999999</c:v>
                </c:pt>
                <c:pt idx="133">
                  <c:v>3.1812999999999998</c:v>
                </c:pt>
                <c:pt idx="134">
                  <c:v>3.1869999999999998</c:v>
                </c:pt>
                <c:pt idx="135">
                  <c:v>3.2328000000000001</c:v>
                </c:pt>
                <c:pt idx="136">
                  <c:v>3.2328000000000001</c:v>
                </c:pt>
                <c:pt idx="137">
                  <c:v>3.2063000000000001</c:v>
                </c:pt>
                <c:pt idx="138">
                  <c:v>3.1629</c:v>
                </c:pt>
                <c:pt idx="139">
                  <c:v>3.1497999999999999</c:v>
                </c:pt>
                <c:pt idx="140">
                  <c:v>3.1613000000000002</c:v>
                </c:pt>
                <c:pt idx="141">
                  <c:v>3.1556999999999991</c:v>
                </c:pt>
                <c:pt idx="142">
                  <c:v>3.1633</c:v>
                </c:pt>
                <c:pt idx="143">
                  <c:v>3.2050000000000001</c:v>
                </c:pt>
                <c:pt idx="144">
                  <c:v>3.1785999999999999</c:v>
                </c:pt>
                <c:pt idx="145">
                  <c:v>3.192099999999999</c:v>
                </c:pt>
                <c:pt idx="146">
                  <c:v>3.1978</c:v>
                </c:pt>
                <c:pt idx="147">
                  <c:v>3.1676000000000002</c:v>
                </c:pt>
                <c:pt idx="148">
                  <c:v>3.1034999999999999</c:v>
                </c:pt>
                <c:pt idx="149">
                  <c:v>3.116699999999998</c:v>
                </c:pt>
                <c:pt idx="150">
                  <c:v>3.075499999999999</c:v>
                </c:pt>
                <c:pt idx="151">
                  <c:v>3.0849000000000002</c:v>
                </c:pt>
                <c:pt idx="152">
                  <c:v>3.1227</c:v>
                </c:pt>
                <c:pt idx="153">
                  <c:v>3.1435</c:v>
                </c:pt>
                <c:pt idx="154">
                  <c:v>3.1303000000000001</c:v>
                </c:pt>
                <c:pt idx="155">
                  <c:v>3.2121</c:v>
                </c:pt>
                <c:pt idx="156">
                  <c:v>3.2008000000000001</c:v>
                </c:pt>
                <c:pt idx="157">
                  <c:v>3.2275999999999998</c:v>
                </c:pt>
                <c:pt idx="158">
                  <c:v>3.2355</c:v>
                </c:pt>
                <c:pt idx="159">
                  <c:v>3.2372999999999998</c:v>
                </c:pt>
                <c:pt idx="160">
                  <c:v>3.1819000000000002</c:v>
                </c:pt>
                <c:pt idx="161">
                  <c:v>3.1819000000000002</c:v>
                </c:pt>
                <c:pt idx="162">
                  <c:v>3.139699999999999</c:v>
                </c:pt>
                <c:pt idx="163">
                  <c:v>3.125</c:v>
                </c:pt>
                <c:pt idx="164">
                  <c:v>3.1103000000000001</c:v>
                </c:pt>
                <c:pt idx="165">
                  <c:v>3.0628000000000002</c:v>
                </c:pt>
                <c:pt idx="166">
                  <c:v>3.0628000000000002</c:v>
                </c:pt>
                <c:pt idx="167">
                  <c:v>3.0628000000000002</c:v>
                </c:pt>
                <c:pt idx="168">
                  <c:v>3.0627</c:v>
                </c:pt>
                <c:pt idx="169">
                  <c:v>3.0627</c:v>
                </c:pt>
                <c:pt idx="170">
                  <c:v>3.0390000000000001</c:v>
                </c:pt>
                <c:pt idx="171">
                  <c:v>3.0535000000000001</c:v>
                </c:pt>
                <c:pt idx="172">
                  <c:v>3.0571999999999999</c:v>
                </c:pt>
                <c:pt idx="173">
                  <c:v>3.0590000000000002</c:v>
                </c:pt>
                <c:pt idx="174">
                  <c:v>3.0297999999999998</c:v>
                </c:pt>
                <c:pt idx="175">
                  <c:v>2.9878999999999998</c:v>
                </c:pt>
                <c:pt idx="176">
                  <c:v>2.9697</c:v>
                </c:pt>
                <c:pt idx="177">
                  <c:v>2.9136000000000002</c:v>
                </c:pt>
                <c:pt idx="178">
                  <c:v>2.9136000000000002</c:v>
                </c:pt>
                <c:pt idx="179">
                  <c:v>2.8955000000000002</c:v>
                </c:pt>
                <c:pt idx="180">
                  <c:v>2.8450000000000002</c:v>
                </c:pt>
                <c:pt idx="181">
                  <c:v>2.857499999999999</c:v>
                </c:pt>
                <c:pt idx="182">
                  <c:v>2.879</c:v>
                </c:pt>
                <c:pt idx="183">
                  <c:v>2.9096000000000002</c:v>
                </c:pt>
                <c:pt idx="184">
                  <c:v>2.9131</c:v>
                </c:pt>
                <c:pt idx="185">
                  <c:v>2.8895</c:v>
                </c:pt>
                <c:pt idx="186">
                  <c:v>2.8570000000000002</c:v>
                </c:pt>
                <c:pt idx="187">
                  <c:v>2.817499999999999</c:v>
                </c:pt>
                <c:pt idx="188">
                  <c:v>2.7547999999999999</c:v>
                </c:pt>
                <c:pt idx="189">
                  <c:v>2.806499999999998</c:v>
                </c:pt>
                <c:pt idx="190">
                  <c:v>2.7902</c:v>
                </c:pt>
                <c:pt idx="191">
                  <c:v>2.7383000000000002</c:v>
                </c:pt>
                <c:pt idx="192">
                  <c:v>2.7383000000000002</c:v>
                </c:pt>
                <c:pt idx="193">
                  <c:v>2.8079000000000001</c:v>
                </c:pt>
                <c:pt idx="194">
                  <c:v>2.7665999999999999</c:v>
                </c:pt>
                <c:pt idx="195">
                  <c:v>2.7181999999999999</c:v>
                </c:pt>
                <c:pt idx="196">
                  <c:v>2.6842000000000001</c:v>
                </c:pt>
                <c:pt idx="197">
                  <c:v>2.6842000000000001</c:v>
                </c:pt>
                <c:pt idx="198">
                  <c:v>2.6204000000000001</c:v>
                </c:pt>
                <c:pt idx="199">
                  <c:v>2.5535000000000001</c:v>
                </c:pt>
                <c:pt idx="200">
                  <c:v>2.6677</c:v>
                </c:pt>
                <c:pt idx="201">
                  <c:v>2.6960000000000002</c:v>
                </c:pt>
                <c:pt idx="202">
                  <c:v>2.7280000000000002</c:v>
                </c:pt>
                <c:pt idx="203">
                  <c:v>2.71</c:v>
                </c:pt>
                <c:pt idx="204">
                  <c:v>2.7421000000000002</c:v>
                </c:pt>
                <c:pt idx="205">
                  <c:v>2.7006999999999999</c:v>
                </c:pt>
                <c:pt idx="206">
                  <c:v>2.7023999999999999</c:v>
                </c:pt>
                <c:pt idx="207">
                  <c:v>2.7111999999999998</c:v>
                </c:pt>
                <c:pt idx="208">
                  <c:v>2.7218</c:v>
                </c:pt>
                <c:pt idx="209">
                  <c:v>2.7504</c:v>
                </c:pt>
                <c:pt idx="210">
                  <c:v>2.7841999999999998</c:v>
                </c:pt>
                <c:pt idx="211">
                  <c:v>2.7841999999999998</c:v>
                </c:pt>
                <c:pt idx="212">
                  <c:v>2.7391999999999999</c:v>
                </c:pt>
                <c:pt idx="213">
                  <c:v>2.7408999999999999</c:v>
                </c:pt>
                <c:pt idx="214">
                  <c:v>2.7157</c:v>
                </c:pt>
                <c:pt idx="215">
                  <c:v>2.7585000000000002</c:v>
                </c:pt>
                <c:pt idx="216">
                  <c:v>2.7440000000000002</c:v>
                </c:pt>
                <c:pt idx="217">
                  <c:v>2.7098</c:v>
                </c:pt>
                <c:pt idx="218">
                  <c:v>2.6775000000000002</c:v>
                </c:pt>
                <c:pt idx="219">
                  <c:v>2.6293000000000002</c:v>
                </c:pt>
                <c:pt idx="220">
                  <c:v>2.6842000000000001</c:v>
                </c:pt>
                <c:pt idx="221">
                  <c:v>2.7235</c:v>
                </c:pt>
                <c:pt idx="222">
                  <c:v>2.6983000000000001</c:v>
                </c:pt>
                <c:pt idx="223">
                  <c:v>2.6945999999999999</c:v>
                </c:pt>
                <c:pt idx="224">
                  <c:v>2.6572</c:v>
                </c:pt>
                <c:pt idx="225">
                  <c:v>2.6339000000000001</c:v>
                </c:pt>
                <c:pt idx="226">
                  <c:v>2.6536</c:v>
                </c:pt>
                <c:pt idx="227">
                  <c:v>2.6877</c:v>
                </c:pt>
                <c:pt idx="228">
                  <c:v>2.7021000000000002</c:v>
                </c:pt>
                <c:pt idx="229">
                  <c:v>2.6536</c:v>
                </c:pt>
                <c:pt idx="230">
                  <c:v>2.6625999999999999</c:v>
                </c:pt>
                <c:pt idx="231">
                  <c:v>2.6625999999999999</c:v>
                </c:pt>
                <c:pt idx="232">
                  <c:v>2.6339000000000001</c:v>
                </c:pt>
                <c:pt idx="233">
                  <c:v>2.6447000000000012</c:v>
                </c:pt>
                <c:pt idx="234">
                  <c:v>2.6913999999999998</c:v>
                </c:pt>
                <c:pt idx="235">
                  <c:v>2.6518000000000002</c:v>
                </c:pt>
                <c:pt idx="236">
                  <c:v>2.6625999999999999</c:v>
                </c:pt>
                <c:pt idx="237">
                  <c:v>2.635699999999999</c:v>
                </c:pt>
                <c:pt idx="238">
                  <c:v>2.6825000000000001</c:v>
                </c:pt>
                <c:pt idx="239">
                  <c:v>2.7149999999999999</c:v>
                </c:pt>
              </c:numCache>
            </c:numRef>
          </c:val>
          <c:smooth val="0"/>
        </c:ser>
        <c:ser>
          <c:idx val="3"/>
          <c:order val="3"/>
          <c:tx>
            <c:strRef>
              <c:f>'10 Year Bond Yield'!$E$1</c:f>
              <c:strCache>
                <c:ptCount val="1"/>
                <c:pt idx="0">
                  <c:v>UK</c:v>
                </c:pt>
              </c:strCache>
            </c:strRef>
          </c:tx>
          <c:spPr>
            <a:ln w="28575" cap="rnd">
              <a:solidFill>
                <a:schemeClr val="accent4"/>
              </a:solidFill>
              <a:round/>
            </a:ln>
            <a:effectLst/>
          </c:spPr>
          <c:marker>
            <c:symbol val="none"/>
          </c:marker>
          <c:cat>
            <c:numRef>
              <c:f>'10 Year Bond Yield'!$A$1891:$A$2130</c:f>
              <c:numCache>
                <c:formatCode>[$-409]mmm\-yy;@</c:formatCode>
                <c:ptCount val="240"/>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numCache>
            </c:numRef>
          </c:cat>
          <c:val>
            <c:numRef>
              <c:f>'10 Year Bond Yield'!$E$1891:$E$2130</c:f>
              <c:numCache>
                <c:formatCode>0.00</c:formatCode>
                <c:ptCount val="240"/>
                <c:pt idx="0">
                  <c:v>1.35</c:v>
                </c:pt>
                <c:pt idx="1">
                  <c:v>1.35</c:v>
                </c:pt>
                <c:pt idx="2">
                  <c:v>1.359</c:v>
                </c:pt>
                <c:pt idx="3">
                  <c:v>1.3680000000000001</c:v>
                </c:pt>
                <c:pt idx="4">
                  <c:v>1.417999999999999</c:v>
                </c:pt>
                <c:pt idx="5">
                  <c:v>1.3959999999999999</c:v>
                </c:pt>
                <c:pt idx="6">
                  <c:v>1.407</c:v>
                </c:pt>
                <c:pt idx="7">
                  <c:v>1.407</c:v>
                </c:pt>
                <c:pt idx="8">
                  <c:v>1.389</c:v>
                </c:pt>
                <c:pt idx="9">
                  <c:v>1.456</c:v>
                </c:pt>
                <c:pt idx="10">
                  <c:v>1.4350000000000001</c:v>
                </c:pt>
                <c:pt idx="11">
                  <c:v>1.4630000000000001</c:v>
                </c:pt>
                <c:pt idx="12">
                  <c:v>1.4359999999999991</c:v>
                </c:pt>
                <c:pt idx="13">
                  <c:v>1.413999999999999</c:v>
                </c:pt>
                <c:pt idx="14">
                  <c:v>1.52</c:v>
                </c:pt>
                <c:pt idx="15">
                  <c:v>1.4790000000000001</c:v>
                </c:pt>
                <c:pt idx="16">
                  <c:v>1.5389999999999999</c:v>
                </c:pt>
                <c:pt idx="17">
                  <c:v>1.5389999999999999</c:v>
                </c:pt>
                <c:pt idx="18">
                  <c:v>1.5389999999999999</c:v>
                </c:pt>
                <c:pt idx="19">
                  <c:v>1.504</c:v>
                </c:pt>
                <c:pt idx="20">
                  <c:v>1.4450000000000001</c:v>
                </c:pt>
                <c:pt idx="21">
                  <c:v>1.417999999999999</c:v>
                </c:pt>
                <c:pt idx="22">
                  <c:v>1.405</c:v>
                </c:pt>
                <c:pt idx="23">
                  <c:v>1.4570000000000001</c:v>
                </c:pt>
                <c:pt idx="24">
                  <c:v>1.39</c:v>
                </c:pt>
                <c:pt idx="25">
                  <c:v>1.4</c:v>
                </c:pt>
                <c:pt idx="26">
                  <c:v>1.4</c:v>
                </c:pt>
                <c:pt idx="27">
                  <c:v>1.444</c:v>
                </c:pt>
                <c:pt idx="28">
                  <c:v>1.4570000000000001</c:v>
                </c:pt>
                <c:pt idx="29">
                  <c:v>1.43</c:v>
                </c:pt>
                <c:pt idx="30">
                  <c:v>1.4430000000000001</c:v>
                </c:pt>
                <c:pt idx="31">
                  <c:v>1.4710000000000001</c:v>
                </c:pt>
                <c:pt idx="32">
                  <c:v>1.5169999999999999</c:v>
                </c:pt>
                <c:pt idx="33">
                  <c:v>1.5029999999999999</c:v>
                </c:pt>
                <c:pt idx="34">
                  <c:v>1.5629999999999999</c:v>
                </c:pt>
                <c:pt idx="35">
                  <c:v>1.5</c:v>
                </c:pt>
                <c:pt idx="36">
                  <c:v>1.476</c:v>
                </c:pt>
                <c:pt idx="37">
                  <c:v>1.5229999999999999</c:v>
                </c:pt>
                <c:pt idx="38">
                  <c:v>1.4390000000000001</c:v>
                </c:pt>
                <c:pt idx="39">
                  <c:v>1.401</c:v>
                </c:pt>
                <c:pt idx="40">
                  <c:v>1.321</c:v>
                </c:pt>
                <c:pt idx="41">
                  <c:v>1.321</c:v>
                </c:pt>
                <c:pt idx="42">
                  <c:v>1.1970000000000001</c:v>
                </c:pt>
                <c:pt idx="43">
                  <c:v>1.2569999999999999</c:v>
                </c:pt>
                <c:pt idx="44">
                  <c:v>1.23</c:v>
                </c:pt>
                <c:pt idx="45">
                  <c:v>1.278</c:v>
                </c:pt>
                <c:pt idx="46">
                  <c:v>1.2969999999999999</c:v>
                </c:pt>
                <c:pt idx="47">
                  <c:v>1.2829999999999999</c:v>
                </c:pt>
                <c:pt idx="48">
                  <c:v>1.3740000000000001</c:v>
                </c:pt>
                <c:pt idx="49">
                  <c:v>1.4</c:v>
                </c:pt>
                <c:pt idx="50">
                  <c:v>1.3879999999999999</c:v>
                </c:pt>
                <c:pt idx="51">
                  <c:v>1.407</c:v>
                </c:pt>
                <c:pt idx="52">
                  <c:v>1.401</c:v>
                </c:pt>
                <c:pt idx="53">
                  <c:v>1.369</c:v>
                </c:pt>
                <c:pt idx="54">
                  <c:v>1.3340000000000001</c:v>
                </c:pt>
                <c:pt idx="55">
                  <c:v>1.3280000000000001</c:v>
                </c:pt>
                <c:pt idx="56">
                  <c:v>1.3240000000000001</c:v>
                </c:pt>
                <c:pt idx="57">
                  <c:v>1.2829999999999999</c:v>
                </c:pt>
                <c:pt idx="58">
                  <c:v>1.2969999999999999</c:v>
                </c:pt>
                <c:pt idx="59">
                  <c:v>1.2769999999999999</c:v>
                </c:pt>
                <c:pt idx="60">
                  <c:v>1.319</c:v>
                </c:pt>
                <c:pt idx="61">
                  <c:v>1.294</c:v>
                </c:pt>
                <c:pt idx="62">
                  <c:v>1.3029999999999999</c:v>
                </c:pt>
                <c:pt idx="63">
                  <c:v>1.2450000000000001</c:v>
                </c:pt>
                <c:pt idx="64">
                  <c:v>1.2629999999999999</c:v>
                </c:pt>
                <c:pt idx="65">
                  <c:v>1.278</c:v>
                </c:pt>
                <c:pt idx="66">
                  <c:v>1.2549999999999999</c:v>
                </c:pt>
                <c:pt idx="67">
                  <c:v>1.2430000000000001</c:v>
                </c:pt>
                <c:pt idx="68">
                  <c:v>1.2769999999999999</c:v>
                </c:pt>
                <c:pt idx="69">
                  <c:v>1.258</c:v>
                </c:pt>
                <c:pt idx="70">
                  <c:v>1.2669999999999999</c:v>
                </c:pt>
                <c:pt idx="71">
                  <c:v>1.252</c:v>
                </c:pt>
                <c:pt idx="72">
                  <c:v>1.302</c:v>
                </c:pt>
                <c:pt idx="73">
                  <c:v>1.294</c:v>
                </c:pt>
                <c:pt idx="74">
                  <c:v>1.282</c:v>
                </c:pt>
                <c:pt idx="75">
                  <c:v>1.2729999999999999</c:v>
                </c:pt>
                <c:pt idx="76">
                  <c:v>1.28</c:v>
                </c:pt>
                <c:pt idx="77">
                  <c:v>1.258</c:v>
                </c:pt>
                <c:pt idx="78">
                  <c:v>1.226</c:v>
                </c:pt>
                <c:pt idx="79">
                  <c:v>1.1850000000000001</c:v>
                </c:pt>
                <c:pt idx="80">
                  <c:v>1.232</c:v>
                </c:pt>
                <c:pt idx="81">
                  <c:v>1.272</c:v>
                </c:pt>
                <c:pt idx="82">
                  <c:v>1.276</c:v>
                </c:pt>
                <c:pt idx="83">
                  <c:v>1.274</c:v>
                </c:pt>
                <c:pt idx="84">
                  <c:v>1.278</c:v>
                </c:pt>
                <c:pt idx="85">
                  <c:v>1.28</c:v>
                </c:pt>
                <c:pt idx="86">
                  <c:v>1.343</c:v>
                </c:pt>
                <c:pt idx="87">
                  <c:v>1.33</c:v>
                </c:pt>
                <c:pt idx="88">
                  <c:v>1.38</c:v>
                </c:pt>
                <c:pt idx="89">
                  <c:v>1.377</c:v>
                </c:pt>
                <c:pt idx="90">
                  <c:v>1.329</c:v>
                </c:pt>
                <c:pt idx="91">
                  <c:v>1.304</c:v>
                </c:pt>
                <c:pt idx="92">
                  <c:v>1.325</c:v>
                </c:pt>
                <c:pt idx="93">
                  <c:v>1.3129999999999999</c:v>
                </c:pt>
                <c:pt idx="94">
                  <c:v>1.296</c:v>
                </c:pt>
                <c:pt idx="95">
                  <c:v>1.242</c:v>
                </c:pt>
                <c:pt idx="96">
                  <c:v>1.252</c:v>
                </c:pt>
                <c:pt idx="97">
                  <c:v>1.2629999999999999</c:v>
                </c:pt>
                <c:pt idx="98">
                  <c:v>1.2250000000000001</c:v>
                </c:pt>
                <c:pt idx="99">
                  <c:v>1.24</c:v>
                </c:pt>
                <c:pt idx="100">
                  <c:v>1.236</c:v>
                </c:pt>
                <c:pt idx="101">
                  <c:v>1.2230000000000001</c:v>
                </c:pt>
                <c:pt idx="102">
                  <c:v>1.2669999999999999</c:v>
                </c:pt>
                <c:pt idx="103">
                  <c:v>1.272</c:v>
                </c:pt>
                <c:pt idx="104">
                  <c:v>1.27</c:v>
                </c:pt>
                <c:pt idx="105">
                  <c:v>1.278</c:v>
                </c:pt>
                <c:pt idx="106">
                  <c:v>1.278</c:v>
                </c:pt>
                <c:pt idx="107">
                  <c:v>1.452</c:v>
                </c:pt>
                <c:pt idx="108">
                  <c:v>1.4890000000000001</c:v>
                </c:pt>
                <c:pt idx="109">
                  <c:v>1.4550000000000001</c:v>
                </c:pt>
                <c:pt idx="110">
                  <c:v>1.427</c:v>
                </c:pt>
                <c:pt idx="111">
                  <c:v>1.403999999999999</c:v>
                </c:pt>
                <c:pt idx="112">
                  <c:v>1.429</c:v>
                </c:pt>
                <c:pt idx="113">
                  <c:v>1.4419999999999991</c:v>
                </c:pt>
                <c:pt idx="114">
                  <c:v>1.415999999999999</c:v>
                </c:pt>
                <c:pt idx="115">
                  <c:v>1.4590000000000001</c:v>
                </c:pt>
                <c:pt idx="116">
                  <c:v>1.4690000000000001</c:v>
                </c:pt>
                <c:pt idx="117">
                  <c:v>1.5</c:v>
                </c:pt>
                <c:pt idx="118">
                  <c:v>1.484</c:v>
                </c:pt>
                <c:pt idx="119">
                  <c:v>1.504</c:v>
                </c:pt>
                <c:pt idx="120">
                  <c:v>1.53</c:v>
                </c:pt>
                <c:pt idx="121">
                  <c:v>1.536</c:v>
                </c:pt>
                <c:pt idx="122">
                  <c:v>1.5680000000000001</c:v>
                </c:pt>
                <c:pt idx="123">
                  <c:v>1.6080000000000001</c:v>
                </c:pt>
                <c:pt idx="124">
                  <c:v>1.585</c:v>
                </c:pt>
                <c:pt idx="125">
                  <c:v>1.5529999999999999</c:v>
                </c:pt>
                <c:pt idx="126">
                  <c:v>1.613</c:v>
                </c:pt>
                <c:pt idx="127">
                  <c:v>1.6319999999999999</c:v>
                </c:pt>
                <c:pt idx="128">
                  <c:v>1.593</c:v>
                </c:pt>
                <c:pt idx="129">
                  <c:v>1.5980000000000001</c:v>
                </c:pt>
                <c:pt idx="130">
                  <c:v>1.573</c:v>
                </c:pt>
                <c:pt idx="131">
                  <c:v>1.5880000000000001</c:v>
                </c:pt>
                <c:pt idx="132">
                  <c:v>1.528</c:v>
                </c:pt>
                <c:pt idx="133">
                  <c:v>1.575</c:v>
                </c:pt>
                <c:pt idx="134">
                  <c:v>1.669</c:v>
                </c:pt>
                <c:pt idx="135">
                  <c:v>1.722</c:v>
                </c:pt>
                <c:pt idx="136">
                  <c:v>1.6739999999999999</c:v>
                </c:pt>
                <c:pt idx="137">
                  <c:v>1.716</c:v>
                </c:pt>
                <c:pt idx="138">
                  <c:v>1.728</c:v>
                </c:pt>
                <c:pt idx="139">
                  <c:v>1.6739999999999999</c:v>
                </c:pt>
                <c:pt idx="140">
                  <c:v>1.633</c:v>
                </c:pt>
                <c:pt idx="141">
                  <c:v>1.61</c:v>
                </c:pt>
                <c:pt idx="142">
                  <c:v>1.609</c:v>
                </c:pt>
                <c:pt idx="143">
                  <c:v>1.575</c:v>
                </c:pt>
                <c:pt idx="144">
                  <c:v>1.538</c:v>
                </c:pt>
                <c:pt idx="145">
                  <c:v>1.5760000000000001</c:v>
                </c:pt>
                <c:pt idx="146">
                  <c:v>1.5269999999999999</c:v>
                </c:pt>
                <c:pt idx="147">
                  <c:v>1.4690000000000001</c:v>
                </c:pt>
                <c:pt idx="148">
                  <c:v>1.4570000000000001</c:v>
                </c:pt>
                <c:pt idx="149">
                  <c:v>1.4410000000000001</c:v>
                </c:pt>
                <c:pt idx="150">
                  <c:v>1.383</c:v>
                </c:pt>
                <c:pt idx="151">
                  <c:v>1.399</c:v>
                </c:pt>
                <c:pt idx="152">
                  <c:v>1.399</c:v>
                </c:pt>
                <c:pt idx="153">
                  <c:v>1.4370000000000001</c:v>
                </c:pt>
                <c:pt idx="154">
                  <c:v>1.4550000000000001</c:v>
                </c:pt>
                <c:pt idx="155">
                  <c:v>1.494</c:v>
                </c:pt>
                <c:pt idx="156">
                  <c:v>1.5009999999999999</c:v>
                </c:pt>
                <c:pt idx="157">
                  <c:v>1.5389999999999999</c:v>
                </c:pt>
                <c:pt idx="158">
                  <c:v>1.5329999999999999</c:v>
                </c:pt>
                <c:pt idx="159">
                  <c:v>1.5649999999999999</c:v>
                </c:pt>
                <c:pt idx="160">
                  <c:v>1.4910000000000001</c:v>
                </c:pt>
                <c:pt idx="161">
                  <c:v>1.452</c:v>
                </c:pt>
                <c:pt idx="162">
                  <c:v>1.5209999999999999</c:v>
                </c:pt>
                <c:pt idx="163">
                  <c:v>1.506</c:v>
                </c:pt>
                <c:pt idx="164">
                  <c:v>1.373</c:v>
                </c:pt>
                <c:pt idx="165">
                  <c:v>1.411999999999999</c:v>
                </c:pt>
                <c:pt idx="166">
                  <c:v>1.3779999999999999</c:v>
                </c:pt>
                <c:pt idx="167">
                  <c:v>1.383</c:v>
                </c:pt>
                <c:pt idx="168">
                  <c:v>1.3959999999999999</c:v>
                </c:pt>
                <c:pt idx="169">
                  <c:v>1.427999999999999</c:v>
                </c:pt>
                <c:pt idx="170">
                  <c:v>1.381</c:v>
                </c:pt>
                <c:pt idx="171">
                  <c:v>1.41</c:v>
                </c:pt>
                <c:pt idx="172">
                  <c:v>1.3919999999999999</c:v>
                </c:pt>
                <c:pt idx="173">
                  <c:v>1.377</c:v>
                </c:pt>
                <c:pt idx="174">
                  <c:v>1.367</c:v>
                </c:pt>
                <c:pt idx="175">
                  <c:v>1.3640000000000001</c:v>
                </c:pt>
                <c:pt idx="176">
                  <c:v>1.3129999999999999</c:v>
                </c:pt>
                <c:pt idx="177">
                  <c:v>1.2809999999999999</c:v>
                </c:pt>
                <c:pt idx="178">
                  <c:v>1.3149999999999999</c:v>
                </c:pt>
                <c:pt idx="179">
                  <c:v>1.246</c:v>
                </c:pt>
                <c:pt idx="180">
                  <c:v>1.2649999999999999</c:v>
                </c:pt>
                <c:pt idx="181">
                  <c:v>1.1990000000000001</c:v>
                </c:pt>
                <c:pt idx="182">
                  <c:v>1.1879999999999999</c:v>
                </c:pt>
                <c:pt idx="183">
                  <c:v>1.2789999999999999</c:v>
                </c:pt>
                <c:pt idx="184">
                  <c:v>1.2889999999999999</c:v>
                </c:pt>
                <c:pt idx="185">
                  <c:v>1.24</c:v>
                </c:pt>
                <c:pt idx="186">
                  <c:v>1.266</c:v>
                </c:pt>
                <c:pt idx="187">
                  <c:v>1.28</c:v>
                </c:pt>
                <c:pt idx="188">
                  <c:v>1.274</c:v>
                </c:pt>
                <c:pt idx="189">
                  <c:v>1.266</c:v>
                </c:pt>
                <c:pt idx="190">
                  <c:v>1.321</c:v>
                </c:pt>
                <c:pt idx="191">
                  <c:v>1.2629999999999999</c:v>
                </c:pt>
                <c:pt idx="192">
                  <c:v>1.2629999999999999</c:v>
                </c:pt>
                <c:pt idx="193">
                  <c:v>1.2629999999999999</c:v>
                </c:pt>
                <c:pt idx="194">
                  <c:v>1.3089999999999999</c:v>
                </c:pt>
                <c:pt idx="195">
                  <c:v>1.2689999999999999</c:v>
                </c:pt>
                <c:pt idx="196">
                  <c:v>1.2769999999999999</c:v>
                </c:pt>
                <c:pt idx="197">
                  <c:v>1.2769999999999999</c:v>
                </c:pt>
                <c:pt idx="198">
                  <c:v>1.2090000000000001</c:v>
                </c:pt>
                <c:pt idx="199">
                  <c:v>1.194</c:v>
                </c:pt>
                <c:pt idx="200">
                  <c:v>1.276</c:v>
                </c:pt>
                <c:pt idx="201">
                  <c:v>1.254</c:v>
                </c:pt>
                <c:pt idx="202">
                  <c:v>1.274</c:v>
                </c:pt>
                <c:pt idx="203">
                  <c:v>1.2609999999999999</c:v>
                </c:pt>
                <c:pt idx="204">
                  <c:v>1.274</c:v>
                </c:pt>
                <c:pt idx="205">
                  <c:v>1.29</c:v>
                </c:pt>
                <c:pt idx="206">
                  <c:v>1.2969999999999999</c:v>
                </c:pt>
                <c:pt idx="207">
                  <c:v>1.258</c:v>
                </c:pt>
                <c:pt idx="208">
                  <c:v>1.3109999999999999</c:v>
                </c:pt>
                <c:pt idx="209">
                  <c:v>1.337</c:v>
                </c:pt>
                <c:pt idx="210">
                  <c:v>1.353</c:v>
                </c:pt>
                <c:pt idx="211">
                  <c:v>1.323</c:v>
                </c:pt>
                <c:pt idx="212">
                  <c:v>1.323</c:v>
                </c:pt>
                <c:pt idx="213">
                  <c:v>1.3260000000000001</c:v>
                </c:pt>
                <c:pt idx="214">
                  <c:v>1.2649999999999999</c:v>
                </c:pt>
                <c:pt idx="215">
                  <c:v>1.3049999999999999</c:v>
                </c:pt>
                <c:pt idx="216">
                  <c:v>1.2649999999999999</c:v>
                </c:pt>
                <c:pt idx="217">
                  <c:v>1.2689999999999999</c:v>
                </c:pt>
                <c:pt idx="218">
                  <c:v>1.2549999999999999</c:v>
                </c:pt>
                <c:pt idx="219">
                  <c:v>1.2190000000000001</c:v>
                </c:pt>
                <c:pt idx="220">
                  <c:v>1.248</c:v>
                </c:pt>
                <c:pt idx="221">
                  <c:v>1.2769999999999999</c:v>
                </c:pt>
                <c:pt idx="222">
                  <c:v>1.232</c:v>
                </c:pt>
                <c:pt idx="223">
                  <c:v>1.216</c:v>
                </c:pt>
                <c:pt idx="224">
                  <c:v>1.177</c:v>
                </c:pt>
                <c:pt idx="225">
                  <c:v>1.151</c:v>
                </c:pt>
                <c:pt idx="226">
                  <c:v>1.18</c:v>
                </c:pt>
                <c:pt idx="227">
                  <c:v>1.1850000000000001</c:v>
                </c:pt>
                <c:pt idx="228">
                  <c:v>1.1819999999999999</c:v>
                </c:pt>
                <c:pt idx="229">
                  <c:v>1.1499999999999999</c:v>
                </c:pt>
                <c:pt idx="230">
                  <c:v>1.1599999999999999</c:v>
                </c:pt>
                <c:pt idx="231">
                  <c:v>1.1659999999999999</c:v>
                </c:pt>
                <c:pt idx="232">
                  <c:v>1.169</c:v>
                </c:pt>
                <c:pt idx="233">
                  <c:v>1.181</c:v>
                </c:pt>
                <c:pt idx="234">
                  <c:v>1.202</c:v>
                </c:pt>
                <c:pt idx="235">
                  <c:v>1.1579999999999999</c:v>
                </c:pt>
                <c:pt idx="236">
                  <c:v>1.1759999999999999</c:v>
                </c:pt>
                <c:pt idx="237">
                  <c:v>1.206</c:v>
                </c:pt>
                <c:pt idx="238">
                  <c:v>1.274</c:v>
                </c:pt>
                <c:pt idx="239">
                  <c:v>1.302</c:v>
                </c:pt>
              </c:numCache>
            </c:numRef>
          </c:val>
          <c:smooth val="0"/>
        </c:ser>
        <c:ser>
          <c:idx val="4"/>
          <c:order val="4"/>
          <c:tx>
            <c:strRef>
              <c:f>'10 Year Bond Yield'!$F$1</c:f>
              <c:strCache>
                <c:ptCount val="1"/>
                <c:pt idx="0">
                  <c:v>Japan</c:v>
                </c:pt>
              </c:strCache>
            </c:strRef>
          </c:tx>
          <c:spPr>
            <a:ln w="28575" cap="rnd">
              <a:solidFill>
                <a:schemeClr val="accent5"/>
              </a:solidFill>
              <a:round/>
            </a:ln>
            <a:effectLst/>
          </c:spPr>
          <c:marker>
            <c:symbol val="none"/>
          </c:marker>
          <c:cat>
            <c:numRef>
              <c:f>'10 Year Bond Yield'!$A$1891:$A$2130</c:f>
              <c:numCache>
                <c:formatCode>[$-409]mmm\-yy;@</c:formatCode>
                <c:ptCount val="240"/>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numCache>
            </c:numRef>
          </c:cat>
          <c:val>
            <c:numRef>
              <c:f>'10 Year Bond Yield'!$F$1891:$F$2130</c:f>
              <c:numCache>
                <c:formatCode>0.00</c:formatCode>
                <c:ptCount val="240"/>
                <c:pt idx="0">
                  <c:v>0.03</c:v>
                </c:pt>
                <c:pt idx="1">
                  <c:v>3.3000000000000002E-2</c:v>
                </c:pt>
                <c:pt idx="2">
                  <c:v>4.5999999999999999E-2</c:v>
                </c:pt>
                <c:pt idx="3">
                  <c:v>4.5999999999999999E-2</c:v>
                </c:pt>
                <c:pt idx="4">
                  <c:v>0.04</c:v>
                </c:pt>
                <c:pt idx="5">
                  <c:v>3.5999999999999997E-2</c:v>
                </c:pt>
                <c:pt idx="6">
                  <c:v>3.5000000000000003E-2</c:v>
                </c:pt>
                <c:pt idx="7">
                  <c:v>3.6999999999999998E-2</c:v>
                </c:pt>
                <c:pt idx="8">
                  <c:v>3.7999999999999999E-2</c:v>
                </c:pt>
                <c:pt idx="9">
                  <c:v>4.7E-2</c:v>
                </c:pt>
                <c:pt idx="10">
                  <c:v>4.4999999999999998E-2</c:v>
                </c:pt>
                <c:pt idx="11">
                  <c:v>3.7999999999999999E-2</c:v>
                </c:pt>
                <c:pt idx="12">
                  <c:v>4.2999999999999997E-2</c:v>
                </c:pt>
                <c:pt idx="13">
                  <c:v>0.06</c:v>
                </c:pt>
                <c:pt idx="14">
                  <c:v>6.7000000000000004E-2</c:v>
                </c:pt>
                <c:pt idx="15">
                  <c:v>5.8000000000000003E-2</c:v>
                </c:pt>
                <c:pt idx="16">
                  <c:v>6.7000000000000004E-2</c:v>
                </c:pt>
                <c:pt idx="17">
                  <c:v>0.06</c:v>
                </c:pt>
                <c:pt idx="18">
                  <c:v>5.5E-2</c:v>
                </c:pt>
                <c:pt idx="19">
                  <c:v>5.5E-2</c:v>
                </c:pt>
                <c:pt idx="20">
                  <c:v>4.2999999999999997E-2</c:v>
                </c:pt>
                <c:pt idx="21">
                  <c:v>4.4999999999999998E-2</c:v>
                </c:pt>
                <c:pt idx="22">
                  <c:v>4.4999999999999998E-2</c:v>
                </c:pt>
                <c:pt idx="23">
                  <c:v>4.4999999999999998E-2</c:v>
                </c:pt>
                <c:pt idx="24">
                  <c:v>4.4999999999999998E-2</c:v>
                </c:pt>
                <c:pt idx="25">
                  <c:v>5.2999999999999999E-2</c:v>
                </c:pt>
                <c:pt idx="26">
                  <c:v>5.3999999999999999E-2</c:v>
                </c:pt>
                <c:pt idx="27">
                  <c:v>5.2999999999999999E-2</c:v>
                </c:pt>
                <c:pt idx="28">
                  <c:v>4.7E-2</c:v>
                </c:pt>
                <c:pt idx="29">
                  <c:v>5.2999999999999999E-2</c:v>
                </c:pt>
                <c:pt idx="30">
                  <c:v>0.06</c:v>
                </c:pt>
                <c:pt idx="31">
                  <c:v>5.7000000000000002E-2</c:v>
                </c:pt>
                <c:pt idx="32">
                  <c:v>6.3E-2</c:v>
                </c:pt>
                <c:pt idx="33">
                  <c:v>6.0999999999999999E-2</c:v>
                </c:pt>
                <c:pt idx="34">
                  <c:v>5.8999999999999997E-2</c:v>
                </c:pt>
                <c:pt idx="35">
                  <c:v>5.5E-2</c:v>
                </c:pt>
                <c:pt idx="36">
                  <c:v>4.5999999999999999E-2</c:v>
                </c:pt>
                <c:pt idx="37">
                  <c:v>4.9000000000000002E-2</c:v>
                </c:pt>
                <c:pt idx="38">
                  <c:v>4.1000000000000002E-2</c:v>
                </c:pt>
                <c:pt idx="39">
                  <c:v>4.2999999999999997E-2</c:v>
                </c:pt>
                <c:pt idx="40">
                  <c:v>3.4000000000000002E-2</c:v>
                </c:pt>
                <c:pt idx="41">
                  <c:v>3.5000000000000003E-2</c:v>
                </c:pt>
                <c:pt idx="42">
                  <c:v>0.04</c:v>
                </c:pt>
                <c:pt idx="43">
                  <c:v>4.8000000000000001E-2</c:v>
                </c:pt>
                <c:pt idx="44">
                  <c:v>5.0999999999999997E-2</c:v>
                </c:pt>
                <c:pt idx="45">
                  <c:v>4.8000000000000001E-2</c:v>
                </c:pt>
                <c:pt idx="46">
                  <c:v>5.0999999999999997E-2</c:v>
                </c:pt>
                <c:pt idx="47">
                  <c:v>5.3999999999999999E-2</c:v>
                </c:pt>
                <c:pt idx="48">
                  <c:v>5.5E-2</c:v>
                </c:pt>
                <c:pt idx="49">
                  <c:v>5.5E-2</c:v>
                </c:pt>
                <c:pt idx="50">
                  <c:v>4.7E-2</c:v>
                </c:pt>
                <c:pt idx="51">
                  <c:v>4.9000000000000002E-2</c:v>
                </c:pt>
                <c:pt idx="52">
                  <c:v>5.3999999999999999E-2</c:v>
                </c:pt>
                <c:pt idx="53">
                  <c:v>5.3999999999999999E-2</c:v>
                </c:pt>
                <c:pt idx="54">
                  <c:v>4.2999999999999997E-2</c:v>
                </c:pt>
                <c:pt idx="55">
                  <c:v>3.7999999999999999E-2</c:v>
                </c:pt>
                <c:pt idx="56">
                  <c:v>0.04</c:v>
                </c:pt>
                <c:pt idx="57">
                  <c:v>3.4000000000000002E-2</c:v>
                </c:pt>
                <c:pt idx="58">
                  <c:v>3.9E-2</c:v>
                </c:pt>
                <c:pt idx="59">
                  <c:v>0.04</c:v>
                </c:pt>
                <c:pt idx="60">
                  <c:v>3.5000000000000003E-2</c:v>
                </c:pt>
                <c:pt idx="61">
                  <c:v>3.5000000000000003E-2</c:v>
                </c:pt>
                <c:pt idx="62">
                  <c:v>3.7999999999999999E-2</c:v>
                </c:pt>
                <c:pt idx="63">
                  <c:v>3.9E-2</c:v>
                </c:pt>
                <c:pt idx="64">
                  <c:v>3.5999999999999997E-2</c:v>
                </c:pt>
                <c:pt idx="65">
                  <c:v>3.5999999999999997E-2</c:v>
                </c:pt>
                <c:pt idx="66">
                  <c:v>2.5000000000000001E-2</c:v>
                </c:pt>
                <c:pt idx="67">
                  <c:v>3.3000000000000002E-2</c:v>
                </c:pt>
                <c:pt idx="68">
                  <c:v>2.9000000000000001E-2</c:v>
                </c:pt>
                <c:pt idx="69">
                  <c:v>3.7999999999999999E-2</c:v>
                </c:pt>
                <c:pt idx="70">
                  <c:v>3.3000000000000002E-2</c:v>
                </c:pt>
                <c:pt idx="71">
                  <c:v>0.04</c:v>
                </c:pt>
                <c:pt idx="72">
                  <c:v>4.4999999999999998E-2</c:v>
                </c:pt>
                <c:pt idx="73">
                  <c:v>4.2999999999999997E-2</c:v>
                </c:pt>
                <c:pt idx="74">
                  <c:v>0.04</c:v>
                </c:pt>
                <c:pt idx="75">
                  <c:v>0.04</c:v>
                </c:pt>
                <c:pt idx="76">
                  <c:v>0.04</c:v>
                </c:pt>
                <c:pt idx="77">
                  <c:v>4.2999999999999997E-2</c:v>
                </c:pt>
                <c:pt idx="78">
                  <c:v>4.4999999999999998E-2</c:v>
                </c:pt>
                <c:pt idx="79">
                  <c:v>4.2000000000000003E-2</c:v>
                </c:pt>
                <c:pt idx="80">
                  <c:v>3.5000000000000003E-2</c:v>
                </c:pt>
                <c:pt idx="81">
                  <c:v>8.5999999999999993E-2</c:v>
                </c:pt>
                <c:pt idx="82">
                  <c:v>8.5999999999999993E-2</c:v>
                </c:pt>
                <c:pt idx="83">
                  <c:v>7.3999999999999996E-2</c:v>
                </c:pt>
                <c:pt idx="84">
                  <c:v>9.4E-2</c:v>
                </c:pt>
                <c:pt idx="85">
                  <c:v>0.104</c:v>
                </c:pt>
                <c:pt idx="86">
                  <c:v>0.10199999999999999</c:v>
                </c:pt>
                <c:pt idx="87">
                  <c:v>6.2E-2</c:v>
                </c:pt>
                <c:pt idx="88">
                  <c:v>0.13100000000000001</c:v>
                </c:pt>
                <c:pt idx="89">
                  <c:v>0.126</c:v>
                </c:pt>
                <c:pt idx="90">
                  <c:v>0.11</c:v>
                </c:pt>
                <c:pt idx="91">
                  <c:v>0.11</c:v>
                </c:pt>
                <c:pt idx="92">
                  <c:v>0.11600000000000001</c:v>
                </c:pt>
                <c:pt idx="93">
                  <c:v>0.113</c:v>
                </c:pt>
                <c:pt idx="94">
                  <c:v>0.115</c:v>
                </c:pt>
                <c:pt idx="95">
                  <c:v>0.10100000000000001</c:v>
                </c:pt>
                <c:pt idx="96">
                  <c:v>0.10100000000000001</c:v>
                </c:pt>
                <c:pt idx="97">
                  <c:v>0.112</c:v>
                </c:pt>
                <c:pt idx="98">
                  <c:v>0.10100000000000001</c:v>
                </c:pt>
                <c:pt idx="99">
                  <c:v>0.10199999999999999</c:v>
                </c:pt>
                <c:pt idx="100">
                  <c:v>9.8000000000000004E-2</c:v>
                </c:pt>
                <c:pt idx="101">
                  <c:v>0.104</c:v>
                </c:pt>
                <c:pt idx="102">
                  <c:v>8.5999999999999993E-2</c:v>
                </c:pt>
                <c:pt idx="103">
                  <c:v>9.9000000000000005E-2</c:v>
                </c:pt>
                <c:pt idx="104">
                  <c:v>0.1</c:v>
                </c:pt>
                <c:pt idx="105">
                  <c:v>0.10100000000000001</c:v>
                </c:pt>
                <c:pt idx="106">
                  <c:v>9.7000000000000003E-2</c:v>
                </c:pt>
                <c:pt idx="107">
                  <c:v>9.8000000000000004E-2</c:v>
                </c:pt>
                <c:pt idx="108">
                  <c:v>0.10299999999999999</c:v>
                </c:pt>
                <c:pt idx="109">
                  <c:v>0.111</c:v>
                </c:pt>
                <c:pt idx="110">
                  <c:v>0.107</c:v>
                </c:pt>
                <c:pt idx="111">
                  <c:v>0.11799999999999999</c:v>
                </c:pt>
                <c:pt idx="112">
                  <c:v>0.123</c:v>
                </c:pt>
                <c:pt idx="113">
                  <c:v>0.115</c:v>
                </c:pt>
                <c:pt idx="114">
                  <c:v>0.111</c:v>
                </c:pt>
                <c:pt idx="115">
                  <c:v>0.113</c:v>
                </c:pt>
                <c:pt idx="116">
                  <c:v>0.11799999999999999</c:v>
                </c:pt>
                <c:pt idx="117">
                  <c:v>0.115</c:v>
                </c:pt>
                <c:pt idx="118">
                  <c:v>0.113</c:v>
                </c:pt>
                <c:pt idx="119">
                  <c:v>0.112</c:v>
                </c:pt>
                <c:pt idx="120">
                  <c:v>0.11799999999999999</c:v>
                </c:pt>
                <c:pt idx="121">
                  <c:v>0.11799999999999999</c:v>
                </c:pt>
                <c:pt idx="122">
                  <c:v>0.11700000000000001</c:v>
                </c:pt>
                <c:pt idx="123">
                  <c:v>0.124</c:v>
                </c:pt>
                <c:pt idx="124">
                  <c:v>0.123</c:v>
                </c:pt>
                <c:pt idx="125">
                  <c:v>0.13300000000000001</c:v>
                </c:pt>
                <c:pt idx="126">
                  <c:v>0.13300000000000001</c:v>
                </c:pt>
                <c:pt idx="127">
                  <c:v>0.13300000000000001</c:v>
                </c:pt>
                <c:pt idx="128">
                  <c:v>0.126</c:v>
                </c:pt>
                <c:pt idx="129">
                  <c:v>0.12</c:v>
                </c:pt>
                <c:pt idx="130">
                  <c:v>0.13</c:v>
                </c:pt>
                <c:pt idx="131">
                  <c:v>0.13600000000000001</c:v>
                </c:pt>
                <c:pt idx="132">
                  <c:v>0.13</c:v>
                </c:pt>
                <c:pt idx="133">
                  <c:v>0.14099999999999999</c:v>
                </c:pt>
                <c:pt idx="134">
                  <c:v>0.159</c:v>
                </c:pt>
                <c:pt idx="135">
                  <c:v>0.155</c:v>
                </c:pt>
                <c:pt idx="136">
                  <c:v>0.155</c:v>
                </c:pt>
                <c:pt idx="137">
                  <c:v>0.161</c:v>
                </c:pt>
                <c:pt idx="138">
                  <c:v>0.156</c:v>
                </c:pt>
                <c:pt idx="139">
                  <c:v>0.14599999999999999</c:v>
                </c:pt>
                <c:pt idx="140">
                  <c:v>0.15</c:v>
                </c:pt>
                <c:pt idx="141">
                  <c:v>0.14399999999999999</c:v>
                </c:pt>
                <c:pt idx="142">
                  <c:v>0.14799999999999999</c:v>
                </c:pt>
                <c:pt idx="143">
                  <c:v>0.14799999999999999</c:v>
                </c:pt>
                <c:pt idx="144">
                  <c:v>0.152</c:v>
                </c:pt>
                <c:pt idx="145">
                  <c:v>0.14899999999999999</c:v>
                </c:pt>
                <c:pt idx="146">
                  <c:v>0.154</c:v>
                </c:pt>
                <c:pt idx="147">
                  <c:v>0.152</c:v>
                </c:pt>
                <c:pt idx="148">
                  <c:v>0.13500000000000001</c:v>
                </c:pt>
                <c:pt idx="149">
                  <c:v>0.11700000000000001</c:v>
                </c:pt>
                <c:pt idx="150">
                  <c:v>0.113</c:v>
                </c:pt>
                <c:pt idx="151">
                  <c:v>0.11</c:v>
                </c:pt>
                <c:pt idx="152">
                  <c:v>0.122</c:v>
                </c:pt>
                <c:pt idx="153">
                  <c:v>0.127</c:v>
                </c:pt>
                <c:pt idx="154">
                  <c:v>0.123</c:v>
                </c:pt>
                <c:pt idx="155">
                  <c:v>0.129</c:v>
                </c:pt>
                <c:pt idx="156">
                  <c:v>0.128</c:v>
                </c:pt>
                <c:pt idx="157">
                  <c:v>0.13100000000000001</c:v>
                </c:pt>
                <c:pt idx="158">
                  <c:v>0.123</c:v>
                </c:pt>
                <c:pt idx="159">
                  <c:v>0.122</c:v>
                </c:pt>
                <c:pt idx="160">
                  <c:v>0.123</c:v>
                </c:pt>
                <c:pt idx="161">
                  <c:v>0.11899999999999999</c:v>
                </c:pt>
                <c:pt idx="162">
                  <c:v>0.114</c:v>
                </c:pt>
                <c:pt idx="163">
                  <c:v>0.111</c:v>
                </c:pt>
                <c:pt idx="164">
                  <c:v>0.109</c:v>
                </c:pt>
                <c:pt idx="165">
                  <c:v>0.104</c:v>
                </c:pt>
                <c:pt idx="166">
                  <c:v>9.7000000000000003E-2</c:v>
                </c:pt>
                <c:pt idx="167">
                  <c:v>0.10199999999999999</c:v>
                </c:pt>
                <c:pt idx="168">
                  <c:v>9.5000000000000001E-2</c:v>
                </c:pt>
                <c:pt idx="169">
                  <c:v>0.1</c:v>
                </c:pt>
                <c:pt idx="170">
                  <c:v>0.1</c:v>
                </c:pt>
                <c:pt idx="171">
                  <c:v>0.09</c:v>
                </c:pt>
                <c:pt idx="172">
                  <c:v>9.1999999999999998E-2</c:v>
                </c:pt>
                <c:pt idx="173">
                  <c:v>0.1</c:v>
                </c:pt>
                <c:pt idx="174">
                  <c:v>8.2000000000000003E-2</c:v>
                </c:pt>
                <c:pt idx="175">
                  <c:v>9.1999999999999998E-2</c:v>
                </c:pt>
                <c:pt idx="176">
                  <c:v>8.5999999999999993E-2</c:v>
                </c:pt>
                <c:pt idx="177">
                  <c:v>7.3999999999999996E-2</c:v>
                </c:pt>
                <c:pt idx="178">
                  <c:v>6.6000000000000003E-2</c:v>
                </c:pt>
                <c:pt idx="179">
                  <c:v>6.4000000000000001E-2</c:v>
                </c:pt>
                <c:pt idx="180">
                  <c:v>5.8999999999999997E-2</c:v>
                </c:pt>
                <c:pt idx="181">
                  <c:v>4.2999999999999997E-2</c:v>
                </c:pt>
                <c:pt idx="182">
                  <c:v>0.05</c:v>
                </c:pt>
                <c:pt idx="183">
                  <c:v>5.5E-2</c:v>
                </c:pt>
                <c:pt idx="184">
                  <c:v>5.7000000000000002E-2</c:v>
                </c:pt>
                <c:pt idx="185">
                  <c:v>3.5000000000000003E-2</c:v>
                </c:pt>
                <c:pt idx="186">
                  <c:v>4.1000000000000002E-2</c:v>
                </c:pt>
                <c:pt idx="187">
                  <c:v>2.5999999999999999E-2</c:v>
                </c:pt>
                <c:pt idx="188">
                  <c:v>3.5000000000000003E-2</c:v>
                </c:pt>
                <c:pt idx="189">
                  <c:v>2.7E-2</c:v>
                </c:pt>
                <c:pt idx="190">
                  <c:v>4.7E-2</c:v>
                </c:pt>
                <c:pt idx="191">
                  <c:v>4.7E-2</c:v>
                </c:pt>
                <c:pt idx="192">
                  <c:v>1.9E-2</c:v>
                </c:pt>
                <c:pt idx="193">
                  <c:v>2.1999999999999999E-2</c:v>
                </c:pt>
                <c:pt idx="194">
                  <c:v>2.5999999999999999E-2</c:v>
                </c:pt>
                <c:pt idx="195">
                  <c:v>3.0000000000000001E-3</c:v>
                </c:pt>
                <c:pt idx="196">
                  <c:v>3.0000000000000001E-3</c:v>
                </c:pt>
                <c:pt idx="197">
                  <c:v>3.0000000000000001E-3</c:v>
                </c:pt>
                <c:pt idx="198">
                  <c:v>3.0000000000000001E-3</c:v>
                </c:pt>
                <c:pt idx="199">
                  <c:v>3.0000000000000001E-3</c:v>
                </c:pt>
                <c:pt idx="200">
                  <c:v>-3.7999999999999999E-2</c:v>
                </c:pt>
                <c:pt idx="201">
                  <c:v>-0.01</c:v>
                </c:pt>
                <c:pt idx="202">
                  <c:v>1.2E-2</c:v>
                </c:pt>
                <c:pt idx="203">
                  <c:v>3.2000000000000001E-2</c:v>
                </c:pt>
                <c:pt idx="204">
                  <c:v>2.4E-2</c:v>
                </c:pt>
                <c:pt idx="205">
                  <c:v>1.7000000000000001E-2</c:v>
                </c:pt>
                <c:pt idx="206">
                  <c:v>1.7000000000000001E-2</c:v>
                </c:pt>
                <c:pt idx="207">
                  <c:v>1.2999999999999999E-2</c:v>
                </c:pt>
                <c:pt idx="208">
                  <c:v>0.01</c:v>
                </c:pt>
                <c:pt idx="209">
                  <c:v>6.0000000000000001E-3</c:v>
                </c:pt>
                <c:pt idx="210">
                  <c:v>1.6E-2</c:v>
                </c:pt>
                <c:pt idx="211">
                  <c:v>8.0000000000000002E-3</c:v>
                </c:pt>
                <c:pt idx="212">
                  <c:v>3.0000000000000001E-3</c:v>
                </c:pt>
                <c:pt idx="213">
                  <c:v>5.0000000000000001E-3</c:v>
                </c:pt>
                <c:pt idx="214">
                  <c:v>1.0999999999999999E-2</c:v>
                </c:pt>
                <c:pt idx="215">
                  <c:v>-3.0000000000000001E-3</c:v>
                </c:pt>
                <c:pt idx="216">
                  <c:v>2E-3</c:v>
                </c:pt>
                <c:pt idx="217">
                  <c:v>8.9999999999999993E-3</c:v>
                </c:pt>
                <c:pt idx="218">
                  <c:v>5.0000000000000001E-3</c:v>
                </c:pt>
                <c:pt idx="219">
                  <c:v>5.0000000000000001E-3</c:v>
                </c:pt>
                <c:pt idx="220">
                  <c:v>-1.2E-2</c:v>
                </c:pt>
                <c:pt idx="221">
                  <c:v>-8.9999999999999993E-3</c:v>
                </c:pt>
                <c:pt idx="222">
                  <c:v>-8.9999999999999993E-3</c:v>
                </c:pt>
                <c:pt idx="223">
                  <c:v>-1.2999999999999999E-2</c:v>
                </c:pt>
                <c:pt idx="224">
                  <c:v>-8.0000000000000002E-3</c:v>
                </c:pt>
                <c:pt idx="225">
                  <c:v>-2.9000000000000001E-2</c:v>
                </c:pt>
                <c:pt idx="226">
                  <c:v>-2.9000000000000001E-2</c:v>
                </c:pt>
                <c:pt idx="227">
                  <c:v>-1.2999999999999999E-2</c:v>
                </c:pt>
                <c:pt idx="228">
                  <c:v>-6.0000000000000001E-3</c:v>
                </c:pt>
                <c:pt idx="229">
                  <c:v>-1.4E-2</c:v>
                </c:pt>
                <c:pt idx="230">
                  <c:v>-2.1000000000000001E-2</c:v>
                </c:pt>
                <c:pt idx="231">
                  <c:v>-2.1999999999999999E-2</c:v>
                </c:pt>
                <c:pt idx="232">
                  <c:v>-2.8000000000000001E-2</c:v>
                </c:pt>
                <c:pt idx="233">
                  <c:v>-3.3000000000000002E-2</c:v>
                </c:pt>
                <c:pt idx="234">
                  <c:v>-3.7999999999999999E-2</c:v>
                </c:pt>
                <c:pt idx="235">
                  <c:v>-3.6999999999999998E-2</c:v>
                </c:pt>
                <c:pt idx="236">
                  <c:v>-3.5000000000000003E-2</c:v>
                </c:pt>
                <c:pt idx="237">
                  <c:v>-2.5999999999999999E-2</c:v>
                </c:pt>
                <c:pt idx="238">
                  <c:v>-2.5000000000000001E-2</c:v>
                </c:pt>
                <c:pt idx="239">
                  <c:v>-2.1999999999999999E-2</c:v>
                </c:pt>
              </c:numCache>
            </c:numRef>
          </c:val>
          <c:smooth val="0"/>
        </c:ser>
        <c:dLbls>
          <c:showLegendKey val="0"/>
          <c:showVal val="0"/>
          <c:showCatName val="0"/>
          <c:showSerName val="0"/>
          <c:showPercent val="0"/>
          <c:showBubbleSize val="0"/>
        </c:dLbls>
        <c:smooth val="0"/>
        <c:axId val="497656904"/>
        <c:axId val="497657296"/>
      </c:lineChart>
      <c:dateAx>
        <c:axId val="497656904"/>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7657296"/>
        <c:crosses val="autoZero"/>
        <c:auto val="1"/>
        <c:lblOffset val="100"/>
        <c:baseTimeUnit val="days"/>
        <c:majorUnit val="1"/>
        <c:majorTimeUnit val="months"/>
        <c:minorUnit val="1"/>
        <c:minorTimeUnit val="months"/>
      </c:dateAx>
      <c:valAx>
        <c:axId val="497657296"/>
        <c:scaling>
          <c:orientation val="minMax"/>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7656904"/>
        <c:crossesAt val="43189"/>
        <c:crossBetween val="between"/>
      </c:valAx>
      <c:spPr>
        <a:noFill/>
        <a:ln>
          <a:noFill/>
        </a:ln>
        <a:effectLst/>
      </c:spPr>
    </c:plotArea>
    <c:legend>
      <c:legendPos val="b"/>
      <c:layout>
        <c:manualLayout>
          <c:xMode val="edge"/>
          <c:yMode val="edge"/>
          <c:x val="0.21052417735844356"/>
          <c:y val="0.92090406322832796"/>
          <c:w val="0.62763121203496874"/>
          <c:h val="7.9095936771671996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3683926850082699E-2"/>
          <c:y val="3.19054294803333E-2"/>
          <c:w val="0.91779479188620505"/>
          <c:h val="0.83548772929669002"/>
        </c:manualLayout>
      </c:layout>
      <c:lineChart>
        <c:grouping val="standard"/>
        <c:varyColors val="0"/>
        <c:ser>
          <c:idx val="0"/>
          <c:order val="0"/>
          <c:tx>
            <c:strRef>
              <c:f>'10 Year Bond Yield'!$G$1</c:f>
              <c:strCache>
                <c:ptCount val="1"/>
                <c:pt idx="0">
                  <c:v>India</c:v>
                </c:pt>
              </c:strCache>
            </c:strRef>
          </c:tx>
          <c:spPr>
            <a:ln w="28575" cap="rnd">
              <a:solidFill>
                <a:schemeClr val="accent1"/>
              </a:solidFill>
              <a:round/>
            </a:ln>
            <a:effectLst/>
          </c:spPr>
          <c:marker>
            <c:symbol val="none"/>
          </c:marker>
          <c:cat>
            <c:numRef>
              <c:f>'10 Year Bond Yield'!$A$1891:$A$2130</c:f>
              <c:numCache>
                <c:formatCode>[$-409]mmm\-yy;@</c:formatCode>
                <c:ptCount val="240"/>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numCache>
            </c:numRef>
          </c:cat>
          <c:val>
            <c:numRef>
              <c:f>'10 Year Bond Yield'!$G$1891:$G$2130</c:f>
              <c:numCache>
                <c:formatCode>0.00</c:formatCode>
                <c:ptCount val="240"/>
                <c:pt idx="0">
                  <c:v>7.399</c:v>
                </c:pt>
                <c:pt idx="1">
                  <c:v>7.399</c:v>
                </c:pt>
                <c:pt idx="2">
                  <c:v>7.3319999999999999</c:v>
                </c:pt>
                <c:pt idx="3">
                  <c:v>7.2939999999999996</c:v>
                </c:pt>
                <c:pt idx="4">
                  <c:v>7.1269999999999989</c:v>
                </c:pt>
                <c:pt idx="5">
                  <c:v>7.1749999999999998</c:v>
                </c:pt>
                <c:pt idx="6">
                  <c:v>7.226</c:v>
                </c:pt>
                <c:pt idx="7">
                  <c:v>7.375</c:v>
                </c:pt>
                <c:pt idx="8">
                  <c:v>7.5419999999999998</c:v>
                </c:pt>
                <c:pt idx="9">
                  <c:v>7.468</c:v>
                </c:pt>
                <c:pt idx="10">
                  <c:v>7.4290000000000003</c:v>
                </c:pt>
                <c:pt idx="11">
                  <c:v>7.49</c:v>
                </c:pt>
                <c:pt idx="12">
                  <c:v>7.4889999999999999</c:v>
                </c:pt>
                <c:pt idx="13">
                  <c:v>7.5350000000000001</c:v>
                </c:pt>
                <c:pt idx="14">
                  <c:v>7.63</c:v>
                </c:pt>
                <c:pt idx="15">
                  <c:v>7.718</c:v>
                </c:pt>
                <c:pt idx="16">
                  <c:v>7.74</c:v>
                </c:pt>
                <c:pt idx="17">
                  <c:v>7.6859999999999999</c:v>
                </c:pt>
                <c:pt idx="18">
                  <c:v>7.7379999999999987</c:v>
                </c:pt>
                <c:pt idx="19">
                  <c:v>7.7560000000000002</c:v>
                </c:pt>
                <c:pt idx="20">
                  <c:v>7.7669999999999986</c:v>
                </c:pt>
                <c:pt idx="21">
                  <c:v>7.7669999999999986</c:v>
                </c:pt>
                <c:pt idx="22">
                  <c:v>7.7669999999999986</c:v>
                </c:pt>
                <c:pt idx="23">
                  <c:v>7.7350000000000003</c:v>
                </c:pt>
                <c:pt idx="24">
                  <c:v>7.734</c:v>
                </c:pt>
                <c:pt idx="25">
                  <c:v>7.7279999999999998</c:v>
                </c:pt>
                <c:pt idx="26">
                  <c:v>7.621999999999999</c:v>
                </c:pt>
                <c:pt idx="27">
                  <c:v>7.5810000000000004</c:v>
                </c:pt>
                <c:pt idx="28">
                  <c:v>7.7089999999999996</c:v>
                </c:pt>
                <c:pt idx="29">
                  <c:v>7.7139999999999986</c:v>
                </c:pt>
                <c:pt idx="30">
                  <c:v>7.7269999999999994</c:v>
                </c:pt>
                <c:pt idx="31">
                  <c:v>7.8249999999999993</c:v>
                </c:pt>
                <c:pt idx="32">
                  <c:v>7.9050000000000002</c:v>
                </c:pt>
                <c:pt idx="33">
                  <c:v>7.9009999999999998</c:v>
                </c:pt>
                <c:pt idx="34">
                  <c:v>7.8810000000000002</c:v>
                </c:pt>
                <c:pt idx="35">
                  <c:v>7.835</c:v>
                </c:pt>
                <c:pt idx="36">
                  <c:v>7.8090000000000002</c:v>
                </c:pt>
                <c:pt idx="37">
                  <c:v>7.8119999999999994</c:v>
                </c:pt>
                <c:pt idx="38">
                  <c:v>7.8490000000000002</c:v>
                </c:pt>
                <c:pt idx="39">
                  <c:v>7.8679999999999994</c:v>
                </c:pt>
                <c:pt idx="40">
                  <c:v>7.7939999999999996</c:v>
                </c:pt>
                <c:pt idx="41">
                  <c:v>7.7379999999999987</c:v>
                </c:pt>
                <c:pt idx="42">
                  <c:v>7.7560000000000002</c:v>
                </c:pt>
                <c:pt idx="43">
                  <c:v>7.782</c:v>
                </c:pt>
                <c:pt idx="44">
                  <c:v>7.8259999999999996</c:v>
                </c:pt>
                <c:pt idx="45">
                  <c:v>7.8479999999999999</c:v>
                </c:pt>
                <c:pt idx="46">
                  <c:v>7.8760000000000003</c:v>
                </c:pt>
                <c:pt idx="47">
                  <c:v>7.8339999999999996</c:v>
                </c:pt>
                <c:pt idx="48">
                  <c:v>7.9169999999999998</c:v>
                </c:pt>
                <c:pt idx="49">
                  <c:v>7.9930000000000003</c:v>
                </c:pt>
                <c:pt idx="50">
                  <c:v>7.9470000000000001</c:v>
                </c:pt>
                <c:pt idx="51">
                  <c:v>7.9619999999999997</c:v>
                </c:pt>
                <c:pt idx="52">
                  <c:v>7.9660000000000002</c:v>
                </c:pt>
                <c:pt idx="53">
                  <c:v>7.93</c:v>
                </c:pt>
                <c:pt idx="54">
                  <c:v>7.9450000000000003</c:v>
                </c:pt>
                <c:pt idx="55">
                  <c:v>7.8890000000000002</c:v>
                </c:pt>
                <c:pt idx="56">
                  <c:v>7.8769999999999998</c:v>
                </c:pt>
                <c:pt idx="57">
                  <c:v>7.863999999999999</c:v>
                </c:pt>
                <c:pt idx="58">
                  <c:v>7.8269999999999991</c:v>
                </c:pt>
                <c:pt idx="59">
                  <c:v>7.774</c:v>
                </c:pt>
                <c:pt idx="60">
                  <c:v>7.8199999999999994</c:v>
                </c:pt>
                <c:pt idx="61">
                  <c:v>7.8279999999999994</c:v>
                </c:pt>
                <c:pt idx="62">
                  <c:v>7.8289999999999997</c:v>
                </c:pt>
                <c:pt idx="63">
                  <c:v>7.8719999999999999</c:v>
                </c:pt>
                <c:pt idx="64">
                  <c:v>7.9349999999999996</c:v>
                </c:pt>
                <c:pt idx="65">
                  <c:v>7.9009999999999998</c:v>
                </c:pt>
                <c:pt idx="66">
                  <c:v>7.9119999999999999</c:v>
                </c:pt>
                <c:pt idx="67">
                  <c:v>7.883</c:v>
                </c:pt>
                <c:pt idx="68">
                  <c:v>7.8519999999999994</c:v>
                </c:pt>
                <c:pt idx="69">
                  <c:v>7.8969999999999994</c:v>
                </c:pt>
                <c:pt idx="70">
                  <c:v>7.87</c:v>
                </c:pt>
                <c:pt idx="71">
                  <c:v>7.891</c:v>
                </c:pt>
                <c:pt idx="72">
                  <c:v>7.899</c:v>
                </c:pt>
                <c:pt idx="73">
                  <c:v>7.8719999999999999</c:v>
                </c:pt>
                <c:pt idx="74">
                  <c:v>7.7789999999999999</c:v>
                </c:pt>
                <c:pt idx="75">
                  <c:v>7.7930000000000001</c:v>
                </c:pt>
                <c:pt idx="76">
                  <c:v>7.8010000000000002</c:v>
                </c:pt>
                <c:pt idx="77">
                  <c:v>7.7450000000000001</c:v>
                </c:pt>
                <c:pt idx="78">
                  <c:v>7.7519999999999998</c:v>
                </c:pt>
                <c:pt idx="79">
                  <c:v>7.7830000000000004</c:v>
                </c:pt>
                <c:pt idx="80">
                  <c:v>7.7859999999999996</c:v>
                </c:pt>
                <c:pt idx="81">
                  <c:v>7.81</c:v>
                </c:pt>
                <c:pt idx="82">
                  <c:v>7.7830000000000004</c:v>
                </c:pt>
                <c:pt idx="83">
                  <c:v>7.7859999999999996</c:v>
                </c:pt>
                <c:pt idx="84">
                  <c:v>7.76</c:v>
                </c:pt>
                <c:pt idx="85">
                  <c:v>7.78</c:v>
                </c:pt>
                <c:pt idx="86">
                  <c:v>7.79</c:v>
                </c:pt>
                <c:pt idx="87">
                  <c:v>7.7729999999999997</c:v>
                </c:pt>
                <c:pt idx="88">
                  <c:v>7.7009999999999996</c:v>
                </c:pt>
                <c:pt idx="89">
                  <c:v>7.7210000000000001</c:v>
                </c:pt>
                <c:pt idx="90">
                  <c:v>7.7629999999999999</c:v>
                </c:pt>
                <c:pt idx="91">
                  <c:v>7.7679999999999998</c:v>
                </c:pt>
                <c:pt idx="92">
                  <c:v>7.7859999999999996</c:v>
                </c:pt>
                <c:pt idx="93">
                  <c:v>7.7809999999999997</c:v>
                </c:pt>
                <c:pt idx="94">
                  <c:v>7.7450000000000001</c:v>
                </c:pt>
                <c:pt idx="95">
                  <c:v>7.7539999999999987</c:v>
                </c:pt>
                <c:pt idx="96">
                  <c:v>7.8229999999999986</c:v>
                </c:pt>
                <c:pt idx="97">
                  <c:v>7.8179999999999996</c:v>
                </c:pt>
                <c:pt idx="98">
                  <c:v>7.8179999999999996</c:v>
                </c:pt>
                <c:pt idx="99">
                  <c:v>7.8609999999999998</c:v>
                </c:pt>
                <c:pt idx="100">
                  <c:v>7.8609999999999998</c:v>
                </c:pt>
                <c:pt idx="101">
                  <c:v>7.8380000000000001</c:v>
                </c:pt>
                <c:pt idx="102">
                  <c:v>7.8279999999999994</c:v>
                </c:pt>
                <c:pt idx="103">
                  <c:v>7.8279999999999994</c:v>
                </c:pt>
                <c:pt idx="104">
                  <c:v>7.8789999999999996</c:v>
                </c:pt>
                <c:pt idx="105">
                  <c:v>7.8730000000000002</c:v>
                </c:pt>
                <c:pt idx="106">
                  <c:v>7.8939999999999992</c:v>
                </c:pt>
                <c:pt idx="107">
                  <c:v>7.8959999999999999</c:v>
                </c:pt>
                <c:pt idx="108">
                  <c:v>7.9180000000000001</c:v>
                </c:pt>
                <c:pt idx="109">
                  <c:v>7.931</c:v>
                </c:pt>
                <c:pt idx="110">
                  <c:v>7.952</c:v>
                </c:pt>
                <c:pt idx="111">
                  <c:v>7.9989999999999997</c:v>
                </c:pt>
                <c:pt idx="112">
                  <c:v>8.0619999999999994</c:v>
                </c:pt>
                <c:pt idx="113">
                  <c:v>8.0500000000000007</c:v>
                </c:pt>
                <c:pt idx="114">
                  <c:v>8.0559999999999992</c:v>
                </c:pt>
                <c:pt idx="115">
                  <c:v>8.0289999999999999</c:v>
                </c:pt>
                <c:pt idx="116">
                  <c:v>8.1579999999999995</c:v>
                </c:pt>
                <c:pt idx="117">
                  <c:v>8.1809999999999992</c:v>
                </c:pt>
                <c:pt idx="118">
                  <c:v>8.1339999999999986</c:v>
                </c:pt>
                <c:pt idx="119">
                  <c:v>8.1339999999999986</c:v>
                </c:pt>
                <c:pt idx="120">
                  <c:v>8.1270000000000007</c:v>
                </c:pt>
                <c:pt idx="121">
                  <c:v>8.0990000000000002</c:v>
                </c:pt>
                <c:pt idx="122">
                  <c:v>8.1389999999999993</c:v>
                </c:pt>
                <c:pt idx="123">
                  <c:v>8.0719999999999992</c:v>
                </c:pt>
                <c:pt idx="124">
                  <c:v>8.0719999999999992</c:v>
                </c:pt>
                <c:pt idx="125">
                  <c:v>8.0790000000000006</c:v>
                </c:pt>
                <c:pt idx="126">
                  <c:v>8.1219999999999999</c:v>
                </c:pt>
                <c:pt idx="127">
                  <c:v>8.1259999999999994</c:v>
                </c:pt>
                <c:pt idx="128">
                  <c:v>8.0719999999999992</c:v>
                </c:pt>
                <c:pt idx="129">
                  <c:v>8.0269999999999992</c:v>
                </c:pt>
                <c:pt idx="130">
                  <c:v>8.0239999999999991</c:v>
                </c:pt>
                <c:pt idx="131" formatCode="General">
                  <c:v>7.9880000000000004</c:v>
                </c:pt>
                <c:pt idx="132" formatCode="General">
                  <c:v>7.9880000000000004</c:v>
                </c:pt>
                <c:pt idx="133" formatCode="General">
                  <c:v>8.1120000000000001</c:v>
                </c:pt>
                <c:pt idx="134" formatCode="General">
                  <c:v>8.157</c:v>
                </c:pt>
                <c:pt idx="135" formatCode="General">
                  <c:v>8.0250000000000004</c:v>
                </c:pt>
                <c:pt idx="136" formatCode="General">
                  <c:v>7.9740000000000002</c:v>
                </c:pt>
                <c:pt idx="137" formatCode="General">
                  <c:v>8.0760000000000005</c:v>
                </c:pt>
                <c:pt idx="138" formatCode="General">
                  <c:v>8.0310000000000006</c:v>
                </c:pt>
                <c:pt idx="139" formatCode="General">
                  <c:v>7.9859999999999998</c:v>
                </c:pt>
                <c:pt idx="140" formatCode="General">
                  <c:v>7.9829999999999997</c:v>
                </c:pt>
                <c:pt idx="141" formatCode="General">
                  <c:v>7.923</c:v>
                </c:pt>
                <c:pt idx="142" formatCode="General">
                  <c:v>7.8730000000000002</c:v>
                </c:pt>
                <c:pt idx="143" formatCode="General">
                  <c:v>7.9089999999999998</c:v>
                </c:pt>
                <c:pt idx="144" formatCode="General">
                  <c:v>7.9089999999999998</c:v>
                </c:pt>
                <c:pt idx="145" formatCode="General">
                  <c:v>7.9219999999999997</c:v>
                </c:pt>
                <c:pt idx="146" formatCode="General">
                  <c:v>7.9290000000000003</c:v>
                </c:pt>
                <c:pt idx="147" formatCode="General">
                  <c:v>7.891</c:v>
                </c:pt>
                <c:pt idx="148" formatCode="General">
                  <c:v>7.8719999999999999</c:v>
                </c:pt>
                <c:pt idx="149" formatCode="General">
                  <c:v>7.8689999999999998</c:v>
                </c:pt>
                <c:pt idx="150" formatCode="General">
                  <c:v>7.8760000000000003</c:v>
                </c:pt>
                <c:pt idx="151" formatCode="General">
                  <c:v>7.81</c:v>
                </c:pt>
                <c:pt idx="152" formatCode="General">
                  <c:v>7.8309999999999986</c:v>
                </c:pt>
                <c:pt idx="153" formatCode="General">
                  <c:v>7.8529999999999998</c:v>
                </c:pt>
                <c:pt idx="154">
                  <c:v>7.8229999999999986</c:v>
                </c:pt>
                <c:pt idx="155">
                  <c:v>7.7809999999999997</c:v>
                </c:pt>
                <c:pt idx="156">
                  <c:v>7.8079999999999998</c:v>
                </c:pt>
                <c:pt idx="157">
                  <c:v>7.7990000000000004</c:v>
                </c:pt>
                <c:pt idx="158">
                  <c:v>7.7990000000000004</c:v>
                </c:pt>
                <c:pt idx="159">
                  <c:v>7.7990000000000004</c:v>
                </c:pt>
                <c:pt idx="160">
                  <c:v>7.7629999999999999</c:v>
                </c:pt>
                <c:pt idx="161">
                  <c:v>7.8039999999999994</c:v>
                </c:pt>
                <c:pt idx="162">
                  <c:v>7.76</c:v>
                </c:pt>
                <c:pt idx="163">
                  <c:v>7.7329999999999997</c:v>
                </c:pt>
                <c:pt idx="164">
                  <c:v>7.7560000000000002</c:v>
                </c:pt>
                <c:pt idx="165">
                  <c:v>7.8159999999999998</c:v>
                </c:pt>
                <c:pt idx="166">
                  <c:v>7.7910000000000004</c:v>
                </c:pt>
                <c:pt idx="167">
                  <c:v>7.7930000000000001</c:v>
                </c:pt>
                <c:pt idx="168">
                  <c:v>7.7930000000000001</c:v>
                </c:pt>
                <c:pt idx="169">
                  <c:v>7.7110000000000003</c:v>
                </c:pt>
                <c:pt idx="170">
                  <c:v>7.7110000000000003</c:v>
                </c:pt>
                <c:pt idx="171">
                  <c:v>7.7269999999999994</c:v>
                </c:pt>
                <c:pt idx="172">
                  <c:v>7.7320000000000002</c:v>
                </c:pt>
                <c:pt idx="173">
                  <c:v>7.6429999999999998</c:v>
                </c:pt>
                <c:pt idx="174">
                  <c:v>7.6079999999999997</c:v>
                </c:pt>
                <c:pt idx="175">
                  <c:v>7.6069999999999993</c:v>
                </c:pt>
                <c:pt idx="176">
                  <c:v>7.6259999999999986</c:v>
                </c:pt>
                <c:pt idx="177">
                  <c:v>7.5730000000000004</c:v>
                </c:pt>
                <c:pt idx="178">
                  <c:v>7.4409999999999998</c:v>
                </c:pt>
                <c:pt idx="179">
                  <c:v>7.4249999999999998</c:v>
                </c:pt>
                <c:pt idx="180">
                  <c:v>7.4639999999999986</c:v>
                </c:pt>
                <c:pt idx="181">
                  <c:v>7.5869999999999997</c:v>
                </c:pt>
                <c:pt idx="182">
                  <c:v>7.5279999999999996</c:v>
                </c:pt>
                <c:pt idx="183">
                  <c:v>7.4109999999999996</c:v>
                </c:pt>
                <c:pt idx="184">
                  <c:v>7.4080000000000004</c:v>
                </c:pt>
                <c:pt idx="185">
                  <c:v>7.4409999999999998</c:v>
                </c:pt>
                <c:pt idx="186">
                  <c:v>7.4610000000000003</c:v>
                </c:pt>
                <c:pt idx="187">
                  <c:v>7.3449999999999998</c:v>
                </c:pt>
                <c:pt idx="188">
                  <c:v>7.22</c:v>
                </c:pt>
                <c:pt idx="189">
                  <c:v>7.2750000000000004</c:v>
                </c:pt>
                <c:pt idx="190">
                  <c:v>7.2770000000000001</c:v>
                </c:pt>
                <c:pt idx="191">
                  <c:v>7.2869999999999999</c:v>
                </c:pt>
                <c:pt idx="192">
                  <c:v>7.2869999999999999</c:v>
                </c:pt>
                <c:pt idx="193">
                  <c:v>7.2629999999999999</c:v>
                </c:pt>
                <c:pt idx="194">
                  <c:v>7.2759999999999998</c:v>
                </c:pt>
                <c:pt idx="195">
                  <c:v>7.3849999999999998</c:v>
                </c:pt>
                <c:pt idx="196">
                  <c:v>7.3689999999999998</c:v>
                </c:pt>
                <c:pt idx="197">
                  <c:v>7.4180000000000001</c:v>
                </c:pt>
                <c:pt idx="198">
                  <c:v>7.3549999999999986</c:v>
                </c:pt>
                <c:pt idx="199">
                  <c:v>7.4269999999999996</c:v>
                </c:pt>
                <c:pt idx="200">
                  <c:v>7.4480000000000004</c:v>
                </c:pt>
                <c:pt idx="201">
                  <c:v>7.6379999999999999</c:v>
                </c:pt>
                <c:pt idx="202">
                  <c:v>7.532</c:v>
                </c:pt>
                <c:pt idx="203">
                  <c:v>7.532</c:v>
                </c:pt>
                <c:pt idx="204">
                  <c:v>7.5890000000000004</c:v>
                </c:pt>
                <c:pt idx="205">
                  <c:v>7.5880000000000001</c:v>
                </c:pt>
                <c:pt idx="206">
                  <c:v>7.2239999999999993</c:v>
                </c:pt>
                <c:pt idx="207">
                  <c:v>7.2519999999999998</c:v>
                </c:pt>
                <c:pt idx="208">
                  <c:v>7.2729999999999997</c:v>
                </c:pt>
                <c:pt idx="209">
                  <c:v>7.2770000000000001</c:v>
                </c:pt>
                <c:pt idx="210">
                  <c:v>7.31</c:v>
                </c:pt>
                <c:pt idx="211">
                  <c:v>7.3129999999999997</c:v>
                </c:pt>
                <c:pt idx="212">
                  <c:v>7.3029999999999999</c:v>
                </c:pt>
                <c:pt idx="213">
                  <c:v>7.2939999999999996</c:v>
                </c:pt>
                <c:pt idx="214">
                  <c:v>7.3079999999999998</c:v>
                </c:pt>
                <c:pt idx="215">
                  <c:v>7.3289999999999997</c:v>
                </c:pt>
                <c:pt idx="216">
                  <c:v>7.3319999999999999</c:v>
                </c:pt>
                <c:pt idx="217">
                  <c:v>7.3199999999999994</c:v>
                </c:pt>
                <c:pt idx="218">
                  <c:v>7.3249999999999993</c:v>
                </c:pt>
                <c:pt idx="219">
                  <c:v>7.2830000000000004</c:v>
                </c:pt>
                <c:pt idx="220">
                  <c:v>7.375</c:v>
                </c:pt>
                <c:pt idx="221">
                  <c:v>7.4059999999999997</c:v>
                </c:pt>
                <c:pt idx="222">
                  <c:v>7.3810000000000002</c:v>
                </c:pt>
                <c:pt idx="223">
                  <c:v>7.3579999999999997</c:v>
                </c:pt>
                <c:pt idx="224">
                  <c:v>7.319</c:v>
                </c:pt>
                <c:pt idx="225">
                  <c:v>7.335</c:v>
                </c:pt>
                <c:pt idx="226">
                  <c:v>7.3549999999999986</c:v>
                </c:pt>
                <c:pt idx="227">
                  <c:v>7.3569999999999993</c:v>
                </c:pt>
                <c:pt idx="228">
                  <c:v>7.2919999999999998</c:v>
                </c:pt>
                <c:pt idx="229">
                  <c:v>7.3319999999999999</c:v>
                </c:pt>
                <c:pt idx="230">
                  <c:v>7.359</c:v>
                </c:pt>
                <c:pt idx="231">
                  <c:v>7.3689999999999998</c:v>
                </c:pt>
                <c:pt idx="232">
                  <c:v>7.3689999999999998</c:v>
                </c:pt>
                <c:pt idx="233">
                  <c:v>7.3390000000000004</c:v>
                </c:pt>
                <c:pt idx="234">
                  <c:v>7.35</c:v>
                </c:pt>
                <c:pt idx="235">
                  <c:v>7.4189999999999996</c:v>
                </c:pt>
                <c:pt idx="236">
                  <c:v>7.4130000000000003</c:v>
                </c:pt>
                <c:pt idx="237">
                  <c:v>7.4219999999999997</c:v>
                </c:pt>
                <c:pt idx="238">
                  <c:v>7.4740000000000002</c:v>
                </c:pt>
                <c:pt idx="239">
                  <c:v>7.4089999999999998</c:v>
                </c:pt>
              </c:numCache>
            </c:numRef>
          </c:val>
          <c:smooth val="0"/>
        </c:ser>
        <c:ser>
          <c:idx val="1"/>
          <c:order val="1"/>
          <c:tx>
            <c:strRef>
              <c:f>'10 Year Bond Yield'!$H$1</c:f>
              <c:strCache>
                <c:ptCount val="1"/>
                <c:pt idx="0">
                  <c:v>China</c:v>
                </c:pt>
              </c:strCache>
            </c:strRef>
          </c:tx>
          <c:spPr>
            <a:ln w="28575" cap="rnd">
              <a:solidFill>
                <a:schemeClr val="accent2"/>
              </a:solidFill>
              <a:round/>
            </a:ln>
            <a:effectLst/>
          </c:spPr>
          <c:marker>
            <c:symbol val="none"/>
          </c:marker>
          <c:cat>
            <c:numRef>
              <c:f>'10 Year Bond Yield'!$A$1891:$A$2130</c:f>
              <c:numCache>
                <c:formatCode>[$-409]mmm\-yy;@</c:formatCode>
                <c:ptCount val="240"/>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numCache>
            </c:numRef>
          </c:cat>
          <c:val>
            <c:numRef>
              <c:f>'10 Year Bond Yield'!$H$1891:$H$2130</c:f>
              <c:numCache>
                <c:formatCode>0.00</c:formatCode>
                <c:ptCount val="240"/>
                <c:pt idx="0">
                  <c:v>3.7509999999999999</c:v>
                </c:pt>
                <c:pt idx="1">
                  <c:v>3.746</c:v>
                </c:pt>
                <c:pt idx="2">
                  <c:v>3.7530000000000001</c:v>
                </c:pt>
                <c:pt idx="3">
                  <c:v>3.738</c:v>
                </c:pt>
                <c:pt idx="4">
                  <c:v>3.738</c:v>
                </c:pt>
                <c:pt idx="5">
                  <c:v>3.738</c:v>
                </c:pt>
                <c:pt idx="6">
                  <c:v>3.71</c:v>
                </c:pt>
                <c:pt idx="7">
                  <c:v>3.7269999999999999</c:v>
                </c:pt>
                <c:pt idx="8">
                  <c:v>3.73</c:v>
                </c:pt>
                <c:pt idx="9">
                  <c:v>3.7170000000000001</c:v>
                </c:pt>
                <c:pt idx="10">
                  <c:v>3.7189999999999999</c:v>
                </c:pt>
                <c:pt idx="11">
                  <c:v>3.68</c:v>
                </c:pt>
                <c:pt idx="12">
                  <c:v>3.661</c:v>
                </c:pt>
                <c:pt idx="13">
                  <c:v>3.4990000000000001</c:v>
                </c:pt>
                <c:pt idx="14">
                  <c:v>3.5209999999999999</c:v>
                </c:pt>
                <c:pt idx="15">
                  <c:v>3.548</c:v>
                </c:pt>
                <c:pt idx="16">
                  <c:v>3.6019999999999999</c:v>
                </c:pt>
                <c:pt idx="17">
                  <c:v>3.5790000000000002</c:v>
                </c:pt>
                <c:pt idx="18">
                  <c:v>3.62</c:v>
                </c:pt>
                <c:pt idx="19">
                  <c:v>3.6419999999999999</c:v>
                </c:pt>
                <c:pt idx="20">
                  <c:v>3.6480000000000001</c:v>
                </c:pt>
                <c:pt idx="21">
                  <c:v>3.6480000000000001</c:v>
                </c:pt>
                <c:pt idx="22">
                  <c:v>3.6480000000000001</c:v>
                </c:pt>
                <c:pt idx="23">
                  <c:v>3.6859999999999999</c:v>
                </c:pt>
                <c:pt idx="24">
                  <c:v>3.653</c:v>
                </c:pt>
                <c:pt idx="25">
                  <c:v>3.6379999999999999</c:v>
                </c:pt>
                <c:pt idx="26">
                  <c:v>3.6640000000000001</c:v>
                </c:pt>
                <c:pt idx="27">
                  <c:v>3.7</c:v>
                </c:pt>
                <c:pt idx="28">
                  <c:v>3.71</c:v>
                </c:pt>
                <c:pt idx="29">
                  <c:v>3.7010000000000001</c:v>
                </c:pt>
                <c:pt idx="30">
                  <c:v>3.6960000000000002</c:v>
                </c:pt>
                <c:pt idx="31">
                  <c:v>3.71</c:v>
                </c:pt>
                <c:pt idx="32">
                  <c:v>3.7170000000000001</c:v>
                </c:pt>
                <c:pt idx="33">
                  <c:v>3.7170000000000001</c:v>
                </c:pt>
                <c:pt idx="34">
                  <c:v>3.72</c:v>
                </c:pt>
                <c:pt idx="35">
                  <c:v>3.718</c:v>
                </c:pt>
                <c:pt idx="36">
                  <c:v>3.7</c:v>
                </c:pt>
                <c:pt idx="37">
                  <c:v>3.681</c:v>
                </c:pt>
                <c:pt idx="38">
                  <c:v>3.6659999999999999</c:v>
                </c:pt>
                <c:pt idx="39">
                  <c:v>3.6669999999999998</c:v>
                </c:pt>
                <c:pt idx="40">
                  <c:v>3.6360000000000001</c:v>
                </c:pt>
                <c:pt idx="41">
                  <c:v>3.6349999999999998</c:v>
                </c:pt>
                <c:pt idx="42">
                  <c:v>3.63</c:v>
                </c:pt>
                <c:pt idx="43">
                  <c:v>3.6150000000000002</c:v>
                </c:pt>
                <c:pt idx="44">
                  <c:v>3.6379999999999999</c:v>
                </c:pt>
                <c:pt idx="45">
                  <c:v>3.645</c:v>
                </c:pt>
                <c:pt idx="46">
                  <c:v>3.6629999999999998</c:v>
                </c:pt>
                <c:pt idx="47">
                  <c:v>3.6789999999999998</c:v>
                </c:pt>
                <c:pt idx="48">
                  <c:v>3.68</c:v>
                </c:pt>
                <c:pt idx="49">
                  <c:v>3.6880000000000002</c:v>
                </c:pt>
                <c:pt idx="50">
                  <c:v>3.657</c:v>
                </c:pt>
                <c:pt idx="51">
                  <c:v>3.661</c:v>
                </c:pt>
                <c:pt idx="52">
                  <c:v>3.6930000000000001</c:v>
                </c:pt>
                <c:pt idx="53">
                  <c:v>3.6819999999999999</c:v>
                </c:pt>
                <c:pt idx="54">
                  <c:v>3.65</c:v>
                </c:pt>
                <c:pt idx="55">
                  <c:v>3.6230000000000002</c:v>
                </c:pt>
                <c:pt idx="56">
                  <c:v>3.6230000000000002</c:v>
                </c:pt>
                <c:pt idx="57">
                  <c:v>3.5859999999999999</c:v>
                </c:pt>
                <c:pt idx="58">
                  <c:v>3.617</c:v>
                </c:pt>
                <c:pt idx="59">
                  <c:v>3.6040000000000001</c:v>
                </c:pt>
                <c:pt idx="60">
                  <c:v>3.5859999999999999</c:v>
                </c:pt>
                <c:pt idx="61">
                  <c:v>3.5920000000000001</c:v>
                </c:pt>
                <c:pt idx="62">
                  <c:v>3.5870000000000002</c:v>
                </c:pt>
                <c:pt idx="63">
                  <c:v>3.5760000000000001</c:v>
                </c:pt>
                <c:pt idx="64">
                  <c:v>3.5369999999999999</c:v>
                </c:pt>
                <c:pt idx="65">
                  <c:v>3.4790000000000001</c:v>
                </c:pt>
                <c:pt idx="66">
                  <c:v>3.468</c:v>
                </c:pt>
                <c:pt idx="67">
                  <c:v>3.4969999999999999</c:v>
                </c:pt>
                <c:pt idx="68">
                  <c:v>3.52</c:v>
                </c:pt>
                <c:pt idx="69">
                  <c:v>3.51</c:v>
                </c:pt>
                <c:pt idx="70">
                  <c:v>3.532</c:v>
                </c:pt>
                <c:pt idx="71">
                  <c:v>3.552</c:v>
                </c:pt>
                <c:pt idx="72">
                  <c:v>3.5489999999999999</c:v>
                </c:pt>
                <c:pt idx="73">
                  <c:v>3.5150000000000001</c:v>
                </c:pt>
                <c:pt idx="74">
                  <c:v>3.5219999999999998</c:v>
                </c:pt>
                <c:pt idx="75">
                  <c:v>3.4990000000000001</c:v>
                </c:pt>
                <c:pt idx="76">
                  <c:v>3.4940000000000002</c:v>
                </c:pt>
                <c:pt idx="77">
                  <c:v>3.4849999999999999</c:v>
                </c:pt>
                <c:pt idx="78">
                  <c:v>3.4769999999999999</c:v>
                </c:pt>
                <c:pt idx="79">
                  <c:v>3.4430000000000001</c:v>
                </c:pt>
                <c:pt idx="80">
                  <c:v>3.516</c:v>
                </c:pt>
                <c:pt idx="81">
                  <c:v>3.5209999999999999</c:v>
                </c:pt>
                <c:pt idx="82">
                  <c:v>3.5670000000000002</c:v>
                </c:pt>
                <c:pt idx="83">
                  <c:v>3.573</c:v>
                </c:pt>
                <c:pt idx="84">
                  <c:v>3.548</c:v>
                </c:pt>
                <c:pt idx="85">
                  <c:v>3.524</c:v>
                </c:pt>
                <c:pt idx="86">
                  <c:v>3.524</c:v>
                </c:pt>
                <c:pt idx="87">
                  <c:v>3.4870000000000001</c:v>
                </c:pt>
                <c:pt idx="88">
                  <c:v>3.4689999999999999</c:v>
                </c:pt>
                <c:pt idx="89">
                  <c:v>3.4780000000000002</c:v>
                </c:pt>
                <c:pt idx="90">
                  <c:v>3.464</c:v>
                </c:pt>
                <c:pt idx="91">
                  <c:v>3.47</c:v>
                </c:pt>
                <c:pt idx="92">
                  <c:v>3.5</c:v>
                </c:pt>
                <c:pt idx="93">
                  <c:v>3.5270000000000001</c:v>
                </c:pt>
                <c:pt idx="94">
                  <c:v>3.5510000000000002</c:v>
                </c:pt>
                <c:pt idx="95">
                  <c:v>3.5569999999999999</c:v>
                </c:pt>
                <c:pt idx="96">
                  <c:v>3.597</c:v>
                </c:pt>
                <c:pt idx="97">
                  <c:v>3.5630000000000002</c:v>
                </c:pt>
                <c:pt idx="98">
                  <c:v>3.5920000000000001</c:v>
                </c:pt>
                <c:pt idx="99">
                  <c:v>3.61</c:v>
                </c:pt>
                <c:pt idx="100">
                  <c:v>3.6520000000000001</c:v>
                </c:pt>
                <c:pt idx="101">
                  <c:v>3.6480000000000001</c:v>
                </c:pt>
                <c:pt idx="102">
                  <c:v>3.6549999999999998</c:v>
                </c:pt>
                <c:pt idx="103">
                  <c:v>3.6389999999999998</c:v>
                </c:pt>
                <c:pt idx="104">
                  <c:v>3.6160000000000001</c:v>
                </c:pt>
                <c:pt idx="105">
                  <c:v>3.6339999999999999</c:v>
                </c:pt>
                <c:pt idx="106">
                  <c:v>3.64</c:v>
                </c:pt>
                <c:pt idx="107">
                  <c:v>3.6389999999999998</c:v>
                </c:pt>
                <c:pt idx="108">
                  <c:v>3.6259999999999999</c:v>
                </c:pt>
                <c:pt idx="109">
                  <c:v>3.609</c:v>
                </c:pt>
                <c:pt idx="110">
                  <c:v>3.5950000000000002</c:v>
                </c:pt>
                <c:pt idx="111">
                  <c:v>3.605</c:v>
                </c:pt>
                <c:pt idx="112">
                  <c:v>3.6139999999999999</c:v>
                </c:pt>
                <c:pt idx="113">
                  <c:v>3.6269999999999998</c:v>
                </c:pt>
                <c:pt idx="114">
                  <c:v>3.633</c:v>
                </c:pt>
                <c:pt idx="115">
                  <c:v>3.645</c:v>
                </c:pt>
                <c:pt idx="116">
                  <c:v>3.6579999999999999</c:v>
                </c:pt>
                <c:pt idx="117">
                  <c:v>3.6749999999999998</c:v>
                </c:pt>
                <c:pt idx="118">
                  <c:v>3.6789999999999998</c:v>
                </c:pt>
                <c:pt idx="119">
                  <c:v>3.68</c:v>
                </c:pt>
                <c:pt idx="120">
                  <c:v>3.677</c:v>
                </c:pt>
                <c:pt idx="121">
                  <c:v>3.6619999999999999</c:v>
                </c:pt>
                <c:pt idx="122">
                  <c:v>3.665</c:v>
                </c:pt>
                <c:pt idx="123">
                  <c:v>3.681</c:v>
                </c:pt>
                <c:pt idx="124">
                  <c:v>3.698</c:v>
                </c:pt>
                <c:pt idx="125">
                  <c:v>3.6989999999999998</c:v>
                </c:pt>
                <c:pt idx="126">
                  <c:v>3.6989999999999998</c:v>
                </c:pt>
                <c:pt idx="127">
                  <c:v>3.6880000000000002</c:v>
                </c:pt>
                <c:pt idx="128">
                  <c:v>3.6579999999999999</c:v>
                </c:pt>
                <c:pt idx="129">
                  <c:v>3.6360000000000001</c:v>
                </c:pt>
                <c:pt idx="130">
                  <c:v>3.625</c:v>
                </c:pt>
                <c:pt idx="131">
                  <c:v>3.625</c:v>
                </c:pt>
                <c:pt idx="132">
                  <c:v>3.625</c:v>
                </c:pt>
                <c:pt idx="133">
                  <c:v>3.625</c:v>
                </c:pt>
                <c:pt idx="134">
                  <c:v>3.625</c:v>
                </c:pt>
                <c:pt idx="135">
                  <c:v>3.625</c:v>
                </c:pt>
                <c:pt idx="136">
                  <c:v>3.6190000000000002</c:v>
                </c:pt>
                <c:pt idx="137">
                  <c:v>3.6280000000000001</c:v>
                </c:pt>
                <c:pt idx="138">
                  <c:v>3.6219999999999999</c:v>
                </c:pt>
                <c:pt idx="139">
                  <c:v>3.59</c:v>
                </c:pt>
                <c:pt idx="140">
                  <c:v>3.585</c:v>
                </c:pt>
                <c:pt idx="141">
                  <c:v>3.5990000000000002</c:v>
                </c:pt>
                <c:pt idx="142">
                  <c:v>3.5859999999999999</c:v>
                </c:pt>
                <c:pt idx="143">
                  <c:v>3.5880000000000001</c:v>
                </c:pt>
                <c:pt idx="144">
                  <c:v>3.5640000000000001</c:v>
                </c:pt>
                <c:pt idx="145">
                  <c:v>3.5760000000000001</c:v>
                </c:pt>
                <c:pt idx="146">
                  <c:v>3.6030000000000002</c:v>
                </c:pt>
                <c:pt idx="147">
                  <c:v>3.585</c:v>
                </c:pt>
                <c:pt idx="148">
                  <c:v>3.5649999999999999</c:v>
                </c:pt>
                <c:pt idx="149">
                  <c:v>3.5449999999999999</c:v>
                </c:pt>
                <c:pt idx="150">
                  <c:v>3.5510000000000002</c:v>
                </c:pt>
                <c:pt idx="151">
                  <c:v>3.5289999999999999</c:v>
                </c:pt>
                <c:pt idx="152">
                  <c:v>3.5379999999999998</c:v>
                </c:pt>
                <c:pt idx="153">
                  <c:v>3.536</c:v>
                </c:pt>
                <c:pt idx="154">
                  <c:v>3.5219999999999998</c:v>
                </c:pt>
                <c:pt idx="155">
                  <c:v>3.5539999999999998</c:v>
                </c:pt>
                <c:pt idx="156">
                  <c:v>3.5379999999999998</c:v>
                </c:pt>
                <c:pt idx="157">
                  <c:v>3.5259999999999998</c:v>
                </c:pt>
                <c:pt idx="158">
                  <c:v>3.5070000000000001</c:v>
                </c:pt>
                <c:pt idx="159">
                  <c:v>3.4990000000000001</c:v>
                </c:pt>
                <c:pt idx="160">
                  <c:v>3.49</c:v>
                </c:pt>
                <c:pt idx="161">
                  <c:v>3.4889999999999999</c:v>
                </c:pt>
                <c:pt idx="162">
                  <c:v>3.4830000000000001</c:v>
                </c:pt>
                <c:pt idx="163">
                  <c:v>3.4319999999999991</c:v>
                </c:pt>
                <c:pt idx="164">
                  <c:v>3.411999999999999</c:v>
                </c:pt>
                <c:pt idx="165">
                  <c:v>3.3620000000000001</c:v>
                </c:pt>
                <c:pt idx="166">
                  <c:v>3.3929999999999998</c:v>
                </c:pt>
                <c:pt idx="167">
                  <c:v>3.391999999999999</c:v>
                </c:pt>
                <c:pt idx="168">
                  <c:v>3.387</c:v>
                </c:pt>
                <c:pt idx="169">
                  <c:v>3.395999999999999</c:v>
                </c:pt>
                <c:pt idx="170">
                  <c:v>3.4169999999999998</c:v>
                </c:pt>
                <c:pt idx="171">
                  <c:v>3.4129999999999998</c:v>
                </c:pt>
                <c:pt idx="172">
                  <c:v>3.411</c:v>
                </c:pt>
                <c:pt idx="173">
                  <c:v>3.4</c:v>
                </c:pt>
                <c:pt idx="174">
                  <c:v>3.3839999999999999</c:v>
                </c:pt>
                <c:pt idx="175">
                  <c:v>3.38</c:v>
                </c:pt>
                <c:pt idx="176">
                  <c:v>3.3809999999999998</c:v>
                </c:pt>
                <c:pt idx="177">
                  <c:v>3.3389999999999991</c:v>
                </c:pt>
                <c:pt idx="178">
                  <c:v>3.3189999999999991</c:v>
                </c:pt>
                <c:pt idx="179">
                  <c:v>3.3159999999999989</c:v>
                </c:pt>
                <c:pt idx="180">
                  <c:v>3.3130000000000002</c:v>
                </c:pt>
                <c:pt idx="181">
                  <c:v>3.274</c:v>
                </c:pt>
                <c:pt idx="182">
                  <c:v>3.3029999999999999</c:v>
                </c:pt>
                <c:pt idx="183">
                  <c:v>3.286</c:v>
                </c:pt>
                <c:pt idx="184">
                  <c:v>3.3530000000000002</c:v>
                </c:pt>
                <c:pt idx="185">
                  <c:v>3.375</c:v>
                </c:pt>
                <c:pt idx="186">
                  <c:v>3.383</c:v>
                </c:pt>
                <c:pt idx="187">
                  <c:v>3.3820000000000001</c:v>
                </c:pt>
                <c:pt idx="188">
                  <c:v>3.3610000000000002</c:v>
                </c:pt>
                <c:pt idx="189">
                  <c:v>3.335999999999999</c:v>
                </c:pt>
                <c:pt idx="190">
                  <c:v>3.3279999999999998</c:v>
                </c:pt>
                <c:pt idx="191">
                  <c:v>3.351999999999999</c:v>
                </c:pt>
                <c:pt idx="192">
                  <c:v>3.32</c:v>
                </c:pt>
                <c:pt idx="193">
                  <c:v>3.31</c:v>
                </c:pt>
                <c:pt idx="194">
                  <c:v>3.31</c:v>
                </c:pt>
                <c:pt idx="195">
                  <c:v>3.31</c:v>
                </c:pt>
                <c:pt idx="196">
                  <c:v>3.31</c:v>
                </c:pt>
                <c:pt idx="197">
                  <c:v>3.31</c:v>
                </c:pt>
                <c:pt idx="198">
                  <c:v>3.1779999999999999</c:v>
                </c:pt>
                <c:pt idx="199">
                  <c:v>3.1560000000000001</c:v>
                </c:pt>
                <c:pt idx="200">
                  <c:v>3.1379999999999999</c:v>
                </c:pt>
                <c:pt idx="201">
                  <c:v>3.169</c:v>
                </c:pt>
                <c:pt idx="202">
                  <c:v>3.1469999999999998</c:v>
                </c:pt>
                <c:pt idx="203">
                  <c:v>3.1469999999999998</c:v>
                </c:pt>
                <c:pt idx="204">
                  <c:v>3.1469999999999998</c:v>
                </c:pt>
                <c:pt idx="205">
                  <c:v>3.12</c:v>
                </c:pt>
                <c:pt idx="206">
                  <c:v>3.141</c:v>
                </c:pt>
                <c:pt idx="207">
                  <c:v>3.1469999999999998</c:v>
                </c:pt>
                <c:pt idx="208">
                  <c:v>3.0830000000000002</c:v>
                </c:pt>
                <c:pt idx="209">
                  <c:v>3.081</c:v>
                </c:pt>
                <c:pt idx="210">
                  <c:v>3.105</c:v>
                </c:pt>
                <c:pt idx="211">
                  <c:v>3.1120000000000001</c:v>
                </c:pt>
                <c:pt idx="212">
                  <c:v>3.121</c:v>
                </c:pt>
                <c:pt idx="213">
                  <c:v>3.1320000000000001</c:v>
                </c:pt>
                <c:pt idx="214">
                  <c:v>3.1320000000000001</c:v>
                </c:pt>
                <c:pt idx="215">
                  <c:v>3.1440000000000001</c:v>
                </c:pt>
                <c:pt idx="216">
                  <c:v>3.1539999999999999</c:v>
                </c:pt>
                <c:pt idx="217">
                  <c:v>3.137</c:v>
                </c:pt>
                <c:pt idx="218">
                  <c:v>3.1349999999999998</c:v>
                </c:pt>
                <c:pt idx="219">
                  <c:v>3.1059999999999999</c:v>
                </c:pt>
                <c:pt idx="220">
                  <c:v>3.11</c:v>
                </c:pt>
                <c:pt idx="221">
                  <c:v>3.11</c:v>
                </c:pt>
                <c:pt idx="222">
                  <c:v>3.11</c:v>
                </c:pt>
                <c:pt idx="223">
                  <c:v>3.11</c:v>
                </c:pt>
                <c:pt idx="224">
                  <c:v>3.11</c:v>
                </c:pt>
                <c:pt idx="225">
                  <c:v>3.11</c:v>
                </c:pt>
                <c:pt idx="226">
                  <c:v>3.11</c:v>
                </c:pt>
                <c:pt idx="227">
                  <c:v>3.077</c:v>
                </c:pt>
                <c:pt idx="228">
                  <c:v>3.0779999999999998</c:v>
                </c:pt>
                <c:pt idx="229">
                  <c:v>3.089</c:v>
                </c:pt>
                <c:pt idx="230">
                  <c:v>3.0880000000000001</c:v>
                </c:pt>
                <c:pt idx="231">
                  <c:v>3.1139999999999999</c:v>
                </c:pt>
                <c:pt idx="232">
                  <c:v>3.1280000000000001</c:v>
                </c:pt>
                <c:pt idx="233">
                  <c:v>3.1179999999999999</c:v>
                </c:pt>
                <c:pt idx="234">
                  <c:v>3.137</c:v>
                </c:pt>
                <c:pt idx="235">
                  <c:v>3.145</c:v>
                </c:pt>
                <c:pt idx="236">
                  <c:v>3.1720000000000002</c:v>
                </c:pt>
                <c:pt idx="237">
                  <c:v>3.19</c:v>
                </c:pt>
                <c:pt idx="238">
                  <c:v>3.177</c:v>
                </c:pt>
                <c:pt idx="239">
                  <c:v>3.1779999999999999</c:v>
                </c:pt>
              </c:numCache>
            </c:numRef>
          </c:val>
          <c:smooth val="0"/>
        </c:ser>
        <c:ser>
          <c:idx val="2"/>
          <c:order val="2"/>
          <c:tx>
            <c:strRef>
              <c:f>'10 Year Bond Yield'!$I$1</c:f>
              <c:strCache>
                <c:ptCount val="1"/>
                <c:pt idx="0">
                  <c:v>Brazil</c:v>
                </c:pt>
              </c:strCache>
            </c:strRef>
          </c:tx>
          <c:spPr>
            <a:ln w="28575" cap="rnd">
              <a:solidFill>
                <a:schemeClr val="accent3"/>
              </a:solidFill>
              <a:round/>
            </a:ln>
            <a:effectLst/>
          </c:spPr>
          <c:marker>
            <c:symbol val="none"/>
          </c:marker>
          <c:cat>
            <c:numRef>
              <c:f>'10 Year Bond Yield'!$A$1891:$A$2130</c:f>
              <c:numCache>
                <c:formatCode>[$-409]mmm\-yy;@</c:formatCode>
                <c:ptCount val="240"/>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numCache>
            </c:numRef>
          </c:cat>
          <c:val>
            <c:numRef>
              <c:f>'10 Year Bond Yield'!$I$1891:$I$2130</c:f>
              <c:numCache>
                <c:formatCode>0.00</c:formatCode>
                <c:ptCount val="240"/>
                <c:pt idx="0">
                  <c:v>9.8510000000000009</c:v>
                </c:pt>
                <c:pt idx="1">
                  <c:v>9.7750000000000004</c:v>
                </c:pt>
                <c:pt idx="2">
                  <c:v>9.8010000000000002</c:v>
                </c:pt>
                <c:pt idx="3">
                  <c:v>9.9009999999999998</c:v>
                </c:pt>
                <c:pt idx="4">
                  <c:v>9.8360000000000003</c:v>
                </c:pt>
                <c:pt idx="5">
                  <c:v>9.8109999999999999</c:v>
                </c:pt>
                <c:pt idx="6">
                  <c:v>9.7279999999999962</c:v>
                </c:pt>
                <c:pt idx="7">
                  <c:v>9.7439999999999962</c:v>
                </c:pt>
                <c:pt idx="8">
                  <c:v>9.7669999999999995</c:v>
                </c:pt>
                <c:pt idx="9">
                  <c:v>9.9109999999999996</c:v>
                </c:pt>
                <c:pt idx="10">
                  <c:v>9.907</c:v>
                </c:pt>
                <c:pt idx="11">
                  <c:v>9.9049999999999994</c:v>
                </c:pt>
                <c:pt idx="12">
                  <c:v>9.8439999999999994</c:v>
                </c:pt>
                <c:pt idx="13">
                  <c:v>9.7840000000000007</c:v>
                </c:pt>
                <c:pt idx="14">
                  <c:v>9.8350000000000009</c:v>
                </c:pt>
                <c:pt idx="15">
                  <c:v>9.8659999999999997</c:v>
                </c:pt>
                <c:pt idx="16">
                  <c:v>9.8360000000000003</c:v>
                </c:pt>
                <c:pt idx="17">
                  <c:v>9.8360000000000003</c:v>
                </c:pt>
                <c:pt idx="18">
                  <c:v>9.92</c:v>
                </c:pt>
                <c:pt idx="19">
                  <c:v>10.016999999999999</c:v>
                </c:pt>
                <c:pt idx="20">
                  <c:v>10.221</c:v>
                </c:pt>
                <c:pt idx="21">
                  <c:v>9.984</c:v>
                </c:pt>
                <c:pt idx="22">
                  <c:v>10.07</c:v>
                </c:pt>
                <c:pt idx="23">
                  <c:v>10.122999999999999</c:v>
                </c:pt>
                <c:pt idx="24">
                  <c:v>10.173</c:v>
                </c:pt>
                <c:pt idx="25">
                  <c:v>10.196999999999999</c:v>
                </c:pt>
                <c:pt idx="26">
                  <c:v>10.249000000000001</c:v>
                </c:pt>
                <c:pt idx="27">
                  <c:v>10.612</c:v>
                </c:pt>
                <c:pt idx="28">
                  <c:v>10.548</c:v>
                </c:pt>
                <c:pt idx="29">
                  <c:v>10.711</c:v>
                </c:pt>
                <c:pt idx="30">
                  <c:v>10.686999999999999</c:v>
                </c:pt>
                <c:pt idx="31">
                  <c:v>10.852</c:v>
                </c:pt>
                <c:pt idx="32">
                  <c:v>11.048</c:v>
                </c:pt>
                <c:pt idx="33">
                  <c:v>11.167</c:v>
                </c:pt>
                <c:pt idx="34">
                  <c:v>11.417999999999999</c:v>
                </c:pt>
                <c:pt idx="35">
                  <c:v>11.456</c:v>
                </c:pt>
                <c:pt idx="36">
                  <c:v>11.416</c:v>
                </c:pt>
                <c:pt idx="37">
                  <c:v>11.446</c:v>
                </c:pt>
                <c:pt idx="38">
                  <c:v>12.077999999999999</c:v>
                </c:pt>
                <c:pt idx="39">
                  <c:v>12.401999999999999</c:v>
                </c:pt>
                <c:pt idx="40">
                  <c:v>12.103999999999999</c:v>
                </c:pt>
                <c:pt idx="41">
                  <c:v>11.643000000000001</c:v>
                </c:pt>
                <c:pt idx="42">
                  <c:v>11.686</c:v>
                </c:pt>
                <c:pt idx="43">
                  <c:v>11.81</c:v>
                </c:pt>
                <c:pt idx="44">
                  <c:v>12.313000000000001</c:v>
                </c:pt>
                <c:pt idx="45">
                  <c:v>12.092000000000001</c:v>
                </c:pt>
                <c:pt idx="46">
                  <c:v>12.103999999999999</c:v>
                </c:pt>
                <c:pt idx="47">
                  <c:v>11.839</c:v>
                </c:pt>
                <c:pt idx="48">
                  <c:v>11.832000000000001</c:v>
                </c:pt>
                <c:pt idx="49">
                  <c:v>12.063000000000001</c:v>
                </c:pt>
                <c:pt idx="50">
                  <c:v>12.106</c:v>
                </c:pt>
                <c:pt idx="51">
                  <c:v>11.941000000000001</c:v>
                </c:pt>
                <c:pt idx="52">
                  <c:v>11.897</c:v>
                </c:pt>
                <c:pt idx="53">
                  <c:v>11.912000000000001</c:v>
                </c:pt>
                <c:pt idx="54">
                  <c:v>11.852</c:v>
                </c:pt>
                <c:pt idx="55">
                  <c:v>11.675000000000001</c:v>
                </c:pt>
                <c:pt idx="56">
                  <c:v>11.404</c:v>
                </c:pt>
                <c:pt idx="57">
                  <c:v>11.433</c:v>
                </c:pt>
                <c:pt idx="58">
                  <c:v>11.353</c:v>
                </c:pt>
                <c:pt idx="59">
                  <c:v>11.444000000000001</c:v>
                </c:pt>
                <c:pt idx="60">
                  <c:v>11.302</c:v>
                </c:pt>
                <c:pt idx="61">
                  <c:v>11.21</c:v>
                </c:pt>
                <c:pt idx="62">
                  <c:v>11.307</c:v>
                </c:pt>
                <c:pt idx="63">
                  <c:v>11.452999999999999</c:v>
                </c:pt>
                <c:pt idx="64">
                  <c:v>11.4</c:v>
                </c:pt>
                <c:pt idx="65">
                  <c:v>11.476000000000001</c:v>
                </c:pt>
                <c:pt idx="66">
                  <c:v>11.414</c:v>
                </c:pt>
                <c:pt idx="67">
                  <c:v>11.416</c:v>
                </c:pt>
                <c:pt idx="68">
                  <c:v>11.173999999999999</c:v>
                </c:pt>
                <c:pt idx="69">
                  <c:v>11.038</c:v>
                </c:pt>
                <c:pt idx="70">
                  <c:v>11.058</c:v>
                </c:pt>
                <c:pt idx="71">
                  <c:v>11.087</c:v>
                </c:pt>
                <c:pt idx="72">
                  <c:v>10.930999999999999</c:v>
                </c:pt>
                <c:pt idx="73">
                  <c:v>11.068</c:v>
                </c:pt>
                <c:pt idx="74">
                  <c:v>11.042999999999999</c:v>
                </c:pt>
                <c:pt idx="75">
                  <c:v>11.061</c:v>
                </c:pt>
                <c:pt idx="76">
                  <c:v>11.177</c:v>
                </c:pt>
                <c:pt idx="77">
                  <c:v>11.291</c:v>
                </c:pt>
                <c:pt idx="78">
                  <c:v>11.173999999999999</c:v>
                </c:pt>
                <c:pt idx="79">
                  <c:v>11.038</c:v>
                </c:pt>
                <c:pt idx="80">
                  <c:v>11.058</c:v>
                </c:pt>
                <c:pt idx="81">
                  <c:v>11.087</c:v>
                </c:pt>
                <c:pt idx="82">
                  <c:v>10.930999999999999</c:v>
                </c:pt>
                <c:pt idx="83">
                  <c:v>11.068</c:v>
                </c:pt>
                <c:pt idx="84">
                  <c:v>11.042999999999999</c:v>
                </c:pt>
                <c:pt idx="85">
                  <c:v>11.061</c:v>
                </c:pt>
                <c:pt idx="86">
                  <c:v>11.177</c:v>
                </c:pt>
                <c:pt idx="87">
                  <c:v>11.177</c:v>
                </c:pt>
                <c:pt idx="88">
                  <c:v>11.291</c:v>
                </c:pt>
                <c:pt idx="89">
                  <c:v>11.314</c:v>
                </c:pt>
                <c:pt idx="90">
                  <c:v>11.159000000000001</c:v>
                </c:pt>
                <c:pt idx="91">
                  <c:v>11.15</c:v>
                </c:pt>
                <c:pt idx="92">
                  <c:v>11.237</c:v>
                </c:pt>
                <c:pt idx="93">
                  <c:v>11.413</c:v>
                </c:pt>
                <c:pt idx="94">
                  <c:v>11.571</c:v>
                </c:pt>
                <c:pt idx="95">
                  <c:v>11.847</c:v>
                </c:pt>
                <c:pt idx="96">
                  <c:v>11.827</c:v>
                </c:pt>
                <c:pt idx="97">
                  <c:v>11.696999999999999</c:v>
                </c:pt>
                <c:pt idx="98">
                  <c:v>11.634</c:v>
                </c:pt>
                <c:pt idx="99">
                  <c:v>11.734999999999999</c:v>
                </c:pt>
                <c:pt idx="100">
                  <c:v>11.867000000000001</c:v>
                </c:pt>
                <c:pt idx="101">
                  <c:v>11.958</c:v>
                </c:pt>
                <c:pt idx="102">
                  <c:v>12.398999999999999</c:v>
                </c:pt>
                <c:pt idx="103">
                  <c:v>12.106999999999999</c:v>
                </c:pt>
                <c:pt idx="104">
                  <c:v>12.262</c:v>
                </c:pt>
                <c:pt idx="105">
                  <c:v>12.084</c:v>
                </c:pt>
                <c:pt idx="106">
                  <c:v>12.007</c:v>
                </c:pt>
                <c:pt idx="107">
                  <c:v>12.098000000000001</c:v>
                </c:pt>
                <c:pt idx="108">
                  <c:v>12.102</c:v>
                </c:pt>
                <c:pt idx="109">
                  <c:v>12.362</c:v>
                </c:pt>
                <c:pt idx="110">
                  <c:v>12.196</c:v>
                </c:pt>
                <c:pt idx="111">
                  <c:v>12.352</c:v>
                </c:pt>
                <c:pt idx="112">
                  <c:v>12.526999999999999</c:v>
                </c:pt>
                <c:pt idx="113">
                  <c:v>12.596</c:v>
                </c:pt>
                <c:pt idx="114">
                  <c:v>12.157</c:v>
                </c:pt>
                <c:pt idx="115">
                  <c:v>12.157</c:v>
                </c:pt>
                <c:pt idx="116">
                  <c:v>12.281000000000001</c:v>
                </c:pt>
                <c:pt idx="117">
                  <c:v>12.46</c:v>
                </c:pt>
                <c:pt idx="118">
                  <c:v>12.43</c:v>
                </c:pt>
                <c:pt idx="119">
                  <c:v>12.457000000000001</c:v>
                </c:pt>
                <c:pt idx="120">
                  <c:v>12.4</c:v>
                </c:pt>
                <c:pt idx="121">
                  <c:v>12.278</c:v>
                </c:pt>
                <c:pt idx="122">
                  <c:v>12.279</c:v>
                </c:pt>
                <c:pt idx="123">
                  <c:v>12.127000000000001</c:v>
                </c:pt>
                <c:pt idx="124">
                  <c:v>12.055</c:v>
                </c:pt>
                <c:pt idx="125">
                  <c:v>11.778</c:v>
                </c:pt>
                <c:pt idx="126">
                  <c:v>11.835000000000001</c:v>
                </c:pt>
                <c:pt idx="127">
                  <c:v>11.840999999999999</c:v>
                </c:pt>
                <c:pt idx="128">
                  <c:v>11.714</c:v>
                </c:pt>
                <c:pt idx="129">
                  <c:v>11.618</c:v>
                </c:pt>
                <c:pt idx="130">
                  <c:v>11.755000000000001</c:v>
                </c:pt>
                <c:pt idx="131">
                  <c:v>11.595000000000001</c:v>
                </c:pt>
                <c:pt idx="132">
                  <c:v>11.432</c:v>
                </c:pt>
                <c:pt idx="133">
                  <c:v>11.32</c:v>
                </c:pt>
                <c:pt idx="134">
                  <c:v>11.196999999999999</c:v>
                </c:pt>
                <c:pt idx="135">
                  <c:v>11.342000000000001</c:v>
                </c:pt>
                <c:pt idx="136">
                  <c:v>10.84</c:v>
                </c:pt>
                <c:pt idx="137">
                  <c:v>10.726000000000001</c:v>
                </c:pt>
                <c:pt idx="138">
                  <c:v>10.837</c:v>
                </c:pt>
                <c:pt idx="139">
                  <c:v>10.829000000000001</c:v>
                </c:pt>
                <c:pt idx="140">
                  <c:v>10.829000000000001</c:v>
                </c:pt>
                <c:pt idx="141">
                  <c:v>10.566000000000001</c:v>
                </c:pt>
                <c:pt idx="142">
                  <c:v>10.345000000000001</c:v>
                </c:pt>
                <c:pt idx="143">
                  <c:v>10.211</c:v>
                </c:pt>
                <c:pt idx="144">
                  <c:v>10.452</c:v>
                </c:pt>
                <c:pt idx="145">
                  <c:v>10.326000000000001</c:v>
                </c:pt>
                <c:pt idx="146">
                  <c:v>10.217000000000001</c:v>
                </c:pt>
                <c:pt idx="147">
                  <c:v>10.276999999999999</c:v>
                </c:pt>
                <c:pt idx="148">
                  <c:v>10.435</c:v>
                </c:pt>
                <c:pt idx="149">
                  <c:v>10.526999999999999</c:v>
                </c:pt>
                <c:pt idx="150">
                  <c:v>10.209</c:v>
                </c:pt>
                <c:pt idx="151">
                  <c:v>10.348000000000001</c:v>
                </c:pt>
                <c:pt idx="152">
                  <c:v>10.119999999999999</c:v>
                </c:pt>
                <c:pt idx="153">
                  <c:v>10.210000000000001</c:v>
                </c:pt>
                <c:pt idx="154">
                  <c:v>10.11</c:v>
                </c:pt>
                <c:pt idx="155">
                  <c:v>10.11</c:v>
                </c:pt>
                <c:pt idx="156">
                  <c:v>10.125</c:v>
                </c:pt>
                <c:pt idx="157">
                  <c:v>10.247999999999999</c:v>
                </c:pt>
                <c:pt idx="158">
                  <c:v>10.24</c:v>
                </c:pt>
                <c:pt idx="159">
                  <c:v>10.455</c:v>
                </c:pt>
                <c:pt idx="160">
                  <c:v>10.4</c:v>
                </c:pt>
                <c:pt idx="161">
                  <c:v>10.474</c:v>
                </c:pt>
                <c:pt idx="162">
                  <c:v>10.537000000000001</c:v>
                </c:pt>
                <c:pt idx="163">
                  <c:v>10.403</c:v>
                </c:pt>
                <c:pt idx="164">
                  <c:v>10.403</c:v>
                </c:pt>
                <c:pt idx="165">
                  <c:v>10.116</c:v>
                </c:pt>
                <c:pt idx="166">
                  <c:v>10.118</c:v>
                </c:pt>
                <c:pt idx="167">
                  <c:v>10.130000000000001</c:v>
                </c:pt>
                <c:pt idx="168">
                  <c:v>10.058999999999999</c:v>
                </c:pt>
                <c:pt idx="169">
                  <c:v>9.99</c:v>
                </c:pt>
                <c:pt idx="170">
                  <c:v>9.9</c:v>
                </c:pt>
                <c:pt idx="171">
                  <c:v>10.154999999999999</c:v>
                </c:pt>
                <c:pt idx="172">
                  <c:v>10.1</c:v>
                </c:pt>
                <c:pt idx="173">
                  <c:v>10.090999999999999</c:v>
                </c:pt>
                <c:pt idx="174">
                  <c:v>10.009</c:v>
                </c:pt>
                <c:pt idx="175">
                  <c:v>9.8940000000000001</c:v>
                </c:pt>
                <c:pt idx="176">
                  <c:v>9.9589999999999996</c:v>
                </c:pt>
                <c:pt idx="177">
                  <c:v>10.058999999999999</c:v>
                </c:pt>
                <c:pt idx="178">
                  <c:v>10.118</c:v>
                </c:pt>
                <c:pt idx="179">
                  <c:v>10.016999999999999</c:v>
                </c:pt>
                <c:pt idx="180">
                  <c:v>10.052</c:v>
                </c:pt>
                <c:pt idx="181">
                  <c:v>10.170999999999999</c:v>
                </c:pt>
                <c:pt idx="182">
                  <c:v>10.135999999999999</c:v>
                </c:pt>
                <c:pt idx="183">
                  <c:v>10.013999999999999</c:v>
                </c:pt>
                <c:pt idx="184">
                  <c:v>9.8079999999999998</c:v>
                </c:pt>
                <c:pt idx="185">
                  <c:v>9.65</c:v>
                </c:pt>
                <c:pt idx="186">
                  <c:v>9.6449999999999996</c:v>
                </c:pt>
                <c:pt idx="187">
                  <c:v>9.7209999999999983</c:v>
                </c:pt>
                <c:pt idx="188">
                  <c:v>9.5709999999999997</c:v>
                </c:pt>
                <c:pt idx="189">
                  <c:v>9.4269999999999996</c:v>
                </c:pt>
                <c:pt idx="190">
                  <c:v>9.3780000000000001</c:v>
                </c:pt>
                <c:pt idx="191">
                  <c:v>9.3780000000000001</c:v>
                </c:pt>
                <c:pt idx="192">
                  <c:v>9.3780000000000001</c:v>
                </c:pt>
                <c:pt idx="193">
                  <c:v>9.3520000000000003</c:v>
                </c:pt>
                <c:pt idx="194">
                  <c:v>9.2899999999999991</c:v>
                </c:pt>
                <c:pt idx="195">
                  <c:v>9.2349999999999994</c:v>
                </c:pt>
                <c:pt idx="196">
                  <c:v>9.2349999999999994</c:v>
                </c:pt>
                <c:pt idx="197">
                  <c:v>9.2349999999999994</c:v>
                </c:pt>
                <c:pt idx="198">
                  <c:v>9.19</c:v>
                </c:pt>
                <c:pt idx="199">
                  <c:v>9.1630000000000003</c:v>
                </c:pt>
                <c:pt idx="200">
                  <c:v>9.1170000000000009</c:v>
                </c:pt>
                <c:pt idx="201">
                  <c:v>9.1750000000000007</c:v>
                </c:pt>
                <c:pt idx="202">
                  <c:v>9.1409999999999982</c:v>
                </c:pt>
                <c:pt idx="203">
                  <c:v>9.1080000000000005</c:v>
                </c:pt>
                <c:pt idx="204">
                  <c:v>9.2409999999999979</c:v>
                </c:pt>
                <c:pt idx="205">
                  <c:v>9.1859999999999999</c:v>
                </c:pt>
                <c:pt idx="206">
                  <c:v>9.1159999999999997</c:v>
                </c:pt>
                <c:pt idx="207">
                  <c:v>9.2429999999999986</c:v>
                </c:pt>
                <c:pt idx="208">
                  <c:v>9.2399999999999984</c:v>
                </c:pt>
                <c:pt idx="209">
                  <c:v>9.1649999999999991</c:v>
                </c:pt>
                <c:pt idx="210">
                  <c:v>9.08</c:v>
                </c:pt>
                <c:pt idx="211">
                  <c:v>9.0519999999999996</c:v>
                </c:pt>
                <c:pt idx="212">
                  <c:v>9.1050000000000004</c:v>
                </c:pt>
                <c:pt idx="213">
                  <c:v>8.9479999999999986</c:v>
                </c:pt>
                <c:pt idx="214">
                  <c:v>9.0830000000000002</c:v>
                </c:pt>
                <c:pt idx="215">
                  <c:v>9.0830000000000002</c:v>
                </c:pt>
                <c:pt idx="216">
                  <c:v>9.109</c:v>
                </c:pt>
                <c:pt idx="217">
                  <c:v>9.0180000000000007</c:v>
                </c:pt>
                <c:pt idx="218">
                  <c:v>9.0370000000000008</c:v>
                </c:pt>
                <c:pt idx="219">
                  <c:v>8.859</c:v>
                </c:pt>
                <c:pt idx="220">
                  <c:v>8.6950000000000003</c:v>
                </c:pt>
                <c:pt idx="221">
                  <c:v>8.7650000000000006</c:v>
                </c:pt>
                <c:pt idx="222">
                  <c:v>8.8040000000000003</c:v>
                </c:pt>
                <c:pt idx="223">
                  <c:v>8.9220000000000006</c:v>
                </c:pt>
                <c:pt idx="224">
                  <c:v>8.9909999999999997</c:v>
                </c:pt>
                <c:pt idx="225">
                  <c:v>9.0350000000000001</c:v>
                </c:pt>
                <c:pt idx="226">
                  <c:v>9.0359999999999996</c:v>
                </c:pt>
                <c:pt idx="227">
                  <c:v>8.9610000000000003</c:v>
                </c:pt>
                <c:pt idx="228">
                  <c:v>8.9420000000000002</c:v>
                </c:pt>
                <c:pt idx="229">
                  <c:v>8.7899999999999991</c:v>
                </c:pt>
                <c:pt idx="230">
                  <c:v>8.7810000000000006</c:v>
                </c:pt>
                <c:pt idx="231">
                  <c:v>8.9130000000000003</c:v>
                </c:pt>
                <c:pt idx="232">
                  <c:v>8.8740000000000006</c:v>
                </c:pt>
                <c:pt idx="233">
                  <c:v>8.9629999999999992</c:v>
                </c:pt>
                <c:pt idx="234">
                  <c:v>8.9879999999999995</c:v>
                </c:pt>
                <c:pt idx="235">
                  <c:v>8.9469999999999992</c:v>
                </c:pt>
                <c:pt idx="236">
                  <c:v>8.9749999999999996</c:v>
                </c:pt>
                <c:pt idx="237">
                  <c:v>8.99</c:v>
                </c:pt>
                <c:pt idx="238">
                  <c:v>8.952</c:v>
                </c:pt>
                <c:pt idx="239">
                  <c:v>9.0030000000000001</c:v>
                </c:pt>
              </c:numCache>
            </c:numRef>
          </c:val>
          <c:smooth val="0"/>
        </c:ser>
        <c:ser>
          <c:idx val="3"/>
          <c:order val="3"/>
          <c:tx>
            <c:strRef>
              <c:f>'10 Year Bond Yield'!$J$1</c:f>
              <c:strCache>
                <c:ptCount val="1"/>
                <c:pt idx="0">
                  <c:v>Russia</c:v>
                </c:pt>
              </c:strCache>
            </c:strRef>
          </c:tx>
          <c:spPr>
            <a:ln w="28575" cap="rnd">
              <a:solidFill>
                <a:schemeClr val="accent4"/>
              </a:solidFill>
              <a:round/>
            </a:ln>
            <a:effectLst/>
          </c:spPr>
          <c:marker>
            <c:symbol val="none"/>
          </c:marker>
          <c:cat>
            <c:numRef>
              <c:f>'10 Year Bond Yield'!$A$1891:$A$2130</c:f>
              <c:numCache>
                <c:formatCode>[$-409]mmm\-yy;@</c:formatCode>
                <c:ptCount val="240"/>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numCache>
            </c:numRef>
          </c:cat>
          <c:val>
            <c:numRef>
              <c:f>'10 Year Bond Yield'!$J$1891:$J$2130</c:f>
              <c:numCache>
                <c:formatCode>0.00</c:formatCode>
                <c:ptCount val="240"/>
                <c:pt idx="0">
                  <c:v>4.851</c:v>
                </c:pt>
                <c:pt idx="1">
                  <c:v>4.7779999999999996</c:v>
                </c:pt>
                <c:pt idx="2">
                  <c:v>4.8019999999999996</c:v>
                </c:pt>
                <c:pt idx="3">
                  <c:v>4.8969999999999994</c:v>
                </c:pt>
                <c:pt idx="4">
                  <c:v>4.8869999999999996</c:v>
                </c:pt>
                <c:pt idx="5">
                  <c:v>4.9279999999999999</c:v>
                </c:pt>
                <c:pt idx="6">
                  <c:v>4.9429999999999996</c:v>
                </c:pt>
                <c:pt idx="7">
                  <c:v>4.976</c:v>
                </c:pt>
                <c:pt idx="8">
                  <c:v>4.931</c:v>
                </c:pt>
                <c:pt idx="9">
                  <c:v>4.8539999999999992</c:v>
                </c:pt>
                <c:pt idx="10">
                  <c:v>4.7569999999999997</c:v>
                </c:pt>
                <c:pt idx="11">
                  <c:v>4.742</c:v>
                </c:pt>
                <c:pt idx="12">
                  <c:v>4.7149999999999999</c:v>
                </c:pt>
                <c:pt idx="13">
                  <c:v>4.7329999999999997</c:v>
                </c:pt>
                <c:pt idx="14">
                  <c:v>4.758</c:v>
                </c:pt>
                <c:pt idx="15">
                  <c:v>4.8109999999999999</c:v>
                </c:pt>
                <c:pt idx="16">
                  <c:v>4.8129999999999997</c:v>
                </c:pt>
                <c:pt idx="17">
                  <c:v>4.8229999999999986</c:v>
                </c:pt>
                <c:pt idx="18">
                  <c:v>4.8339999999999996</c:v>
                </c:pt>
                <c:pt idx="19">
                  <c:v>4.8460000000000001</c:v>
                </c:pt>
                <c:pt idx="20">
                  <c:v>4.8890000000000002</c:v>
                </c:pt>
                <c:pt idx="21">
                  <c:v>4.9329999999999998</c:v>
                </c:pt>
                <c:pt idx="22">
                  <c:v>4.88</c:v>
                </c:pt>
                <c:pt idx="23">
                  <c:v>4.8899999999999997</c:v>
                </c:pt>
                <c:pt idx="24">
                  <c:v>4.952</c:v>
                </c:pt>
                <c:pt idx="25">
                  <c:v>5.0090000000000003</c:v>
                </c:pt>
                <c:pt idx="26">
                  <c:v>4.9589999999999996</c:v>
                </c:pt>
                <c:pt idx="27">
                  <c:v>4.9509999999999996</c:v>
                </c:pt>
                <c:pt idx="28">
                  <c:v>4.9029999999999996</c:v>
                </c:pt>
                <c:pt idx="29">
                  <c:v>4.9089999999999998</c:v>
                </c:pt>
                <c:pt idx="30">
                  <c:v>4.923</c:v>
                </c:pt>
                <c:pt idx="31">
                  <c:v>4.9000000000000004</c:v>
                </c:pt>
                <c:pt idx="32">
                  <c:v>4.8710000000000004</c:v>
                </c:pt>
                <c:pt idx="33">
                  <c:v>4.7880000000000003</c:v>
                </c:pt>
                <c:pt idx="34">
                  <c:v>4.7839999999999998</c:v>
                </c:pt>
                <c:pt idx="35">
                  <c:v>4.7219999999999986</c:v>
                </c:pt>
                <c:pt idx="36">
                  <c:v>4.6459999999999999</c:v>
                </c:pt>
                <c:pt idx="37">
                  <c:v>4.6469999999999994</c:v>
                </c:pt>
                <c:pt idx="38">
                  <c:v>4.5949999999999998</c:v>
                </c:pt>
                <c:pt idx="39">
                  <c:v>4.5669999999999993</c:v>
                </c:pt>
                <c:pt idx="40">
                  <c:v>4.5780000000000003</c:v>
                </c:pt>
                <c:pt idx="41">
                  <c:v>4.57</c:v>
                </c:pt>
                <c:pt idx="42">
                  <c:v>4.5110000000000001</c:v>
                </c:pt>
                <c:pt idx="43">
                  <c:v>4.5279999999999996</c:v>
                </c:pt>
                <c:pt idx="44">
                  <c:v>4.6119999999999992</c:v>
                </c:pt>
                <c:pt idx="45">
                  <c:v>4.8109999999999999</c:v>
                </c:pt>
                <c:pt idx="46">
                  <c:v>4.8129999999999997</c:v>
                </c:pt>
                <c:pt idx="47">
                  <c:v>4.8229999999999986</c:v>
                </c:pt>
                <c:pt idx="48">
                  <c:v>4.8339999999999996</c:v>
                </c:pt>
                <c:pt idx="49">
                  <c:v>4.8460000000000001</c:v>
                </c:pt>
                <c:pt idx="50">
                  <c:v>4.8890000000000002</c:v>
                </c:pt>
                <c:pt idx="51">
                  <c:v>4.9329999999999998</c:v>
                </c:pt>
                <c:pt idx="52">
                  <c:v>4.88</c:v>
                </c:pt>
                <c:pt idx="53">
                  <c:v>4.8899999999999997</c:v>
                </c:pt>
                <c:pt idx="54">
                  <c:v>4.952</c:v>
                </c:pt>
                <c:pt idx="55">
                  <c:v>5.0090000000000003</c:v>
                </c:pt>
                <c:pt idx="56">
                  <c:v>4.9589999999999996</c:v>
                </c:pt>
                <c:pt idx="57">
                  <c:v>4.9509999999999996</c:v>
                </c:pt>
                <c:pt idx="58">
                  <c:v>4.9029999999999996</c:v>
                </c:pt>
                <c:pt idx="59">
                  <c:v>4.9089999999999998</c:v>
                </c:pt>
                <c:pt idx="60">
                  <c:v>4.923</c:v>
                </c:pt>
                <c:pt idx="61">
                  <c:v>4.9000000000000004</c:v>
                </c:pt>
                <c:pt idx="62">
                  <c:v>4.8710000000000004</c:v>
                </c:pt>
                <c:pt idx="63">
                  <c:v>4.7880000000000003</c:v>
                </c:pt>
                <c:pt idx="64">
                  <c:v>4.7839999999999998</c:v>
                </c:pt>
                <c:pt idx="65">
                  <c:v>4.7219999999999986</c:v>
                </c:pt>
                <c:pt idx="66">
                  <c:v>4.6459999999999999</c:v>
                </c:pt>
                <c:pt idx="67">
                  <c:v>4.6469999999999994</c:v>
                </c:pt>
                <c:pt idx="68">
                  <c:v>4.5949999999999998</c:v>
                </c:pt>
                <c:pt idx="69">
                  <c:v>4.5669999999999993</c:v>
                </c:pt>
                <c:pt idx="70">
                  <c:v>4.5780000000000003</c:v>
                </c:pt>
                <c:pt idx="71">
                  <c:v>4.57</c:v>
                </c:pt>
                <c:pt idx="72">
                  <c:v>4.5110000000000001</c:v>
                </c:pt>
                <c:pt idx="73">
                  <c:v>4.5279999999999996</c:v>
                </c:pt>
                <c:pt idx="74">
                  <c:v>4.6119999999999992</c:v>
                </c:pt>
                <c:pt idx="75">
                  <c:v>4.6819999999999986</c:v>
                </c:pt>
                <c:pt idx="76">
                  <c:v>4.7059999999999986</c:v>
                </c:pt>
                <c:pt idx="77">
                  <c:v>4.6939999999999991</c:v>
                </c:pt>
                <c:pt idx="78">
                  <c:v>4.7030000000000003</c:v>
                </c:pt>
                <c:pt idx="79">
                  <c:v>4.7069999999999999</c:v>
                </c:pt>
                <c:pt idx="80">
                  <c:v>4.6949999999999994</c:v>
                </c:pt>
                <c:pt idx="81">
                  <c:v>4.67</c:v>
                </c:pt>
                <c:pt idx="82">
                  <c:v>4.6569999999999991</c:v>
                </c:pt>
                <c:pt idx="83">
                  <c:v>4.6499999999999986</c:v>
                </c:pt>
                <c:pt idx="84">
                  <c:v>4.6459999999999999</c:v>
                </c:pt>
                <c:pt idx="85">
                  <c:v>4.58674230769231</c:v>
                </c:pt>
                <c:pt idx="86">
                  <c:v>4.5782248592870491</c:v>
                </c:pt>
                <c:pt idx="87">
                  <c:v>4.5697074108817999</c:v>
                </c:pt>
                <c:pt idx="88">
                  <c:v>4.6849999999999996</c:v>
                </c:pt>
                <c:pt idx="89">
                  <c:v>4.7649999999999997</c:v>
                </c:pt>
                <c:pt idx="90">
                  <c:v>4.7409999999999997</c:v>
                </c:pt>
                <c:pt idx="91">
                  <c:v>4.7939999999999996</c:v>
                </c:pt>
                <c:pt idx="92">
                  <c:v>4.9180000000000001</c:v>
                </c:pt>
                <c:pt idx="93">
                  <c:v>5.0659999999999998</c:v>
                </c:pt>
                <c:pt idx="94">
                  <c:v>5.0919999999999996</c:v>
                </c:pt>
                <c:pt idx="95">
                  <c:v>5.1349999999999998</c:v>
                </c:pt>
                <c:pt idx="96">
                  <c:v>5.161999999999999</c:v>
                </c:pt>
                <c:pt idx="97">
                  <c:v>5.0430000000000001</c:v>
                </c:pt>
                <c:pt idx="98">
                  <c:v>5.0599999999999996</c:v>
                </c:pt>
                <c:pt idx="99">
                  <c:v>5.0539999999999994</c:v>
                </c:pt>
                <c:pt idx="100">
                  <c:v>5.0419999999999998</c:v>
                </c:pt>
                <c:pt idx="101">
                  <c:v>5.0569999999999986</c:v>
                </c:pt>
                <c:pt idx="102">
                  <c:v>5.0720000000000001</c:v>
                </c:pt>
                <c:pt idx="103">
                  <c:v>5.04</c:v>
                </c:pt>
                <c:pt idx="104">
                  <c:v>5.0389999999999997</c:v>
                </c:pt>
                <c:pt idx="105">
                  <c:v>5.0129999999999999</c:v>
                </c:pt>
                <c:pt idx="106">
                  <c:v>5.0199999999999996</c:v>
                </c:pt>
                <c:pt idx="107">
                  <c:v>4.9710000000000001</c:v>
                </c:pt>
                <c:pt idx="108">
                  <c:v>4.97</c:v>
                </c:pt>
                <c:pt idx="109">
                  <c:v>4.96</c:v>
                </c:pt>
                <c:pt idx="110">
                  <c:v>4.9690000000000003</c:v>
                </c:pt>
                <c:pt idx="111">
                  <c:v>4.9690000000000003</c:v>
                </c:pt>
                <c:pt idx="112">
                  <c:v>5.0229999999999997</c:v>
                </c:pt>
                <c:pt idx="113">
                  <c:v>5.0359999999999996</c:v>
                </c:pt>
                <c:pt idx="114">
                  <c:v>5.0669999999999993</c:v>
                </c:pt>
                <c:pt idx="115">
                  <c:v>5.08</c:v>
                </c:pt>
                <c:pt idx="116">
                  <c:v>5.17</c:v>
                </c:pt>
                <c:pt idx="117">
                  <c:v>5.1059999999999999</c:v>
                </c:pt>
                <c:pt idx="118">
                  <c:v>5.077</c:v>
                </c:pt>
                <c:pt idx="119">
                  <c:v>5.0449999999999999</c:v>
                </c:pt>
                <c:pt idx="120">
                  <c:v>5.0229999999999997</c:v>
                </c:pt>
                <c:pt idx="121">
                  <c:v>5.056</c:v>
                </c:pt>
                <c:pt idx="122">
                  <c:v>5.085</c:v>
                </c:pt>
                <c:pt idx="123">
                  <c:v>5.1259999999999986</c:v>
                </c:pt>
                <c:pt idx="124">
                  <c:v>5.0659999999999998</c:v>
                </c:pt>
                <c:pt idx="125">
                  <c:v>5.0619999999999994</c:v>
                </c:pt>
                <c:pt idx="126">
                  <c:v>5.0490000000000004</c:v>
                </c:pt>
                <c:pt idx="127">
                  <c:v>5.0359999999999996</c:v>
                </c:pt>
                <c:pt idx="128">
                  <c:v>4.9939999999999998</c:v>
                </c:pt>
                <c:pt idx="129">
                  <c:v>4.9370000000000003</c:v>
                </c:pt>
                <c:pt idx="130">
                  <c:v>4.8839999999999986</c:v>
                </c:pt>
                <c:pt idx="131">
                  <c:v>4.875</c:v>
                </c:pt>
                <c:pt idx="132">
                  <c:v>4.9020000000000001</c:v>
                </c:pt>
                <c:pt idx="133">
                  <c:v>4.9080000000000004</c:v>
                </c:pt>
                <c:pt idx="134">
                  <c:v>5.0389999999999997</c:v>
                </c:pt>
                <c:pt idx="135">
                  <c:v>5.0599999999999996</c:v>
                </c:pt>
                <c:pt idx="136">
                  <c:v>5.0599999999999996</c:v>
                </c:pt>
                <c:pt idx="137">
                  <c:v>5.1069999999999993</c:v>
                </c:pt>
                <c:pt idx="138">
                  <c:v>5.1019999999999994</c:v>
                </c:pt>
                <c:pt idx="139">
                  <c:v>5.1169999999999991</c:v>
                </c:pt>
                <c:pt idx="140">
                  <c:v>5.0730000000000004</c:v>
                </c:pt>
                <c:pt idx="141">
                  <c:v>5.0430000000000001</c:v>
                </c:pt>
                <c:pt idx="142">
                  <c:v>5.0269999999999992</c:v>
                </c:pt>
                <c:pt idx="143">
                  <c:v>5.0460000000000003</c:v>
                </c:pt>
                <c:pt idx="144">
                  <c:v>5.0709999999999997</c:v>
                </c:pt>
                <c:pt idx="145">
                  <c:v>5.0649999999999986</c:v>
                </c:pt>
                <c:pt idx="146">
                  <c:v>5.0539999999999994</c:v>
                </c:pt>
                <c:pt idx="147">
                  <c:v>5.0750000000000002</c:v>
                </c:pt>
                <c:pt idx="148">
                  <c:v>5.0219999999999994</c:v>
                </c:pt>
                <c:pt idx="149">
                  <c:v>5.0380000000000003</c:v>
                </c:pt>
                <c:pt idx="150">
                  <c:v>5.0350000000000001</c:v>
                </c:pt>
                <c:pt idx="151">
                  <c:v>5.03</c:v>
                </c:pt>
                <c:pt idx="152">
                  <c:v>5.032</c:v>
                </c:pt>
                <c:pt idx="153">
                  <c:v>5.0510000000000002</c:v>
                </c:pt>
                <c:pt idx="154">
                  <c:v>5.0510000000000002</c:v>
                </c:pt>
                <c:pt idx="155">
                  <c:v>5.0619999999999994</c:v>
                </c:pt>
                <c:pt idx="156">
                  <c:v>5.0619999999999994</c:v>
                </c:pt>
                <c:pt idx="157">
                  <c:v>5.0939999999999994</c:v>
                </c:pt>
                <c:pt idx="158">
                  <c:v>5.1069999999999993</c:v>
                </c:pt>
                <c:pt idx="159">
                  <c:v>5.1649999999999991</c:v>
                </c:pt>
                <c:pt idx="160">
                  <c:v>5.218</c:v>
                </c:pt>
                <c:pt idx="161">
                  <c:v>5.218</c:v>
                </c:pt>
                <c:pt idx="162">
                  <c:v>5.2210000000000001</c:v>
                </c:pt>
                <c:pt idx="163">
                  <c:v>5.1869999999999994</c:v>
                </c:pt>
                <c:pt idx="164">
                  <c:v>5.1719999999999997</c:v>
                </c:pt>
                <c:pt idx="165">
                  <c:v>5.1849999999999996</c:v>
                </c:pt>
                <c:pt idx="166">
                  <c:v>5.18</c:v>
                </c:pt>
                <c:pt idx="167">
                  <c:v>5.24</c:v>
                </c:pt>
                <c:pt idx="168">
                  <c:v>5.2130000000000001</c:v>
                </c:pt>
                <c:pt idx="169">
                  <c:v>5.2130000000000001</c:v>
                </c:pt>
                <c:pt idx="170">
                  <c:v>5.218</c:v>
                </c:pt>
                <c:pt idx="171">
                  <c:v>5.3259999999999996</c:v>
                </c:pt>
                <c:pt idx="172">
                  <c:v>5.33</c:v>
                </c:pt>
                <c:pt idx="173">
                  <c:v>5.3209999999999997</c:v>
                </c:pt>
                <c:pt idx="174">
                  <c:v>5.2329999999999997</c:v>
                </c:pt>
                <c:pt idx="175">
                  <c:v>5.234</c:v>
                </c:pt>
                <c:pt idx="176">
                  <c:v>5.1669999999999989</c:v>
                </c:pt>
                <c:pt idx="177">
                  <c:v>5.1360000000000001</c:v>
                </c:pt>
                <c:pt idx="178">
                  <c:v>5.1360000000000001</c:v>
                </c:pt>
                <c:pt idx="179">
                  <c:v>5.173</c:v>
                </c:pt>
                <c:pt idx="180">
                  <c:v>5.1189999999999998</c:v>
                </c:pt>
                <c:pt idx="181">
                  <c:v>5.1239999999999988</c:v>
                </c:pt>
                <c:pt idx="182">
                  <c:v>5.121999999999999</c:v>
                </c:pt>
                <c:pt idx="183">
                  <c:v>5.1199999999999992</c:v>
                </c:pt>
                <c:pt idx="184">
                  <c:v>5.109</c:v>
                </c:pt>
                <c:pt idx="185">
                  <c:v>5.0939999999999994</c:v>
                </c:pt>
                <c:pt idx="186">
                  <c:v>5.0810000000000004</c:v>
                </c:pt>
                <c:pt idx="187">
                  <c:v>5.0810000000000004</c:v>
                </c:pt>
                <c:pt idx="188">
                  <c:v>5.0739999999999998</c:v>
                </c:pt>
                <c:pt idx="189">
                  <c:v>5.0350000000000001</c:v>
                </c:pt>
                <c:pt idx="190">
                  <c:v>5.0579999999999998</c:v>
                </c:pt>
                <c:pt idx="191">
                  <c:v>5.048</c:v>
                </c:pt>
                <c:pt idx="192">
                  <c:v>5.048</c:v>
                </c:pt>
                <c:pt idx="193">
                  <c:v>5.0549999999999997</c:v>
                </c:pt>
                <c:pt idx="194">
                  <c:v>5.0510000000000002</c:v>
                </c:pt>
                <c:pt idx="195">
                  <c:v>5.0469999999999997</c:v>
                </c:pt>
                <c:pt idx="196">
                  <c:v>5.0469999999999997</c:v>
                </c:pt>
                <c:pt idx="197">
                  <c:v>5.0469999999999997</c:v>
                </c:pt>
                <c:pt idx="198">
                  <c:v>5.0469999999999997</c:v>
                </c:pt>
                <c:pt idx="199">
                  <c:v>5.0469999999999997</c:v>
                </c:pt>
                <c:pt idx="200">
                  <c:v>5.0469999999999997</c:v>
                </c:pt>
                <c:pt idx="201">
                  <c:v>5.0469999999999997</c:v>
                </c:pt>
                <c:pt idx="202">
                  <c:v>5.0469999999999997</c:v>
                </c:pt>
                <c:pt idx="203">
                  <c:v>4.7720000000000002</c:v>
                </c:pt>
                <c:pt idx="204">
                  <c:v>4.7880000000000003</c:v>
                </c:pt>
                <c:pt idx="205">
                  <c:v>4.774</c:v>
                </c:pt>
                <c:pt idx="206">
                  <c:v>4.782</c:v>
                </c:pt>
                <c:pt idx="207">
                  <c:v>4.7619999999999987</c:v>
                </c:pt>
                <c:pt idx="208">
                  <c:v>4.726</c:v>
                </c:pt>
                <c:pt idx="209">
                  <c:v>4.734</c:v>
                </c:pt>
                <c:pt idx="210">
                  <c:v>4.7169999999999996</c:v>
                </c:pt>
                <c:pt idx="211">
                  <c:v>4.7169999999999996</c:v>
                </c:pt>
                <c:pt idx="212">
                  <c:v>4.7229999999999999</c:v>
                </c:pt>
                <c:pt idx="213">
                  <c:v>4.7169999999999996</c:v>
                </c:pt>
                <c:pt idx="214">
                  <c:v>4.7</c:v>
                </c:pt>
                <c:pt idx="215">
                  <c:v>4.7039999999999997</c:v>
                </c:pt>
                <c:pt idx="216">
                  <c:v>4.7320000000000002</c:v>
                </c:pt>
                <c:pt idx="217">
                  <c:v>4.74</c:v>
                </c:pt>
                <c:pt idx="218">
                  <c:v>4.74</c:v>
                </c:pt>
                <c:pt idx="219">
                  <c:v>4.6689999999999987</c:v>
                </c:pt>
                <c:pt idx="220">
                  <c:v>4.72</c:v>
                </c:pt>
                <c:pt idx="221">
                  <c:v>4.74</c:v>
                </c:pt>
                <c:pt idx="222">
                  <c:v>4.7119999999999997</c:v>
                </c:pt>
                <c:pt idx="223">
                  <c:v>4.7119999999999997</c:v>
                </c:pt>
                <c:pt idx="224">
                  <c:v>4.7219999999999986</c:v>
                </c:pt>
                <c:pt idx="225">
                  <c:v>4.7329999999999997</c:v>
                </c:pt>
                <c:pt idx="226">
                  <c:v>4.734</c:v>
                </c:pt>
                <c:pt idx="227">
                  <c:v>4.7409999999999997</c:v>
                </c:pt>
                <c:pt idx="228">
                  <c:v>4.7439999999999998</c:v>
                </c:pt>
                <c:pt idx="229">
                  <c:v>4.8249999999999993</c:v>
                </c:pt>
                <c:pt idx="230">
                  <c:v>4.8019999999999996</c:v>
                </c:pt>
                <c:pt idx="231">
                  <c:v>4.8019999999999996</c:v>
                </c:pt>
                <c:pt idx="232">
                  <c:v>4.7850000000000001</c:v>
                </c:pt>
                <c:pt idx="233">
                  <c:v>4.7619999999999987</c:v>
                </c:pt>
                <c:pt idx="234">
                  <c:v>4.7590000000000003</c:v>
                </c:pt>
                <c:pt idx="235">
                  <c:v>4.7279999999999998</c:v>
                </c:pt>
                <c:pt idx="236">
                  <c:v>4.6969999999999992</c:v>
                </c:pt>
                <c:pt idx="237">
                  <c:v>4.6969999999999992</c:v>
                </c:pt>
                <c:pt idx="238">
                  <c:v>4.6979999999999986</c:v>
                </c:pt>
                <c:pt idx="239">
                  <c:v>4.6879999999999997</c:v>
                </c:pt>
              </c:numCache>
            </c:numRef>
          </c:val>
          <c:smooth val="0"/>
        </c:ser>
        <c:dLbls>
          <c:showLegendKey val="0"/>
          <c:showVal val="0"/>
          <c:showCatName val="0"/>
          <c:showSerName val="0"/>
          <c:showPercent val="0"/>
          <c:showBubbleSize val="0"/>
        </c:dLbls>
        <c:smooth val="0"/>
        <c:axId val="497655336"/>
        <c:axId val="497655728"/>
      </c:lineChart>
      <c:dateAx>
        <c:axId val="497655336"/>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7655728"/>
        <c:crosses val="autoZero"/>
        <c:auto val="1"/>
        <c:lblOffset val="100"/>
        <c:baseTimeUnit val="days"/>
        <c:majorUnit val="1"/>
        <c:majorTimeUnit val="months"/>
      </c:dateAx>
      <c:valAx>
        <c:axId val="497655728"/>
        <c:scaling>
          <c:orientation val="minMax"/>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7655336"/>
        <c:crosses val="autoZero"/>
        <c:crossBetween val="between"/>
      </c:valAx>
      <c:spPr>
        <a:noFill/>
        <a:ln>
          <a:noFill/>
        </a:ln>
        <a:effectLst/>
      </c:spPr>
    </c:plotArea>
    <c:legend>
      <c:legendPos val="b"/>
      <c:layout>
        <c:manualLayout>
          <c:xMode val="edge"/>
          <c:yMode val="edge"/>
          <c:x val="0.53141711553278304"/>
          <c:y val="3.0641195990495401E-2"/>
          <c:w val="0.46810021663044599"/>
          <c:h val="0.1096434395018079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Currency!$P$3</c:f>
              <c:strCache>
                <c:ptCount val="1"/>
                <c:pt idx="0">
                  <c:v>Real</c:v>
                </c:pt>
              </c:strCache>
            </c:strRef>
          </c:tx>
          <c:spPr>
            <a:ln w="28575" cap="rnd">
              <a:solidFill>
                <a:schemeClr val="accent1"/>
              </a:solidFill>
              <a:round/>
            </a:ln>
            <a:effectLst/>
          </c:spPr>
          <c:marker>
            <c:symbol val="none"/>
          </c:marker>
          <c:cat>
            <c:numRef>
              <c:f>Currency!$O$4:$O$243</c:f>
              <c:numCache>
                <c:formatCode>m/d/yyyy</c:formatCode>
                <c:ptCount val="240"/>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numCache>
            </c:numRef>
          </c:cat>
          <c:val>
            <c:numRef>
              <c:f>Currency!$P$4:$P$243</c:f>
              <c:numCache>
                <c:formatCode>General</c:formatCode>
                <c:ptCount val="240"/>
                <c:pt idx="0">
                  <c:v>100</c:v>
                </c:pt>
                <c:pt idx="1">
                  <c:v>100.217752910933</c:v>
                </c:pt>
                <c:pt idx="2">
                  <c:v>100.36594586420679</c:v>
                </c:pt>
                <c:pt idx="3">
                  <c:v>101.2853470437018</c:v>
                </c:pt>
                <c:pt idx="4">
                  <c:v>100.6260396189324</c:v>
                </c:pt>
                <c:pt idx="5">
                  <c:v>101.8115832451233</c:v>
                </c:pt>
                <c:pt idx="6">
                  <c:v>103.07575986692881</c:v>
                </c:pt>
                <c:pt idx="7">
                  <c:v>103.5959473763798</c:v>
                </c:pt>
                <c:pt idx="8">
                  <c:v>102.4648419779223</c:v>
                </c:pt>
                <c:pt idx="9">
                  <c:v>102.4134280961742</c:v>
                </c:pt>
                <c:pt idx="10">
                  <c:v>103.0939059428399</c:v>
                </c:pt>
                <c:pt idx="11">
                  <c:v>103.6685316800242</c:v>
                </c:pt>
                <c:pt idx="12">
                  <c:v>102.61605927718129</c:v>
                </c:pt>
                <c:pt idx="13">
                  <c:v>102.4164524421594</c:v>
                </c:pt>
                <c:pt idx="14">
                  <c:v>102.92151822168459</c:v>
                </c:pt>
                <c:pt idx="15">
                  <c:v>103.0878572508695</c:v>
                </c:pt>
                <c:pt idx="16">
                  <c:v>104.1070618478754</c:v>
                </c:pt>
                <c:pt idx="17">
                  <c:v>105.0113412974444</c:v>
                </c:pt>
                <c:pt idx="18">
                  <c:v>106.0940571601391</c:v>
                </c:pt>
                <c:pt idx="19">
                  <c:v>105.6373809163768</c:v>
                </c:pt>
                <c:pt idx="20">
                  <c:v>104.8722213821261</c:v>
                </c:pt>
                <c:pt idx="21">
                  <c:v>105.40148192953281</c:v>
                </c:pt>
                <c:pt idx="22">
                  <c:v>106.0698623922577</c:v>
                </c:pt>
                <c:pt idx="23">
                  <c:v>107.1525782549523</c:v>
                </c:pt>
                <c:pt idx="24">
                  <c:v>106.9045818841676</c:v>
                </c:pt>
                <c:pt idx="25">
                  <c:v>106.393467412672</c:v>
                </c:pt>
                <c:pt idx="26">
                  <c:v>107.23725994253741</c:v>
                </c:pt>
                <c:pt idx="27">
                  <c:v>108.1566611220324</c:v>
                </c:pt>
                <c:pt idx="28">
                  <c:v>108.7827007409648</c:v>
                </c:pt>
                <c:pt idx="29">
                  <c:v>107.29169817027071</c:v>
                </c:pt>
                <c:pt idx="30">
                  <c:v>108.6647512475427</c:v>
                </c:pt>
                <c:pt idx="31">
                  <c:v>109.9319522153335</c:v>
                </c:pt>
                <c:pt idx="32">
                  <c:v>110.55799183426581</c:v>
                </c:pt>
                <c:pt idx="33">
                  <c:v>111.3080296385907</c:v>
                </c:pt>
                <c:pt idx="34">
                  <c:v>111.9038257976713</c:v>
                </c:pt>
                <c:pt idx="35">
                  <c:v>113.2496597610767</c:v>
                </c:pt>
                <c:pt idx="36">
                  <c:v>112.22743081808559</c:v>
                </c:pt>
                <c:pt idx="37">
                  <c:v>110.0831695145925</c:v>
                </c:pt>
                <c:pt idx="38">
                  <c:v>109.7504914562226</c:v>
                </c:pt>
                <c:pt idx="39">
                  <c:v>109.99848782700739</c:v>
                </c:pt>
                <c:pt idx="40">
                  <c:v>110.7243308634508</c:v>
                </c:pt>
                <c:pt idx="41">
                  <c:v>112.53288976258879</c:v>
                </c:pt>
                <c:pt idx="42">
                  <c:v>113.02585815817331</c:v>
                </c:pt>
                <c:pt idx="43">
                  <c:v>112.8595191289884</c:v>
                </c:pt>
                <c:pt idx="44">
                  <c:v>112.7778617873885</c:v>
                </c:pt>
                <c:pt idx="45">
                  <c:v>113.67004385301679</c:v>
                </c:pt>
                <c:pt idx="46">
                  <c:v>113.1982458793286</c:v>
                </c:pt>
                <c:pt idx="47">
                  <c:v>114.341448661727</c:v>
                </c:pt>
                <c:pt idx="48">
                  <c:v>115.596552245577</c:v>
                </c:pt>
                <c:pt idx="49">
                  <c:v>119.09874489641609</c:v>
                </c:pt>
                <c:pt idx="50">
                  <c:v>113.34341448661731</c:v>
                </c:pt>
                <c:pt idx="51">
                  <c:v>111.8312414940269</c:v>
                </c:pt>
                <c:pt idx="52">
                  <c:v>111.71631634659011</c:v>
                </c:pt>
                <c:pt idx="53">
                  <c:v>111.7193406925752</c:v>
                </c:pt>
                <c:pt idx="54">
                  <c:v>112.5631332224407</c:v>
                </c:pt>
                <c:pt idx="55">
                  <c:v>113.18917284137309</c:v>
                </c:pt>
                <c:pt idx="56">
                  <c:v>113.3071223347951</c:v>
                </c:pt>
                <c:pt idx="57">
                  <c:v>113.13473461363979</c:v>
                </c:pt>
                <c:pt idx="58">
                  <c:v>113.3343414486617</c:v>
                </c:pt>
                <c:pt idx="59">
                  <c:v>114.7467110237411</c:v>
                </c:pt>
                <c:pt idx="60">
                  <c:v>113.81218811432031</c:v>
                </c:pt>
                <c:pt idx="61">
                  <c:v>114.1448661726902</c:v>
                </c:pt>
                <c:pt idx="62">
                  <c:v>114.1902313624679</c:v>
                </c:pt>
                <c:pt idx="63">
                  <c:v>116.5915620747014</c:v>
                </c:pt>
                <c:pt idx="64">
                  <c:v>116.6611220323605</c:v>
                </c:pt>
                <c:pt idx="65">
                  <c:v>116.8425827914713</c:v>
                </c:pt>
                <c:pt idx="66">
                  <c:v>118.427340087706</c:v>
                </c:pt>
                <c:pt idx="67">
                  <c:v>117.7529109330108</c:v>
                </c:pt>
                <c:pt idx="68">
                  <c:v>118.21261152275819</c:v>
                </c:pt>
                <c:pt idx="69">
                  <c:v>118.55133827309839</c:v>
                </c:pt>
                <c:pt idx="70">
                  <c:v>117.9888099198548</c:v>
                </c:pt>
                <c:pt idx="71">
                  <c:v>117.05731135641911</c:v>
                </c:pt>
                <c:pt idx="72">
                  <c:v>115.4544079842734</c:v>
                </c:pt>
                <c:pt idx="73">
                  <c:v>117.0058974746711</c:v>
                </c:pt>
                <c:pt idx="74">
                  <c:v>116.89097232723419</c:v>
                </c:pt>
                <c:pt idx="75">
                  <c:v>116.84863148344169</c:v>
                </c:pt>
                <c:pt idx="76">
                  <c:v>116.71858460607901</c:v>
                </c:pt>
                <c:pt idx="77">
                  <c:v>116.884923635264</c:v>
                </c:pt>
                <c:pt idx="78">
                  <c:v>115.73264781491</c:v>
                </c:pt>
                <c:pt idx="79">
                  <c:v>117.34159987902621</c:v>
                </c:pt>
                <c:pt idx="80">
                  <c:v>114.2870104339937</c:v>
                </c:pt>
                <c:pt idx="81">
                  <c:v>114.6801754120671</c:v>
                </c:pt>
                <c:pt idx="82">
                  <c:v>113.1498563435657</c:v>
                </c:pt>
                <c:pt idx="83">
                  <c:v>112.21835778013011</c:v>
                </c:pt>
                <c:pt idx="84">
                  <c:v>112.78693482534401</c:v>
                </c:pt>
                <c:pt idx="85">
                  <c:v>112.56615756842579</c:v>
                </c:pt>
                <c:pt idx="86">
                  <c:v>112.7445939815515</c:v>
                </c:pt>
                <c:pt idx="87">
                  <c:v>113.3585362165431</c:v>
                </c:pt>
                <c:pt idx="88">
                  <c:v>113.3706336004839</c:v>
                </c:pt>
                <c:pt idx="89">
                  <c:v>113.57326478149101</c:v>
                </c:pt>
                <c:pt idx="90">
                  <c:v>112.033872675034</c:v>
                </c:pt>
                <c:pt idx="91">
                  <c:v>112.6266444881294</c:v>
                </c:pt>
                <c:pt idx="92">
                  <c:v>112.4633298049297</c:v>
                </c:pt>
                <c:pt idx="93">
                  <c:v>113.48555874792071</c:v>
                </c:pt>
                <c:pt idx="94">
                  <c:v>115.3364584908514</c:v>
                </c:pt>
                <c:pt idx="95">
                  <c:v>116.6248298805383</c:v>
                </c:pt>
                <c:pt idx="96">
                  <c:v>118.60880084681691</c:v>
                </c:pt>
                <c:pt idx="97">
                  <c:v>117.7801300468774</c:v>
                </c:pt>
                <c:pt idx="98">
                  <c:v>117.63496143958869</c:v>
                </c:pt>
                <c:pt idx="99">
                  <c:v>117.8617873884773</c:v>
                </c:pt>
                <c:pt idx="100">
                  <c:v>119.07757447451991</c:v>
                </c:pt>
                <c:pt idx="101">
                  <c:v>119.4556177226675</c:v>
                </c:pt>
                <c:pt idx="102">
                  <c:v>120.6351126568879</c:v>
                </c:pt>
                <c:pt idx="103">
                  <c:v>123.23907455012851</c:v>
                </c:pt>
                <c:pt idx="104">
                  <c:v>124.2250113412975</c:v>
                </c:pt>
                <c:pt idx="105">
                  <c:v>124.2734008770603</c:v>
                </c:pt>
                <c:pt idx="106">
                  <c:v>123.3116588537729</c:v>
                </c:pt>
                <c:pt idx="107">
                  <c:v>124.6544684711931</c:v>
                </c:pt>
                <c:pt idx="108">
                  <c:v>124.7210040828671</c:v>
                </c:pt>
                <c:pt idx="109">
                  <c:v>125.3712384696809</c:v>
                </c:pt>
                <c:pt idx="110">
                  <c:v>123.8046272493574</c:v>
                </c:pt>
                <c:pt idx="111">
                  <c:v>124.97504914562229</c:v>
                </c:pt>
                <c:pt idx="112">
                  <c:v>126.0607893543021</c:v>
                </c:pt>
                <c:pt idx="113">
                  <c:v>124.8691970361409</c:v>
                </c:pt>
                <c:pt idx="114">
                  <c:v>125.38031150763641</c:v>
                </c:pt>
                <c:pt idx="115">
                  <c:v>123.4265840012098</c:v>
                </c:pt>
                <c:pt idx="116">
                  <c:v>124.4125207923787</c:v>
                </c:pt>
                <c:pt idx="117">
                  <c:v>125.70694087403599</c:v>
                </c:pt>
                <c:pt idx="118">
                  <c:v>124.76636927264479</c:v>
                </c:pt>
                <c:pt idx="119">
                  <c:v>126.393467412672</c:v>
                </c:pt>
                <c:pt idx="120">
                  <c:v>126.35112656887949</c:v>
                </c:pt>
                <c:pt idx="121">
                  <c:v>125.858158173295</c:v>
                </c:pt>
                <c:pt idx="122">
                  <c:v>125.12929079086651</c:v>
                </c:pt>
                <c:pt idx="123">
                  <c:v>124.249206109179</c:v>
                </c:pt>
                <c:pt idx="124">
                  <c:v>123.6080447603206</c:v>
                </c:pt>
                <c:pt idx="125">
                  <c:v>122.1956751852412</c:v>
                </c:pt>
                <c:pt idx="126">
                  <c:v>123.2844397399062</c:v>
                </c:pt>
                <c:pt idx="127">
                  <c:v>124.51534855587479</c:v>
                </c:pt>
                <c:pt idx="128">
                  <c:v>122.4587932859519</c:v>
                </c:pt>
                <c:pt idx="129">
                  <c:v>120.819597761984</c:v>
                </c:pt>
                <c:pt idx="130">
                  <c:v>121.624073794042</c:v>
                </c:pt>
                <c:pt idx="131">
                  <c:v>121.44866172690161</c:v>
                </c:pt>
                <c:pt idx="132">
                  <c:v>118.55436261908361</c:v>
                </c:pt>
                <c:pt idx="133">
                  <c:v>117.54725540601849</c:v>
                </c:pt>
                <c:pt idx="134">
                  <c:v>118.81445637380919</c:v>
                </c:pt>
                <c:pt idx="135">
                  <c:v>117.26296688341149</c:v>
                </c:pt>
                <c:pt idx="136">
                  <c:v>113.71540904279451</c:v>
                </c:pt>
                <c:pt idx="137">
                  <c:v>112.6266444881294</c:v>
                </c:pt>
                <c:pt idx="138">
                  <c:v>113.6851655829427</c:v>
                </c:pt>
                <c:pt idx="139">
                  <c:v>113.7335551187056</c:v>
                </c:pt>
                <c:pt idx="140">
                  <c:v>114.4079842734009</c:v>
                </c:pt>
                <c:pt idx="141">
                  <c:v>112.6054740662332</c:v>
                </c:pt>
                <c:pt idx="142">
                  <c:v>112.3000151217299</c:v>
                </c:pt>
                <c:pt idx="143">
                  <c:v>111.0025706940874</c:v>
                </c:pt>
                <c:pt idx="144">
                  <c:v>111.9582640254045</c:v>
                </c:pt>
                <c:pt idx="145">
                  <c:v>112.3544533494632</c:v>
                </c:pt>
                <c:pt idx="146">
                  <c:v>111.280810524724</c:v>
                </c:pt>
                <c:pt idx="147">
                  <c:v>112.015726599123</c:v>
                </c:pt>
                <c:pt idx="148">
                  <c:v>112.6568879479812</c:v>
                </c:pt>
                <c:pt idx="149">
                  <c:v>111.6134885830939</c:v>
                </c:pt>
                <c:pt idx="150">
                  <c:v>111.096325419628</c:v>
                </c:pt>
                <c:pt idx="151">
                  <c:v>111.5167095115681</c:v>
                </c:pt>
                <c:pt idx="152">
                  <c:v>112.4754271888704</c:v>
                </c:pt>
                <c:pt idx="153">
                  <c:v>112.8141539392107</c:v>
                </c:pt>
                <c:pt idx="154">
                  <c:v>111.5469529714199</c:v>
                </c:pt>
                <c:pt idx="155">
                  <c:v>111.80099803417509</c:v>
                </c:pt>
                <c:pt idx="156">
                  <c:v>112.4965976107667</c:v>
                </c:pt>
                <c:pt idx="157">
                  <c:v>113.355511870558</c:v>
                </c:pt>
                <c:pt idx="158">
                  <c:v>113.2799032209285</c:v>
                </c:pt>
                <c:pt idx="159">
                  <c:v>113.7426281566611</c:v>
                </c:pt>
                <c:pt idx="160">
                  <c:v>113.1407833056102</c:v>
                </c:pt>
                <c:pt idx="161">
                  <c:v>113.4039014063209</c:v>
                </c:pt>
                <c:pt idx="162">
                  <c:v>115.3908967185846</c:v>
                </c:pt>
                <c:pt idx="163">
                  <c:v>114.7164675638893</c:v>
                </c:pt>
                <c:pt idx="164">
                  <c:v>114.4533494631786</c:v>
                </c:pt>
                <c:pt idx="165">
                  <c:v>113.204294571299</c:v>
                </c:pt>
                <c:pt idx="166">
                  <c:v>113.8484802661425</c:v>
                </c:pt>
                <c:pt idx="167">
                  <c:v>113.63677604717979</c:v>
                </c:pt>
                <c:pt idx="168">
                  <c:v>114.4866172690156</c:v>
                </c:pt>
                <c:pt idx="169">
                  <c:v>115.2789959171329</c:v>
                </c:pt>
                <c:pt idx="170">
                  <c:v>115.42718887040679</c:v>
                </c:pt>
                <c:pt idx="171">
                  <c:v>118.2277332526841</c:v>
                </c:pt>
                <c:pt idx="172">
                  <c:v>117.7710570089218</c:v>
                </c:pt>
                <c:pt idx="173">
                  <c:v>116.3102978980796</c:v>
                </c:pt>
                <c:pt idx="174">
                  <c:v>116.74882806593079</c:v>
                </c:pt>
                <c:pt idx="175">
                  <c:v>116.9756540148193</c:v>
                </c:pt>
                <c:pt idx="176">
                  <c:v>115.596552245577</c:v>
                </c:pt>
                <c:pt idx="177">
                  <c:v>116.53107515499769</c:v>
                </c:pt>
                <c:pt idx="178">
                  <c:v>116.91516709511571</c:v>
                </c:pt>
                <c:pt idx="179">
                  <c:v>117.6198397096628</c:v>
                </c:pt>
                <c:pt idx="180">
                  <c:v>117.27506426735221</c:v>
                </c:pt>
                <c:pt idx="181">
                  <c:v>118.75094510812031</c:v>
                </c:pt>
                <c:pt idx="182">
                  <c:v>118.29124451837301</c:v>
                </c:pt>
                <c:pt idx="183">
                  <c:v>116.3617117798276</c:v>
                </c:pt>
                <c:pt idx="184">
                  <c:v>117.4111598366853</c:v>
                </c:pt>
                <c:pt idx="185">
                  <c:v>117.9706638439438</c:v>
                </c:pt>
                <c:pt idx="186">
                  <c:v>117.62286405564799</c:v>
                </c:pt>
                <c:pt idx="187">
                  <c:v>117.9978829578104</c:v>
                </c:pt>
                <c:pt idx="188">
                  <c:v>117.205504309693</c:v>
                </c:pt>
                <c:pt idx="189">
                  <c:v>116.50990473310149</c:v>
                </c:pt>
                <c:pt idx="190">
                  <c:v>117.68939966732199</c:v>
                </c:pt>
                <c:pt idx="191">
                  <c:v>118.0704672614547</c:v>
                </c:pt>
                <c:pt idx="192">
                  <c:v>118.0795402994103</c:v>
                </c:pt>
                <c:pt idx="193">
                  <c:v>118.5997278088613</c:v>
                </c:pt>
                <c:pt idx="194">
                  <c:v>117.8133978527143</c:v>
                </c:pt>
                <c:pt idx="195">
                  <c:v>117.1238469680931</c:v>
                </c:pt>
                <c:pt idx="196">
                  <c:v>117.40511114471499</c:v>
                </c:pt>
                <c:pt idx="197">
                  <c:v>117.386965068804</c:v>
                </c:pt>
                <c:pt idx="198">
                  <c:v>115.3787993346439</c:v>
                </c:pt>
                <c:pt idx="199">
                  <c:v>113.3797066384394</c:v>
                </c:pt>
                <c:pt idx="200">
                  <c:v>112.4421593830335</c:v>
                </c:pt>
                <c:pt idx="201">
                  <c:v>112.6962044457886</c:v>
                </c:pt>
                <c:pt idx="202">
                  <c:v>112.30606381370031</c:v>
                </c:pt>
                <c:pt idx="203">
                  <c:v>111.62861031301981</c:v>
                </c:pt>
                <c:pt idx="204">
                  <c:v>112.3121125056707</c:v>
                </c:pt>
                <c:pt idx="205">
                  <c:v>112.2516255859671</c:v>
                </c:pt>
                <c:pt idx="206">
                  <c:v>111.664902464842</c:v>
                </c:pt>
                <c:pt idx="207">
                  <c:v>112.584303644337</c:v>
                </c:pt>
                <c:pt idx="208">
                  <c:v>112.7052774837442</c:v>
                </c:pt>
                <c:pt idx="209">
                  <c:v>113.3615605625284</c:v>
                </c:pt>
                <c:pt idx="210">
                  <c:v>113.890821109935</c:v>
                </c:pt>
                <c:pt idx="211">
                  <c:v>113.7093603508241</c:v>
                </c:pt>
                <c:pt idx="212">
                  <c:v>114.36866777559349</c:v>
                </c:pt>
                <c:pt idx="213">
                  <c:v>114.0692575230607</c:v>
                </c:pt>
                <c:pt idx="214">
                  <c:v>114.0117949493422</c:v>
                </c:pt>
                <c:pt idx="215">
                  <c:v>114.0238923332829</c:v>
                </c:pt>
                <c:pt idx="216">
                  <c:v>113.92106456978679</c:v>
                </c:pt>
                <c:pt idx="217">
                  <c:v>112.72039921367001</c:v>
                </c:pt>
                <c:pt idx="218">
                  <c:v>112.6084984122184</c:v>
                </c:pt>
                <c:pt idx="219">
                  <c:v>110.2343868138515</c:v>
                </c:pt>
                <c:pt idx="220">
                  <c:v>110.6063813700287</c:v>
                </c:pt>
                <c:pt idx="221">
                  <c:v>110.8936942386209</c:v>
                </c:pt>
                <c:pt idx="222">
                  <c:v>110.89671858460611</c:v>
                </c:pt>
                <c:pt idx="223">
                  <c:v>111.93406925752311</c:v>
                </c:pt>
                <c:pt idx="224">
                  <c:v>112.433086345078</c:v>
                </c:pt>
                <c:pt idx="225">
                  <c:v>112.8655678209587</c:v>
                </c:pt>
                <c:pt idx="226">
                  <c:v>113.5793134734614</c:v>
                </c:pt>
                <c:pt idx="227">
                  <c:v>112.3000151217299</c:v>
                </c:pt>
                <c:pt idx="228">
                  <c:v>113.6881899289279</c:v>
                </c:pt>
                <c:pt idx="229">
                  <c:v>112.484500226826</c:v>
                </c:pt>
                <c:pt idx="230">
                  <c:v>111.9461666414638</c:v>
                </c:pt>
                <c:pt idx="231">
                  <c:v>112.9895660063511</c:v>
                </c:pt>
                <c:pt idx="232">
                  <c:v>112.55708453047031</c:v>
                </c:pt>
                <c:pt idx="233">
                  <c:v>112.820202631181</c:v>
                </c:pt>
                <c:pt idx="234">
                  <c:v>113.80613942235</c:v>
                </c:pt>
                <c:pt idx="235">
                  <c:v>113.3161953727506</c:v>
                </c:pt>
                <c:pt idx="236">
                  <c:v>113.3252684107062</c:v>
                </c:pt>
                <c:pt idx="237">
                  <c:v>113.38575533040979</c:v>
                </c:pt>
                <c:pt idx="238">
                  <c:v>112.7929835173144</c:v>
                </c:pt>
                <c:pt idx="239">
                  <c:v>113.606532587328</c:v>
                </c:pt>
              </c:numCache>
            </c:numRef>
          </c:val>
          <c:smooth val="0"/>
        </c:ser>
        <c:ser>
          <c:idx val="1"/>
          <c:order val="1"/>
          <c:tx>
            <c:strRef>
              <c:f>Currency!$Q$3</c:f>
              <c:strCache>
                <c:ptCount val="1"/>
                <c:pt idx="0">
                  <c:v>Rouble</c:v>
                </c:pt>
              </c:strCache>
            </c:strRef>
          </c:tx>
          <c:spPr>
            <a:ln w="28575" cap="rnd">
              <a:solidFill>
                <a:schemeClr val="accent2"/>
              </a:solidFill>
              <a:round/>
            </a:ln>
            <a:effectLst/>
          </c:spPr>
          <c:marker>
            <c:symbol val="none"/>
          </c:marker>
          <c:cat>
            <c:numRef>
              <c:f>Currency!$O$4:$O$243</c:f>
              <c:numCache>
                <c:formatCode>m/d/yyyy</c:formatCode>
                <c:ptCount val="240"/>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numCache>
            </c:numRef>
          </c:cat>
          <c:val>
            <c:numRef>
              <c:f>Currency!$Q$4:$Q$243</c:f>
              <c:numCache>
                <c:formatCode>General</c:formatCode>
                <c:ptCount val="240"/>
                <c:pt idx="0">
                  <c:v>100</c:v>
                </c:pt>
                <c:pt idx="1">
                  <c:v>100.83149665894619</c:v>
                </c:pt>
                <c:pt idx="2">
                  <c:v>100.9954833578029</c:v>
                </c:pt>
                <c:pt idx="3">
                  <c:v>100.6915122867384</c:v>
                </c:pt>
                <c:pt idx="4">
                  <c:v>101.06941753186</c:v>
                </c:pt>
                <c:pt idx="5">
                  <c:v>101.724313130499</c:v>
                </c:pt>
                <c:pt idx="6">
                  <c:v>105.8975643770433</c:v>
                </c:pt>
                <c:pt idx="7">
                  <c:v>110.4022930105925</c:v>
                </c:pt>
                <c:pt idx="8">
                  <c:v>109.9625423544705</c:v>
                </c:pt>
                <c:pt idx="9">
                  <c:v>108.3890759629839</c:v>
                </c:pt>
                <c:pt idx="10">
                  <c:v>108.69690142226921</c:v>
                </c:pt>
                <c:pt idx="11">
                  <c:v>108.8724512857888</c:v>
                </c:pt>
                <c:pt idx="12">
                  <c:v>108.3608688491848</c:v>
                </c:pt>
                <c:pt idx="13">
                  <c:v>106.920028452393</c:v>
                </c:pt>
                <c:pt idx="14">
                  <c:v>106.6910427521733</c:v>
                </c:pt>
                <c:pt idx="15">
                  <c:v>107.5453153415163</c:v>
                </c:pt>
                <c:pt idx="16">
                  <c:v>108.40607031104911</c:v>
                </c:pt>
                <c:pt idx="17">
                  <c:v>107.6404486507889</c:v>
                </c:pt>
                <c:pt idx="18">
                  <c:v>109.39647288437889</c:v>
                </c:pt>
                <c:pt idx="19">
                  <c:v>109.6892311897095</c:v>
                </c:pt>
                <c:pt idx="20">
                  <c:v>108.78853074225</c:v>
                </c:pt>
                <c:pt idx="21">
                  <c:v>110.3845978646689</c:v>
                </c:pt>
                <c:pt idx="22">
                  <c:v>111.0874981166057</c:v>
                </c:pt>
                <c:pt idx="23">
                  <c:v>111.98767296567139</c:v>
                </c:pt>
                <c:pt idx="24">
                  <c:v>110.4928711337858</c:v>
                </c:pt>
                <c:pt idx="25">
                  <c:v>109.6275609781737</c:v>
                </c:pt>
                <c:pt idx="26">
                  <c:v>109.81134521652901</c:v>
                </c:pt>
                <c:pt idx="27">
                  <c:v>111.2040057605584</c:v>
                </c:pt>
                <c:pt idx="28">
                  <c:v>110.44013609494409</c:v>
                </c:pt>
                <c:pt idx="29">
                  <c:v>108.11383760411231</c:v>
                </c:pt>
                <c:pt idx="30">
                  <c:v>108.4195606698226</c:v>
                </c:pt>
                <c:pt idx="31">
                  <c:v>108.2473395961302</c:v>
                </c:pt>
                <c:pt idx="32">
                  <c:v>109.220222223001</c:v>
                </c:pt>
                <c:pt idx="33">
                  <c:v>107.9714004394003</c:v>
                </c:pt>
                <c:pt idx="34">
                  <c:v>108.7836251572415</c:v>
                </c:pt>
                <c:pt idx="35">
                  <c:v>109.1107225576318</c:v>
                </c:pt>
                <c:pt idx="36">
                  <c:v>108.0020603457036</c:v>
                </c:pt>
                <c:pt idx="37">
                  <c:v>107.2150643507633</c:v>
                </c:pt>
                <c:pt idx="38">
                  <c:v>107.64658063204961</c:v>
                </c:pt>
                <c:pt idx="39">
                  <c:v>107.73698355577829</c:v>
                </c:pt>
                <c:pt idx="40">
                  <c:v>109.1469888468021</c:v>
                </c:pt>
                <c:pt idx="41">
                  <c:v>109.2563133127065</c:v>
                </c:pt>
                <c:pt idx="42">
                  <c:v>110.0093206115162</c:v>
                </c:pt>
                <c:pt idx="43">
                  <c:v>108.6336544155521</c:v>
                </c:pt>
                <c:pt idx="44">
                  <c:v>109.2186454278196</c:v>
                </c:pt>
                <c:pt idx="45">
                  <c:v>108.8233954357035</c:v>
                </c:pt>
                <c:pt idx="46">
                  <c:v>108.7181005574847</c:v>
                </c:pt>
                <c:pt idx="47">
                  <c:v>108.80394829513401</c:v>
                </c:pt>
                <c:pt idx="48">
                  <c:v>108.4962980353132</c:v>
                </c:pt>
                <c:pt idx="49">
                  <c:v>109.270679668803</c:v>
                </c:pt>
                <c:pt idx="50">
                  <c:v>109.3551258107355</c:v>
                </c:pt>
                <c:pt idx="51">
                  <c:v>110.00844461419329</c:v>
                </c:pt>
                <c:pt idx="52">
                  <c:v>110.29226774682979</c:v>
                </c:pt>
                <c:pt idx="53">
                  <c:v>109.2452757464373</c:v>
                </c:pt>
                <c:pt idx="54">
                  <c:v>109.0203196339032</c:v>
                </c:pt>
                <c:pt idx="55">
                  <c:v>110.5964140173588</c:v>
                </c:pt>
                <c:pt idx="56">
                  <c:v>111.3224405986215</c:v>
                </c:pt>
                <c:pt idx="57">
                  <c:v>111.76411844885401</c:v>
                </c:pt>
                <c:pt idx="58">
                  <c:v>111.434743455424</c:v>
                </c:pt>
                <c:pt idx="59">
                  <c:v>111.6081909253685</c:v>
                </c:pt>
                <c:pt idx="60">
                  <c:v>110.3075101002491</c:v>
                </c:pt>
                <c:pt idx="61">
                  <c:v>110.1216234683187</c:v>
                </c:pt>
                <c:pt idx="62">
                  <c:v>110.5622501217636</c:v>
                </c:pt>
                <c:pt idx="63">
                  <c:v>110.6326803065289</c:v>
                </c:pt>
                <c:pt idx="64">
                  <c:v>110.2757989971582</c:v>
                </c:pt>
                <c:pt idx="65">
                  <c:v>109.9175160920708</c:v>
                </c:pt>
                <c:pt idx="66">
                  <c:v>111.19121619964331</c:v>
                </c:pt>
                <c:pt idx="67">
                  <c:v>110.8248741191847</c:v>
                </c:pt>
                <c:pt idx="68">
                  <c:v>110.8548332276296</c:v>
                </c:pt>
                <c:pt idx="69">
                  <c:v>110.489367144494</c:v>
                </c:pt>
                <c:pt idx="70">
                  <c:v>110.3450027856715</c:v>
                </c:pt>
                <c:pt idx="71">
                  <c:v>109.6251081856694</c:v>
                </c:pt>
                <c:pt idx="72">
                  <c:v>108.4644117327577</c:v>
                </c:pt>
                <c:pt idx="73">
                  <c:v>108.80324749727561</c:v>
                </c:pt>
                <c:pt idx="74">
                  <c:v>109.0406427717957</c:v>
                </c:pt>
                <c:pt idx="75">
                  <c:v>109.52927407853841</c:v>
                </c:pt>
                <c:pt idx="76">
                  <c:v>109.178699949893</c:v>
                </c:pt>
                <c:pt idx="77">
                  <c:v>109.5375084533742</c:v>
                </c:pt>
                <c:pt idx="78">
                  <c:v>110.4105273854283</c:v>
                </c:pt>
                <c:pt idx="79">
                  <c:v>111.73486013826739</c:v>
                </c:pt>
                <c:pt idx="80">
                  <c:v>111.4265090805883</c:v>
                </c:pt>
                <c:pt idx="81">
                  <c:v>110.5245822368767</c:v>
                </c:pt>
                <c:pt idx="82">
                  <c:v>110.94506095189379</c:v>
                </c:pt>
                <c:pt idx="83">
                  <c:v>110.4143817736493</c:v>
                </c:pt>
                <c:pt idx="84">
                  <c:v>110.1076075111514</c:v>
                </c:pt>
                <c:pt idx="85">
                  <c:v>110.1023515272137</c:v>
                </c:pt>
                <c:pt idx="86">
                  <c:v>109.0367883835747</c:v>
                </c:pt>
                <c:pt idx="87">
                  <c:v>109.1913143113435</c:v>
                </c:pt>
                <c:pt idx="88">
                  <c:v>110.3966866277257</c:v>
                </c:pt>
                <c:pt idx="89">
                  <c:v>111.1829818248075</c:v>
                </c:pt>
                <c:pt idx="90">
                  <c:v>110.815763747026</c:v>
                </c:pt>
                <c:pt idx="91">
                  <c:v>111.4216034955797</c:v>
                </c:pt>
                <c:pt idx="92">
                  <c:v>111.2174961193319</c:v>
                </c:pt>
                <c:pt idx="93">
                  <c:v>114.1089880829324</c:v>
                </c:pt>
                <c:pt idx="94">
                  <c:v>116.38938431404149</c:v>
                </c:pt>
                <c:pt idx="95">
                  <c:v>118.6166951073798</c:v>
                </c:pt>
                <c:pt idx="96">
                  <c:v>119.4142030701954</c:v>
                </c:pt>
                <c:pt idx="97">
                  <c:v>116.55985339308801</c:v>
                </c:pt>
                <c:pt idx="98">
                  <c:v>118.1448829492377</c:v>
                </c:pt>
                <c:pt idx="99">
                  <c:v>117.1705987266503</c:v>
                </c:pt>
                <c:pt idx="100">
                  <c:v>118.1764188528639</c:v>
                </c:pt>
                <c:pt idx="101">
                  <c:v>117.6662380119766</c:v>
                </c:pt>
                <c:pt idx="102">
                  <c:v>117.83302790226671</c:v>
                </c:pt>
                <c:pt idx="103">
                  <c:v>119.6563287302594</c:v>
                </c:pt>
                <c:pt idx="104">
                  <c:v>119.513190767689</c:v>
                </c:pt>
                <c:pt idx="105">
                  <c:v>117.747004965153</c:v>
                </c:pt>
                <c:pt idx="106">
                  <c:v>117.67885237342711</c:v>
                </c:pt>
                <c:pt idx="107">
                  <c:v>118.73092515829271</c:v>
                </c:pt>
                <c:pt idx="108">
                  <c:v>119.0716881169211</c:v>
                </c:pt>
                <c:pt idx="109">
                  <c:v>119.5035547971365</c:v>
                </c:pt>
                <c:pt idx="110">
                  <c:v>118.2841665235871</c:v>
                </c:pt>
                <c:pt idx="111">
                  <c:v>119.3859959563963</c:v>
                </c:pt>
                <c:pt idx="112">
                  <c:v>119.2503915708033</c:v>
                </c:pt>
                <c:pt idx="113">
                  <c:v>119.6123536646472</c:v>
                </c:pt>
                <c:pt idx="114">
                  <c:v>121.5880780268335</c:v>
                </c:pt>
                <c:pt idx="115">
                  <c:v>122.3601820672836</c:v>
                </c:pt>
                <c:pt idx="116">
                  <c:v>123.5571448093655</c:v>
                </c:pt>
                <c:pt idx="117">
                  <c:v>121.95967609122989</c:v>
                </c:pt>
                <c:pt idx="118">
                  <c:v>121.1057539008161</c:v>
                </c:pt>
                <c:pt idx="119">
                  <c:v>119.8250458146599</c:v>
                </c:pt>
                <c:pt idx="120">
                  <c:v>119.32099695503329</c:v>
                </c:pt>
                <c:pt idx="121">
                  <c:v>119.14001590811139</c:v>
                </c:pt>
                <c:pt idx="122">
                  <c:v>118.20269877255249</c:v>
                </c:pt>
                <c:pt idx="123">
                  <c:v>117.07213662755041</c:v>
                </c:pt>
                <c:pt idx="124">
                  <c:v>116.1581210207821</c:v>
                </c:pt>
                <c:pt idx="125">
                  <c:v>116.5481150289605</c:v>
                </c:pt>
                <c:pt idx="126">
                  <c:v>115.28475168979899</c:v>
                </c:pt>
                <c:pt idx="127">
                  <c:v>115.3148859977084</c:v>
                </c:pt>
                <c:pt idx="128">
                  <c:v>115.5077806082225</c:v>
                </c:pt>
                <c:pt idx="129">
                  <c:v>114.6125113441653</c:v>
                </c:pt>
                <c:pt idx="130">
                  <c:v>114.74040695331639</c:v>
                </c:pt>
                <c:pt idx="131">
                  <c:v>114.33972577779799</c:v>
                </c:pt>
                <c:pt idx="132">
                  <c:v>114.4932005087793</c:v>
                </c:pt>
                <c:pt idx="133">
                  <c:v>115.1400369320471</c:v>
                </c:pt>
                <c:pt idx="134">
                  <c:v>117.19214826079489</c:v>
                </c:pt>
                <c:pt idx="135">
                  <c:v>116.7909414868828</c:v>
                </c:pt>
                <c:pt idx="136">
                  <c:v>116.930750659626</c:v>
                </c:pt>
                <c:pt idx="137">
                  <c:v>116.32280851749709</c:v>
                </c:pt>
                <c:pt idx="138">
                  <c:v>116.6907273931371</c:v>
                </c:pt>
                <c:pt idx="139">
                  <c:v>115.8923434329984</c:v>
                </c:pt>
                <c:pt idx="140">
                  <c:v>116.12921310912471</c:v>
                </c:pt>
                <c:pt idx="141">
                  <c:v>114.9783278262302</c:v>
                </c:pt>
                <c:pt idx="142">
                  <c:v>114.6081313575505</c:v>
                </c:pt>
                <c:pt idx="143">
                  <c:v>114.50563967076521</c:v>
                </c:pt>
                <c:pt idx="144">
                  <c:v>115.1663168517357</c:v>
                </c:pt>
                <c:pt idx="145">
                  <c:v>114.606729761834</c:v>
                </c:pt>
                <c:pt idx="146">
                  <c:v>114.32465862384331</c:v>
                </c:pt>
                <c:pt idx="147">
                  <c:v>114.804705156821</c:v>
                </c:pt>
                <c:pt idx="148">
                  <c:v>114.5431323561875</c:v>
                </c:pt>
                <c:pt idx="149">
                  <c:v>114.6752327524887</c:v>
                </c:pt>
                <c:pt idx="150">
                  <c:v>115.27353892406499</c:v>
                </c:pt>
                <c:pt idx="151">
                  <c:v>115.0762643269362</c:v>
                </c:pt>
                <c:pt idx="152">
                  <c:v>114.9636110712046</c:v>
                </c:pt>
                <c:pt idx="153">
                  <c:v>115.391623363199</c:v>
                </c:pt>
                <c:pt idx="154">
                  <c:v>115.2625013577958</c:v>
                </c:pt>
                <c:pt idx="155">
                  <c:v>115.940523285761</c:v>
                </c:pt>
                <c:pt idx="156">
                  <c:v>115.7866981558504</c:v>
                </c:pt>
                <c:pt idx="157">
                  <c:v>115.7448254838133</c:v>
                </c:pt>
                <c:pt idx="158">
                  <c:v>115.91617056018281</c:v>
                </c:pt>
                <c:pt idx="159">
                  <c:v>116.8392965391098</c:v>
                </c:pt>
                <c:pt idx="160">
                  <c:v>118.721814786134</c:v>
                </c:pt>
                <c:pt idx="161">
                  <c:v>118.5050930484356</c:v>
                </c:pt>
                <c:pt idx="162">
                  <c:v>118.9026206335913</c:v>
                </c:pt>
                <c:pt idx="163">
                  <c:v>117.7121402716993</c:v>
                </c:pt>
                <c:pt idx="164">
                  <c:v>115.9163457596473</c:v>
                </c:pt>
                <c:pt idx="165">
                  <c:v>115.6335738237984</c:v>
                </c:pt>
                <c:pt idx="166">
                  <c:v>114.9825326133803</c:v>
                </c:pt>
                <c:pt idx="167">
                  <c:v>115.7612942334848</c:v>
                </c:pt>
                <c:pt idx="168">
                  <c:v>114.935228757941</c:v>
                </c:pt>
                <c:pt idx="169">
                  <c:v>115.0342164554345</c:v>
                </c:pt>
                <c:pt idx="170">
                  <c:v>115.96119682258249</c:v>
                </c:pt>
                <c:pt idx="171">
                  <c:v>117.6753483841353</c:v>
                </c:pt>
                <c:pt idx="172">
                  <c:v>117.847043859434</c:v>
                </c:pt>
                <c:pt idx="173">
                  <c:v>117.1979298431264</c:v>
                </c:pt>
                <c:pt idx="174">
                  <c:v>115.9431512777297</c:v>
                </c:pt>
                <c:pt idx="175">
                  <c:v>117.6341765099566</c:v>
                </c:pt>
                <c:pt idx="176">
                  <c:v>116.7678151575569</c:v>
                </c:pt>
                <c:pt idx="177">
                  <c:v>117.0060864293998</c:v>
                </c:pt>
                <c:pt idx="178">
                  <c:v>116.6015508656606</c:v>
                </c:pt>
                <c:pt idx="179">
                  <c:v>117.0880797788282</c:v>
                </c:pt>
                <c:pt idx="180">
                  <c:v>116.0631629109741</c:v>
                </c:pt>
                <c:pt idx="181">
                  <c:v>116.6653234707715</c:v>
                </c:pt>
                <c:pt idx="182">
                  <c:v>116.3881579177894</c:v>
                </c:pt>
                <c:pt idx="183">
                  <c:v>116.16547939829491</c:v>
                </c:pt>
                <c:pt idx="184">
                  <c:v>116.2155864451678</c:v>
                </c:pt>
                <c:pt idx="185">
                  <c:v>116.96859374397749</c:v>
                </c:pt>
                <c:pt idx="186">
                  <c:v>116.93127625801969</c:v>
                </c:pt>
                <c:pt idx="187">
                  <c:v>117.689189141838</c:v>
                </c:pt>
                <c:pt idx="188">
                  <c:v>117.7121402716993</c:v>
                </c:pt>
                <c:pt idx="189">
                  <c:v>119.56049462312841</c:v>
                </c:pt>
                <c:pt idx="190">
                  <c:v>120.8447066985763</c:v>
                </c:pt>
                <c:pt idx="191">
                  <c:v>120.1631807813196</c:v>
                </c:pt>
                <c:pt idx="192">
                  <c:v>120.3488922137854</c:v>
                </c:pt>
                <c:pt idx="193">
                  <c:v>120.74747099572861</c:v>
                </c:pt>
                <c:pt idx="194">
                  <c:v>121.9416305463771</c:v>
                </c:pt>
                <c:pt idx="195">
                  <c:v>121.8687475691074</c:v>
                </c:pt>
                <c:pt idx="196">
                  <c:v>121.50731107365731</c:v>
                </c:pt>
                <c:pt idx="197">
                  <c:v>122.14030673922259</c:v>
                </c:pt>
                <c:pt idx="198">
                  <c:v>120.47275823525079</c:v>
                </c:pt>
                <c:pt idx="199">
                  <c:v>120.055608310061</c:v>
                </c:pt>
                <c:pt idx="200">
                  <c:v>118.41328852899029</c:v>
                </c:pt>
                <c:pt idx="201">
                  <c:v>116.7466160223414</c:v>
                </c:pt>
                <c:pt idx="202">
                  <c:v>116.9635129595044</c:v>
                </c:pt>
                <c:pt idx="203">
                  <c:v>116.9321522553427</c:v>
                </c:pt>
                <c:pt idx="204">
                  <c:v>117.40519080973689</c:v>
                </c:pt>
                <c:pt idx="205">
                  <c:v>117.1620139528854</c:v>
                </c:pt>
                <c:pt idx="206">
                  <c:v>117.41044679367459</c:v>
                </c:pt>
                <c:pt idx="207">
                  <c:v>117.4318211283546</c:v>
                </c:pt>
                <c:pt idx="208">
                  <c:v>116.2546559257715</c:v>
                </c:pt>
                <c:pt idx="209">
                  <c:v>116.3289404987578</c:v>
                </c:pt>
                <c:pt idx="210">
                  <c:v>116.19929289496091</c:v>
                </c:pt>
                <c:pt idx="211">
                  <c:v>116.3000325871004</c:v>
                </c:pt>
                <c:pt idx="212">
                  <c:v>116.39814428727109</c:v>
                </c:pt>
                <c:pt idx="213">
                  <c:v>115.7991373178363</c:v>
                </c:pt>
                <c:pt idx="214">
                  <c:v>115.3173387902126</c:v>
                </c:pt>
                <c:pt idx="215">
                  <c:v>115.5857443699652</c:v>
                </c:pt>
                <c:pt idx="216">
                  <c:v>116.10170679318399</c:v>
                </c:pt>
                <c:pt idx="217">
                  <c:v>115.7068071999972</c:v>
                </c:pt>
                <c:pt idx="218">
                  <c:v>115.4860558746132</c:v>
                </c:pt>
                <c:pt idx="219">
                  <c:v>114.84500103367679</c:v>
                </c:pt>
                <c:pt idx="220">
                  <c:v>114.7148278314861</c:v>
                </c:pt>
                <c:pt idx="221">
                  <c:v>114.8861729078556</c:v>
                </c:pt>
                <c:pt idx="222">
                  <c:v>114.9636110712046</c:v>
                </c:pt>
                <c:pt idx="223">
                  <c:v>115.4054641209016</c:v>
                </c:pt>
                <c:pt idx="224">
                  <c:v>115.5438716979281</c:v>
                </c:pt>
                <c:pt idx="225">
                  <c:v>114.65000402958771</c:v>
                </c:pt>
                <c:pt idx="226">
                  <c:v>115.274414921388</c:v>
                </c:pt>
                <c:pt idx="227">
                  <c:v>115.38899537123019</c:v>
                </c:pt>
                <c:pt idx="228">
                  <c:v>116.50554155906499</c:v>
                </c:pt>
                <c:pt idx="229">
                  <c:v>116.77639993132181</c:v>
                </c:pt>
                <c:pt idx="230">
                  <c:v>116.20454887889861</c:v>
                </c:pt>
                <c:pt idx="231">
                  <c:v>116.06964529116399</c:v>
                </c:pt>
                <c:pt idx="232">
                  <c:v>115.1219913871943</c:v>
                </c:pt>
                <c:pt idx="233">
                  <c:v>115.0240548864882</c:v>
                </c:pt>
                <c:pt idx="234">
                  <c:v>114.9648374674567</c:v>
                </c:pt>
                <c:pt idx="235">
                  <c:v>114.5508411326295</c:v>
                </c:pt>
                <c:pt idx="236">
                  <c:v>114.814165927909</c:v>
                </c:pt>
                <c:pt idx="237">
                  <c:v>115.1219913871943</c:v>
                </c:pt>
                <c:pt idx="238">
                  <c:v>115.23762303382399</c:v>
                </c:pt>
                <c:pt idx="239">
                  <c:v>115.574706803696</c:v>
                </c:pt>
              </c:numCache>
            </c:numRef>
          </c:val>
          <c:smooth val="0"/>
        </c:ser>
        <c:ser>
          <c:idx val="2"/>
          <c:order val="2"/>
          <c:tx>
            <c:strRef>
              <c:f>Currency!$R$3</c:f>
              <c:strCache>
                <c:ptCount val="1"/>
                <c:pt idx="0">
                  <c:v>Rupee</c:v>
                </c:pt>
              </c:strCache>
            </c:strRef>
          </c:tx>
          <c:spPr>
            <a:ln w="28575" cap="rnd">
              <a:solidFill>
                <a:schemeClr val="accent3"/>
              </a:solidFill>
              <a:round/>
            </a:ln>
            <a:effectLst/>
          </c:spPr>
          <c:marker>
            <c:symbol val="none"/>
          </c:marker>
          <c:cat>
            <c:numRef>
              <c:f>Currency!$O$4:$O$243</c:f>
              <c:numCache>
                <c:formatCode>m/d/yyyy</c:formatCode>
                <c:ptCount val="240"/>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numCache>
            </c:numRef>
          </c:cat>
          <c:val>
            <c:numRef>
              <c:f>Currency!$R$4:$R$243</c:f>
              <c:numCache>
                <c:formatCode>General</c:formatCode>
                <c:ptCount val="240"/>
                <c:pt idx="0">
                  <c:v>100</c:v>
                </c:pt>
                <c:pt idx="1">
                  <c:v>100</c:v>
                </c:pt>
                <c:pt idx="2">
                  <c:v>99.803039607000315</c:v>
                </c:pt>
                <c:pt idx="3">
                  <c:v>99.792754068160875</c:v>
                </c:pt>
                <c:pt idx="4">
                  <c:v>99.535615597175322</c:v>
                </c:pt>
                <c:pt idx="5">
                  <c:v>99.673011974209373</c:v>
                </c:pt>
                <c:pt idx="6">
                  <c:v>99.56248081056178</c:v>
                </c:pt>
                <c:pt idx="7">
                  <c:v>99.723518575376133</c:v>
                </c:pt>
                <c:pt idx="8">
                  <c:v>100.076757752533</c:v>
                </c:pt>
                <c:pt idx="9">
                  <c:v>100.2304267731041</c:v>
                </c:pt>
                <c:pt idx="10">
                  <c:v>100.1381639545594</c:v>
                </c:pt>
                <c:pt idx="11">
                  <c:v>100.50583358919251</c:v>
                </c:pt>
                <c:pt idx="12">
                  <c:v>100.82591341725509</c:v>
                </c:pt>
                <c:pt idx="13">
                  <c:v>100.92953638317471</c:v>
                </c:pt>
                <c:pt idx="14">
                  <c:v>101.57368744243171</c:v>
                </c:pt>
                <c:pt idx="15">
                  <c:v>101.5965612526865</c:v>
                </c:pt>
                <c:pt idx="16">
                  <c:v>102.14630027632791</c:v>
                </c:pt>
                <c:pt idx="17">
                  <c:v>101.94181762357999</c:v>
                </c:pt>
                <c:pt idx="18">
                  <c:v>102.78630641694809</c:v>
                </c:pt>
                <c:pt idx="19">
                  <c:v>102.66042370279401</c:v>
                </c:pt>
                <c:pt idx="20">
                  <c:v>102.30242554498</c:v>
                </c:pt>
                <c:pt idx="21">
                  <c:v>102.30242554498</c:v>
                </c:pt>
                <c:pt idx="22">
                  <c:v>102.30242554498</c:v>
                </c:pt>
                <c:pt idx="23">
                  <c:v>102.47666564323001</c:v>
                </c:pt>
                <c:pt idx="24">
                  <c:v>102.3794903285232</c:v>
                </c:pt>
                <c:pt idx="25">
                  <c:v>102.56908197727969</c:v>
                </c:pt>
                <c:pt idx="26">
                  <c:v>103.10485108996011</c:v>
                </c:pt>
                <c:pt idx="27">
                  <c:v>102.97052502302731</c:v>
                </c:pt>
                <c:pt idx="28">
                  <c:v>103.45026097635861</c:v>
                </c:pt>
                <c:pt idx="29">
                  <c:v>102.92063248388089</c:v>
                </c:pt>
                <c:pt idx="30">
                  <c:v>103.4085047589806</c:v>
                </c:pt>
                <c:pt idx="31">
                  <c:v>103.74808105618671</c:v>
                </c:pt>
                <c:pt idx="32">
                  <c:v>104.7129260055266</c:v>
                </c:pt>
                <c:pt idx="33">
                  <c:v>103.91311022413269</c:v>
                </c:pt>
                <c:pt idx="34">
                  <c:v>104.1065397605158</c:v>
                </c:pt>
                <c:pt idx="35">
                  <c:v>104.38148603008899</c:v>
                </c:pt>
                <c:pt idx="36">
                  <c:v>104.5824378262204</c:v>
                </c:pt>
                <c:pt idx="37">
                  <c:v>104.4303039607</c:v>
                </c:pt>
                <c:pt idx="38">
                  <c:v>104.9585508136322</c:v>
                </c:pt>
                <c:pt idx="39">
                  <c:v>104.86260362296601</c:v>
                </c:pt>
                <c:pt idx="40">
                  <c:v>104.0835124347559</c:v>
                </c:pt>
                <c:pt idx="41">
                  <c:v>103.50782929075839</c:v>
                </c:pt>
                <c:pt idx="42">
                  <c:v>104.07844642308871</c:v>
                </c:pt>
                <c:pt idx="43">
                  <c:v>103.5847405587964</c:v>
                </c:pt>
                <c:pt idx="44">
                  <c:v>103.5001535155051</c:v>
                </c:pt>
                <c:pt idx="45">
                  <c:v>102.79996929689899</c:v>
                </c:pt>
                <c:pt idx="46">
                  <c:v>102.94795824378259</c:v>
                </c:pt>
                <c:pt idx="47">
                  <c:v>103.03883942278171</c:v>
                </c:pt>
                <c:pt idx="48">
                  <c:v>102.6154436598096</c:v>
                </c:pt>
                <c:pt idx="49">
                  <c:v>103.56616518268341</c:v>
                </c:pt>
                <c:pt idx="50">
                  <c:v>103.7121584280012</c:v>
                </c:pt>
                <c:pt idx="51">
                  <c:v>103.6306416948112</c:v>
                </c:pt>
                <c:pt idx="52">
                  <c:v>103.63447958243781</c:v>
                </c:pt>
                <c:pt idx="53">
                  <c:v>103.53469450414499</c:v>
                </c:pt>
                <c:pt idx="54">
                  <c:v>104.0159656125268</c:v>
                </c:pt>
                <c:pt idx="55">
                  <c:v>104.6898986797666</c:v>
                </c:pt>
                <c:pt idx="56">
                  <c:v>104.55634019035919</c:v>
                </c:pt>
                <c:pt idx="57">
                  <c:v>104.5548050353086</c:v>
                </c:pt>
                <c:pt idx="58">
                  <c:v>104.4933988332821</c:v>
                </c:pt>
                <c:pt idx="59">
                  <c:v>104.1495241019343</c:v>
                </c:pt>
                <c:pt idx="60">
                  <c:v>104.19481117592881</c:v>
                </c:pt>
                <c:pt idx="61">
                  <c:v>104.5517347252073</c:v>
                </c:pt>
                <c:pt idx="62">
                  <c:v>104.9009824992324</c:v>
                </c:pt>
                <c:pt idx="63">
                  <c:v>105.7215228738103</c:v>
                </c:pt>
                <c:pt idx="64">
                  <c:v>105.66472213693579</c:v>
                </c:pt>
                <c:pt idx="65">
                  <c:v>105.1197420939514</c:v>
                </c:pt>
                <c:pt idx="66">
                  <c:v>105.52655818237641</c:v>
                </c:pt>
                <c:pt idx="67">
                  <c:v>105.285999385938</c:v>
                </c:pt>
                <c:pt idx="68">
                  <c:v>105.90267116978811</c:v>
                </c:pt>
                <c:pt idx="69">
                  <c:v>105.6570463616825</c:v>
                </c:pt>
                <c:pt idx="70">
                  <c:v>105.56248081056189</c:v>
                </c:pt>
                <c:pt idx="71">
                  <c:v>105.39376727049429</c:v>
                </c:pt>
                <c:pt idx="72">
                  <c:v>105.3945348480197</c:v>
                </c:pt>
                <c:pt idx="73">
                  <c:v>105.5956401596561</c:v>
                </c:pt>
                <c:pt idx="74">
                  <c:v>104.851089960086</c:v>
                </c:pt>
                <c:pt idx="75">
                  <c:v>105.1211237334971</c:v>
                </c:pt>
                <c:pt idx="76">
                  <c:v>105.1941971139085</c:v>
                </c:pt>
                <c:pt idx="77">
                  <c:v>105.0199570156586</c:v>
                </c:pt>
                <c:pt idx="78">
                  <c:v>105.0660116671784</c:v>
                </c:pt>
                <c:pt idx="79">
                  <c:v>105.9728277556033</c:v>
                </c:pt>
                <c:pt idx="80">
                  <c:v>105.5396070003071</c:v>
                </c:pt>
                <c:pt idx="81">
                  <c:v>105.851243475591</c:v>
                </c:pt>
                <c:pt idx="82">
                  <c:v>105.7284310715382</c:v>
                </c:pt>
                <c:pt idx="83">
                  <c:v>105.4613140927234</c:v>
                </c:pt>
                <c:pt idx="84">
                  <c:v>105.4435062941357</c:v>
                </c:pt>
                <c:pt idx="85">
                  <c:v>105.34617746392389</c:v>
                </c:pt>
                <c:pt idx="86">
                  <c:v>105.3469450414492</c:v>
                </c:pt>
                <c:pt idx="87">
                  <c:v>105.09026711697879</c:v>
                </c:pt>
                <c:pt idx="88">
                  <c:v>104.8817930610992</c:v>
                </c:pt>
                <c:pt idx="89">
                  <c:v>105.26558182376419</c:v>
                </c:pt>
                <c:pt idx="90">
                  <c:v>105.2267424009825</c:v>
                </c:pt>
                <c:pt idx="91">
                  <c:v>105.6555112066318</c:v>
                </c:pt>
                <c:pt idx="92">
                  <c:v>105.3599938593798</c:v>
                </c:pt>
                <c:pt idx="93">
                  <c:v>105.40267116978811</c:v>
                </c:pt>
                <c:pt idx="94">
                  <c:v>105.5678538532392</c:v>
                </c:pt>
                <c:pt idx="95">
                  <c:v>106.1022413263739</c:v>
                </c:pt>
                <c:pt idx="96">
                  <c:v>107.69112680380719</c:v>
                </c:pt>
                <c:pt idx="97">
                  <c:v>107.5337734111145</c:v>
                </c:pt>
                <c:pt idx="98">
                  <c:v>108.041909732883</c:v>
                </c:pt>
                <c:pt idx="99">
                  <c:v>107.52993552348779</c:v>
                </c:pt>
                <c:pt idx="100">
                  <c:v>107.49923242247471</c:v>
                </c:pt>
                <c:pt idx="101">
                  <c:v>107.1922014123426</c:v>
                </c:pt>
                <c:pt idx="102">
                  <c:v>107.16564322996619</c:v>
                </c:pt>
                <c:pt idx="103">
                  <c:v>107.1998771875959</c:v>
                </c:pt>
                <c:pt idx="104">
                  <c:v>107.72643536997241</c:v>
                </c:pt>
                <c:pt idx="105">
                  <c:v>107.1691740865827</c:v>
                </c:pt>
                <c:pt idx="106">
                  <c:v>107.3610684679153</c:v>
                </c:pt>
                <c:pt idx="107">
                  <c:v>107.6143690512742</c:v>
                </c:pt>
                <c:pt idx="108">
                  <c:v>108.2821614983113</c:v>
                </c:pt>
                <c:pt idx="109">
                  <c:v>108.976819158735</c:v>
                </c:pt>
                <c:pt idx="110">
                  <c:v>108.7887626650292</c:v>
                </c:pt>
                <c:pt idx="111">
                  <c:v>109.26466073073379</c:v>
                </c:pt>
                <c:pt idx="112">
                  <c:v>109.5548050353086</c:v>
                </c:pt>
                <c:pt idx="113">
                  <c:v>109.83573840957931</c:v>
                </c:pt>
                <c:pt idx="114">
                  <c:v>110.48510899600861</c:v>
                </c:pt>
                <c:pt idx="115">
                  <c:v>110.5234878722751</c:v>
                </c:pt>
                <c:pt idx="116">
                  <c:v>111.42155357691129</c:v>
                </c:pt>
                <c:pt idx="117">
                  <c:v>111.436905127418</c:v>
                </c:pt>
                <c:pt idx="118">
                  <c:v>110.4800429843414</c:v>
                </c:pt>
                <c:pt idx="119">
                  <c:v>110.02763279091189</c:v>
                </c:pt>
                <c:pt idx="120">
                  <c:v>110.4467301197421</c:v>
                </c:pt>
                <c:pt idx="121">
                  <c:v>111.21661037764819</c:v>
                </c:pt>
                <c:pt idx="122">
                  <c:v>111.6479889468836</c:v>
                </c:pt>
                <c:pt idx="123">
                  <c:v>110.73533926926621</c:v>
                </c:pt>
                <c:pt idx="124">
                  <c:v>110.19957015658581</c:v>
                </c:pt>
                <c:pt idx="125">
                  <c:v>110.9840343874731</c:v>
                </c:pt>
                <c:pt idx="126">
                  <c:v>111.8360454405895</c:v>
                </c:pt>
                <c:pt idx="127">
                  <c:v>111.6403131716303</c:v>
                </c:pt>
                <c:pt idx="128">
                  <c:v>111.4089653054958</c:v>
                </c:pt>
                <c:pt idx="129">
                  <c:v>111.4292293521646</c:v>
                </c:pt>
                <c:pt idx="130">
                  <c:v>111.3747313478661</c:v>
                </c:pt>
                <c:pt idx="131">
                  <c:v>112.38102548357379</c:v>
                </c:pt>
                <c:pt idx="132">
                  <c:v>112.59594719066619</c:v>
                </c:pt>
                <c:pt idx="133">
                  <c:v>112.7955173472521</c:v>
                </c:pt>
                <c:pt idx="134">
                  <c:v>113.39422781700949</c:v>
                </c:pt>
                <c:pt idx="135">
                  <c:v>113.8856309487258</c:v>
                </c:pt>
                <c:pt idx="136">
                  <c:v>113.60914952410189</c:v>
                </c:pt>
                <c:pt idx="137">
                  <c:v>113.79336813018109</c:v>
                </c:pt>
                <c:pt idx="138">
                  <c:v>113.95072152287381</c:v>
                </c:pt>
                <c:pt idx="139">
                  <c:v>113.3328216149831</c:v>
                </c:pt>
                <c:pt idx="140">
                  <c:v>113.0871968068775</c:v>
                </c:pt>
                <c:pt idx="141">
                  <c:v>113.18774946269571</c:v>
                </c:pt>
                <c:pt idx="142">
                  <c:v>112.4654590113602</c:v>
                </c:pt>
                <c:pt idx="143">
                  <c:v>112.6320233343567</c:v>
                </c:pt>
                <c:pt idx="144">
                  <c:v>113.1125268652134</c:v>
                </c:pt>
                <c:pt idx="145">
                  <c:v>112.7333435677003</c:v>
                </c:pt>
                <c:pt idx="146">
                  <c:v>113.08412649677619</c:v>
                </c:pt>
                <c:pt idx="147">
                  <c:v>112.6680994780473</c:v>
                </c:pt>
                <c:pt idx="148">
                  <c:v>112.4654590113602</c:v>
                </c:pt>
                <c:pt idx="149">
                  <c:v>112.4424316856003</c:v>
                </c:pt>
                <c:pt idx="150">
                  <c:v>112.2873810254836</c:v>
                </c:pt>
                <c:pt idx="151">
                  <c:v>112.88762665029169</c:v>
                </c:pt>
                <c:pt idx="152">
                  <c:v>113.07184525637091</c:v>
                </c:pt>
                <c:pt idx="153">
                  <c:v>113.6935830518882</c:v>
                </c:pt>
                <c:pt idx="154">
                  <c:v>112.2737181455327</c:v>
                </c:pt>
                <c:pt idx="155">
                  <c:v>112.0202640466687</c:v>
                </c:pt>
                <c:pt idx="156">
                  <c:v>112.0202640466687</c:v>
                </c:pt>
                <c:pt idx="157">
                  <c:v>112.111605772183</c:v>
                </c:pt>
                <c:pt idx="158">
                  <c:v>111.0300890389929</c:v>
                </c:pt>
                <c:pt idx="159">
                  <c:v>111.474516426159</c:v>
                </c:pt>
                <c:pt idx="160">
                  <c:v>111.5059871046976</c:v>
                </c:pt>
                <c:pt idx="161">
                  <c:v>111.9204789683758</c:v>
                </c:pt>
                <c:pt idx="162">
                  <c:v>111.1536690205711</c:v>
                </c:pt>
                <c:pt idx="163">
                  <c:v>110.80749155664719</c:v>
                </c:pt>
                <c:pt idx="164">
                  <c:v>110.3120970217992</c:v>
                </c:pt>
                <c:pt idx="165">
                  <c:v>110.2253607614369</c:v>
                </c:pt>
                <c:pt idx="166">
                  <c:v>109.5890389929383</c:v>
                </c:pt>
                <c:pt idx="167">
                  <c:v>109.676696346331</c:v>
                </c:pt>
                <c:pt idx="168">
                  <c:v>109.1341725514277</c:v>
                </c:pt>
                <c:pt idx="169">
                  <c:v>108.98848633711999</c:v>
                </c:pt>
                <c:pt idx="170">
                  <c:v>108.3128645993245</c:v>
                </c:pt>
                <c:pt idx="171">
                  <c:v>108.5914952410194</c:v>
                </c:pt>
                <c:pt idx="172">
                  <c:v>108.83481731654889</c:v>
                </c:pt>
                <c:pt idx="173">
                  <c:v>108.1823764200184</c:v>
                </c:pt>
                <c:pt idx="174">
                  <c:v>107.1220448265275</c:v>
                </c:pt>
                <c:pt idx="175">
                  <c:v>107.0609456555112</c:v>
                </c:pt>
                <c:pt idx="176">
                  <c:v>108.227663494013</c:v>
                </c:pt>
                <c:pt idx="177">
                  <c:v>108.38378876266501</c:v>
                </c:pt>
                <c:pt idx="178">
                  <c:v>108.4433527786306</c:v>
                </c:pt>
                <c:pt idx="179">
                  <c:v>108.35891925084429</c:v>
                </c:pt>
                <c:pt idx="180">
                  <c:v>109.4237027939822</c:v>
                </c:pt>
                <c:pt idx="181">
                  <c:v>111.41925084433529</c:v>
                </c:pt>
                <c:pt idx="182">
                  <c:v>111.0630948725821</c:v>
                </c:pt>
                <c:pt idx="183">
                  <c:v>110.19726742400979</c:v>
                </c:pt>
                <c:pt idx="184">
                  <c:v>109.8257599017501</c:v>
                </c:pt>
                <c:pt idx="185">
                  <c:v>110.3699723672091</c:v>
                </c:pt>
                <c:pt idx="186">
                  <c:v>109.9240098249923</c:v>
                </c:pt>
                <c:pt idx="187">
                  <c:v>108.2173779551735</c:v>
                </c:pt>
                <c:pt idx="188">
                  <c:v>107.9175621737795</c:v>
                </c:pt>
                <c:pt idx="189">
                  <c:v>107.3799508750384</c:v>
                </c:pt>
                <c:pt idx="190">
                  <c:v>107.63355848940741</c:v>
                </c:pt>
                <c:pt idx="191">
                  <c:v>107.45317777095489</c:v>
                </c:pt>
                <c:pt idx="192">
                  <c:v>107.6588885477433</c:v>
                </c:pt>
                <c:pt idx="193">
                  <c:v>107.71799201719369</c:v>
                </c:pt>
                <c:pt idx="194">
                  <c:v>107.6719373656739</c:v>
                </c:pt>
                <c:pt idx="195">
                  <c:v>107.31501381639541</c:v>
                </c:pt>
                <c:pt idx="196">
                  <c:v>106.9849554805035</c:v>
                </c:pt>
                <c:pt idx="197">
                  <c:v>107.23825606386249</c:v>
                </c:pt>
                <c:pt idx="198">
                  <c:v>107.4861836045441</c:v>
                </c:pt>
                <c:pt idx="199">
                  <c:v>107.6565858151673</c:v>
                </c:pt>
                <c:pt idx="200">
                  <c:v>106.7700337734111</c:v>
                </c:pt>
                <c:pt idx="201">
                  <c:v>107.0985569542524</c:v>
                </c:pt>
                <c:pt idx="202">
                  <c:v>107.6796131409272</c:v>
                </c:pt>
                <c:pt idx="203">
                  <c:v>108.35508136321771</c:v>
                </c:pt>
                <c:pt idx="204">
                  <c:v>108.07982806263431</c:v>
                </c:pt>
                <c:pt idx="205">
                  <c:v>108.037304267731</c:v>
                </c:pt>
                <c:pt idx="206">
                  <c:v>108.6206631869819</c:v>
                </c:pt>
                <c:pt idx="207">
                  <c:v>109.1879029782008</c:v>
                </c:pt>
                <c:pt idx="208">
                  <c:v>108.995241019343</c:v>
                </c:pt>
                <c:pt idx="209">
                  <c:v>109.1407737181455</c:v>
                </c:pt>
                <c:pt idx="210">
                  <c:v>109.3521645686214</c:v>
                </c:pt>
                <c:pt idx="211">
                  <c:v>109.2992017193737</c:v>
                </c:pt>
                <c:pt idx="212">
                  <c:v>109.3360454405895</c:v>
                </c:pt>
                <c:pt idx="213">
                  <c:v>109.3478661344796</c:v>
                </c:pt>
                <c:pt idx="214">
                  <c:v>109.0957936751612</c:v>
                </c:pt>
                <c:pt idx="215">
                  <c:v>108.82023334356769</c:v>
                </c:pt>
                <c:pt idx="216">
                  <c:v>109.1011667178385</c:v>
                </c:pt>
                <c:pt idx="217">
                  <c:v>109.6215842800123</c:v>
                </c:pt>
                <c:pt idx="218">
                  <c:v>109.365213386552</c:v>
                </c:pt>
                <c:pt idx="219">
                  <c:v>108.93997543751919</c:v>
                </c:pt>
                <c:pt idx="220">
                  <c:v>109.3874731347866</c:v>
                </c:pt>
                <c:pt idx="221">
                  <c:v>110.2356463002763</c:v>
                </c:pt>
                <c:pt idx="222">
                  <c:v>109.87304267731039</c:v>
                </c:pt>
                <c:pt idx="223">
                  <c:v>109.8615290144305</c:v>
                </c:pt>
                <c:pt idx="224">
                  <c:v>109.6964998464845</c:v>
                </c:pt>
                <c:pt idx="225">
                  <c:v>109.47574455019959</c:v>
                </c:pt>
                <c:pt idx="226">
                  <c:v>109.26082284310711</c:v>
                </c:pt>
                <c:pt idx="227">
                  <c:v>108.5584894074301</c:v>
                </c:pt>
                <c:pt idx="228">
                  <c:v>108.6966533619896</c:v>
                </c:pt>
                <c:pt idx="229">
                  <c:v>109.23779551734729</c:v>
                </c:pt>
                <c:pt idx="230">
                  <c:v>109.34525637089349</c:v>
                </c:pt>
                <c:pt idx="231">
                  <c:v>109.5428308259134</c:v>
                </c:pt>
                <c:pt idx="232">
                  <c:v>109.5428308259134</c:v>
                </c:pt>
                <c:pt idx="233">
                  <c:v>109.18022720294751</c:v>
                </c:pt>
                <c:pt idx="234">
                  <c:v>109.36260362296601</c:v>
                </c:pt>
                <c:pt idx="235">
                  <c:v>109.2129260055266</c:v>
                </c:pt>
                <c:pt idx="236">
                  <c:v>108.967147681916</c:v>
                </c:pt>
                <c:pt idx="237">
                  <c:v>109.10346945041449</c:v>
                </c:pt>
                <c:pt idx="238">
                  <c:v>109.36444580902671</c:v>
                </c:pt>
                <c:pt idx="239">
                  <c:v>108.6063862450108</c:v>
                </c:pt>
              </c:numCache>
            </c:numRef>
          </c:val>
          <c:smooth val="0"/>
        </c:ser>
        <c:ser>
          <c:idx val="3"/>
          <c:order val="3"/>
          <c:tx>
            <c:strRef>
              <c:f>Currency!$S$3</c:f>
              <c:strCache>
                <c:ptCount val="1"/>
                <c:pt idx="0">
                  <c:v>Renminbi</c:v>
                </c:pt>
              </c:strCache>
            </c:strRef>
          </c:tx>
          <c:spPr>
            <a:ln w="28575" cap="rnd">
              <a:solidFill>
                <a:schemeClr val="accent4"/>
              </a:solidFill>
              <a:round/>
            </a:ln>
            <a:effectLst/>
          </c:spPr>
          <c:marker>
            <c:symbol val="none"/>
          </c:marker>
          <c:cat>
            <c:numRef>
              <c:f>Currency!$O$4:$O$243</c:f>
              <c:numCache>
                <c:formatCode>m/d/yyyy</c:formatCode>
                <c:ptCount val="240"/>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numCache>
            </c:numRef>
          </c:cat>
          <c:val>
            <c:numRef>
              <c:f>Currency!$S$4:$S$243</c:f>
              <c:numCache>
                <c:formatCode>General</c:formatCode>
                <c:ptCount val="240"/>
                <c:pt idx="0">
                  <c:v>100</c:v>
                </c:pt>
                <c:pt idx="1">
                  <c:v>99.880725190839669</c:v>
                </c:pt>
                <c:pt idx="2">
                  <c:v>100.2131043256998</c:v>
                </c:pt>
                <c:pt idx="3">
                  <c:v>100.42938931297709</c:v>
                </c:pt>
                <c:pt idx="4">
                  <c:v>100.4866412213741</c:v>
                </c:pt>
                <c:pt idx="5">
                  <c:v>100.3451017811705</c:v>
                </c:pt>
                <c:pt idx="6">
                  <c:v>100.4118956743003</c:v>
                </c:pt>
                <c:pt idx="7">
                  <c:v>100.162213740458</c:v>
                </c:pt>
                <c:pt idx="8">
                  <c:v>99.599236641221395</c:v>
                </c:pt>
                <c:pt idx="9">
                  <c:v>100.2321882951654</c:v>
                </c:pt>
                <c:pt idx="10">
                  <c:v>99.988867684478365</c:v>
                </c:pt>
                <c:pt idx="11">
                  <c:v>100.10496183206099</c:v>
                </c:pt>
                <c:pt idx="12">
                  <c:v>100.227417302799</c:v>
                </c:pt>
                <c:pt idx="13">
                  <c:v>99.783715012722595</c:v>
                </c:pt>
                <c:pt idx="14">
                  <c:v>99.858460559796384</c:v>
                </c:pt>
                <c:pt idx="15">
                  <c:v>100.1351781170483</c:v>
                </c:pt>
                <c:pt idx="16">
                  <c:v>100.462786259542</c:v>
                </c:pt>
                <c:pt idx="17">
                  <c:v>100.9796437659033</c:v>
                </c:pt>
                <c:pt idx="18">
                  <c:v>100.77449109414761</c:v>
                </c:pt>
                <c:pt idx="19">
                  <c:v>100.82379134860049</c:v>
                </c:pt>
                <c:pt idx="20">
                  <c:v>100.787213740458</c:v>
                </c:pt>
                <c:pt idx="21">
                  <c:v>100.93511450381681</c:v>
                </c:pt>
                <c:pt idx="22">
                  <c:v>100.7204198473282</c:v>
                </c:pt>
                <c:pt idx="23">
                  <c:v>101.184796437659</c:v>
                </c:pt>
                <c:pt idx="24">
                  <c:v>101.0448473282443</c:v>
                </c:pt>
                <c:pt idx="25">
                  <c:v>101.1879770992366</c:v>
                </c:pt>
                <c:pt idx="26">
                  <c:v>101.2531806615776</c:v>
                </c:pt>
                <c:pt idx="27">
                  <c:v>101.315203562341</c:v>
                </c:pt>
                <c:pt idx="28">
                  <c:v>101.1832061068702</c:v>
                </c:pt>
                <c:pt idx="29">
                  <c:v>100.9732824427481</c:v>
                </c:pt>
                <c:pt idx="30">
                  <c:v>100.7331424936387</c:v>
                </c:pt>
                <c:pt idx="31">
                  <c:v>100.8142493638677</c:v>
                </c:pt>
                <c:pt idx="32">
                  <c:v>101.84001272264631</c:v>
                </c:pt>
                <c:pt idx="33">
                  <c:v>101.32792620865141</c:v>
                </c:pt>
                <c:pt idx="34">
                  <c:v>101.257951653944</c:v>
                </c:pt>
                <c:pt idx="35">
                  <c:v>101.534669211196</c:v>
                </c:pt>
                <c:pt idx="36">
                  <c:v>101.7636768447837</c:v>
                </c:pt>
                <c:pt idx="37">
                  <c:v>101.5044529262086</c:v>
                </c:pt>
                <c:pt idx="38">
                  <c:v>101.9052162849873</c:v>
                </c:pt>
                <c:pt idx="39">
                  <c:v>101.70006361323151</c:v>
                </c:pt>
                <c:pt idx="40">
                  <c:v>101.5235368956743</c:v>
                </c:pt>
                <c:pt idx="41">
                  <c:v>101.77003816793891</c:v>
                </c:pt>
                <c:pt idx="42">
                  <c:v>102.1278625954198</c:v>
                </c:pt>
                <c:pt idx="43">
                  <c:v>101.74777353689571</c:v>
                </c:pt>
                <c:pt idx="44">
                  <c:v>101.9465648854962</c:v>
                </c:pt>
                <c:pt idx="45">
                  <c:v>102.1055979643766</c:v>
                </c:pt>
                <c:pt idx="46">
                  <c:v>101.8241094147583</c:v>
                </c:pt>
                <c:pt idx="47">
                  <c:v>101.9195292620865</c:v>
                </c:pt>
                <c:pt idx="48">
                  <c:v>101.7827608142493</c:v>
                </c:pt>
                <c:pt idx="49">
                  <c:v>101.60941475826969</c:v>
                </c:pt>
                <c:pt idx="50">
                  <c:v>101.875</c:v>
                </c:pt>
                <c:pt idx="51">
                  <c:v>101.6650763358778</c:v>
                </c:pt>
                <c:pt idx="52">
                  <c:v>101.67620865139951</c:v>
                </c:pt>
                <c:pt idx="53">
                  <c:v>101.95928753180659</c:v>
                </c:pt>
                <c:pt idx="54">
                  <c:v>101.7334605597964</c:v>
                </c:pt>
                <c:pt idx="55">
                  <c:v>102.14376590330799</c:v>
                </c:pt>
                <c:pt idx="56">
                  <c:v>102.53498727735369</c:v>
                </c:pt>
                <c:pt idx="57">
                  <c:v>102.92779898218831</c:v>
                </c:pt>
                <c:pt idx="58">
                  <c:v>103.190203562341</c:v>
                </c:pt>
                <c:pt idx="59">
                  <c:v>103.4653307888041</c:v>
                </c:pt>
                <c:pt idx="60">
                  <c:v>103.5687022900763</c:v>
                </c:pt>
                <c:pt idx="61">
                  <c:v>104.33683206106871</c:v>
                </c:pt>
                <c:pt idx="62">
                  <c:v>104.6326335877862</c:v>
                </c:pt>
                <c:pt idx="63">
                  <c:v>104.7375954198473</c:v>
                </c:pt>
                <c:pt idx="64">
                  <c:v>105.40712468193399</c:v>
                </c:pt>
                <c:pt idx="65">
                  <c:v>105.3419211195929</c:v>
                </c:pt>
                <c:pt idx="66">
                  <c:v>106.47105597964379</c:v>
                </c:pt>
                <c:pt idx="67">
                  <c:v>105.4675572519084</c:v>
                </c:pt>
                <c:pt idx="68">
                  <c:v>105.5709287531806</c:v>
                </c:pt>
                <c:pt idx="69">
                  <c:v>105.698155216285</c:v>
                </c:pt>
                <c:pt idx="70">
                  <c:v>105.6440839694657</c:v>
                </c:pt>
                <c:pt idx="71">
                  <c:v>105.26717557251909</c:v>
                </c:pt>
                <c:pt idx="72">
                  <c:v>106.0893765903308</c:v>
                </c:pt>
                <c:pt idx="73">
                  <c:v>106.0941475826972</c:v>
                </c:pt>
                <c:pt idx="74">
                  <c:v>105.77767175572519</c:v>
                </c:pt>
                <c:pt idx="75">
                  <c:v>107.0117684478372</c:v>
                </c:pt>
                <c:pt idx="76">
                  <c:v>106.1959287531806</c:v>
                </c:pt>
                <c:pt idx="77">
                  <c:v>106.4742366412214</c:v>
                </c:pt>
                <c:pt idx="78">
                  <c:v>107.8053435114504</c:v>
                </c:pt>
                <c:pt idx="79">
                  <c:v>108.22996183206099</c:v>
                </c:pt>
                <c:pt idx="80">
                  <c:v>107.74332061068699</c:v>
                </c:pt>
                <c:pt idx="81">
                  <c:v>108.1202290076336</c:v>
                </c:pt>
                <c:pt idx="82">
                  <c:v>108.0120865139949</c:v>
                </c:pt>
                <c:pt idx="83">
                  <c:v>107.6606234096692</c:v>
                </c:pt>
                <c:pt idx="84">
                  <c:v>108.027989821883</c:v>
                </c:pt>
                <c:pt idx="85">
                  <c:v>108.360368956743</c:v>
                </c:pt>
                <c:pt idx="86">
                  <c:v>108.38899491094151</c:v>
                </c:pt>
                <c:pt idx="87">
                  <c:v>108.4971374045802</c:v>
                </c:pt>
                <c:pt idx="88">
                  <c:v>108.6275445292621</c:v>
                </c:pt>
                <c:pt idx="89">
                  <c:v>108.823155216285</c:v>
                </c:pt>
                <c:pt idx="90">
                  <c:v>108.92175572519081</c:v>
                </c:pt>
                <c:pt idx="91">
                  <c:v>109.0569338422392</c:v>
                </c:pt>
                <c:pt idx="92">
                  <c:v>108.7468193384224</c:v>
                </c:pt>
                <c:pt idx="93">
                  <c:v>108.80884223918569</c:v>
                </c:pt>
                <c:pt idx="94">
                  <c:v>108.57506361323151</c:v>
                </c:pt>
                <c:pt idx="95">
                  <c:v>109.066475826972</c:v>
                </c:pt>
                <c:pt idx="96">
                  <c:v>109.7264631043257</c:v>
                </c:pt>
                <c:pt idx="97">
                  <c:v>109.6739821882951</c:v>
                </c:pt>
                <c:pt idx="98">
                  <c:v>110.28625954198471</c:v>
                </c:pt>
                <c:pt idx="99">
                  <c:v>109.45610687022899</c:v>
                </c:pt>
                <c:pt idx="100">
                  <c:v>109.3765903307888</c:v>
                </c:pt>
                <c:pt idx="101">
                  <c:v>109.0712468193384</c:v>
                </c:pt>
                <c:pt idx="102">
                  <c:v>108.9996819338423</c:v>
                </c:pt>
                <c:pt idx="103">
                  <c:v>108.9058524173028</c:v>
                </c:pt>
                <c:pt idx="104">
                  <c:v>109.8314249363868</c:v>
                </c:pt>
                <c:pt idx="105">
                  <c:v>108.53053435114511</c:v>
                </c:pt>
                <c:pt idx="106">
                  <c:v>108.548027989822</c:v>
                </c:pt>
                <c:pt idx="107">
                  <c:v>108.3301526717557</c:v>
                </c:pt>
                <c:pt idx="108">
                  <c:v>108.7022900763359</c:v>
                </c:pt>
                <c:pt idx="109">
                  <c:v>108.9153944020356</c:v>
                </c:pt>
                <c:pt idx="110">
                  <c:v>108.757951653944</c:v>
                </c:pt>
                <c:pt idx="111">
                  <c:v>108.60050890585239</c:v>
                </c:pt>
                <c:pt idx="112">
                  <c:v>108.97105597964379</c:v>
                </c:pt>
                <c:pt idx="113">
                  <c:v>108.7293256997456</c:v>
                </c:pt>
                <c:pt idx="114">
                  <c:v>108.7484096692112</c:v>
                </c:pt>
                <c:pt idx="115">
                  <c:v>109.0807888040712</c:v>
                </c:pt>
                <c:pt idx="116">
                  <c:v>109.1380407124682</c:v>
                </c:pt>
                <c:pt idx="117">
                  <c:v>109.4831424936387</c:v>
                </c:pt>
                <c:pt idx="118">
                  <c:v>109.2843511450382</c:v>
                </c:pt>
                <c:pt idx="119">
                  <c:v>109.1046437659033</c:v>
                </c:pt>
                <c:pt idx="120">
                  <c:v>109.3002544529262</c:v>
                </c:pt>
                <c:pt idx="121">
                  <c:v>109.3718193384224</c:v>
                </c:pt>
                <c:pt idx="122">
                  <c:v>109.3797709923664</c:v>
                </c:pt>
                <c:pt idx="123">
                  <c:v>109.04103053435119</c:v>
                </c:pt>
                <c:pt idx="124">
                  <c:v>109.0044529262086</c:v>
                </c:pt>
                <c:pt idx="125">
                  <c:v>109.1364503816794</c:v>
                </c:pt>
                <c:pt idx="126">
                  <c:v>109.367048346056</c:v>
                </c:pt>
                <c:pt idx="127">
                  <c:v>109.285941475827</c:v>
                </c:pt>
                <c:pt idx="128">
                  <c:v>109.5165394402036</c:v>
                </c:pt>
                <c:pt idx="129">
                  <c:v>109.5785623409669</c:v>
                </c:pt>
                <c:pt idx="130">
                  <c:v>109.2414122137405</c:v>
                </c:pt>
                <c:pt idx="131">
                  <c:v>109.2382315521628</c:v>
                </c:pt>
                <c:pt idx="132">
                  <c:v>109.2382315521628</c:v>
                </c:pt>
                <c:pt idx="133">
                  <c:v>109.2382315521628</c:v>
                </c:pt>
                <c:pt idx="134">
                  <c:v>109.2382315521628</c:v>
                </c:pt>
                <c:pt idx="135">
                  <c:v>109.2398218829516</c:v>
                </c:pt>
                <c:pt idx="136">
                  <c:v>110.22105597964379</c:v>
                </c:pt>
                <c:pt idx="137">
                  <c:v>110.0954198473282</c:v>
                </c:pt>
                <c:pt idx="138">
                  <c:v>110.1192748091603</c:v>
                </c:pt>
                <c:pt idx="139">
                  <c:v>109.57220101781169</c:v>
                </c:pt>
                <c:pt idx="140">
                  <c:v>110.0858778625954</c:v>
                </c:pt>
                <c:pt idx="141">
                  <c:v>110.0031806615776</c:v>
                </c:pt>
                <c:pt idx="142">
                  <c:v>109.92207379134859</c:v>
                </c:pt>
                <c:pt idx="143">
                  <c:v>110.17016539440201</c:v>
                </c:pt>
                <c:pt idx="144">
                  <c:v>110.33396946564901</c:v>
                </c:pt>
                <c:pt idx="145">
                  <c:v>110.2035623409669</c:v>
                </c:pt>
                <c:pt idx="146">
                  <c:v>110.4866412213741</c:v>
                </c:pt>
                <c:pt idx="147">
                  <c:v>110.3435114503817</c:v>
                </c:pt>
                <c:pt idx="148">
                  <c:v>110.4325699745547</c:v>
                </c:pt>
                <c:pt idx="149">
                  <c:v>110.5104961832061</c:v>
                </c:pt>
                <c:pt idx="150">
                  <c:v>110.4246183206107</c:v>
                </c:pt>
                <c:pt idx="151">
                  <c:v>110.7172391857506</c:v>
                </c:pt>
                <c:pt idx="152">
                  <c:v>110.8031170483461</c:v>
                </c:pt>
                <c:pt idx="153">
                  <c:v>110.93829516539439</c:v>
                </c:pt>
                <c:pt idx="154">
                  <c:v>110.1097328244275</c:v>
                </c:pt>
                <c:pt idx="155">
                  <c:v>109.5881043256997</c:v>
                </c:pt>
                <c:pt idx="156">
                  <c:v>110.1431297709924</c:v>
                </c:pt>
                <c:pt idx="157">
                  <c:v>110.0429389312977</c:v>
                </c:pt>
                <c:pt idx="158">
                  <c:v>110.0508905852417</c:v>
                </c:pt>
                <c:pt idx="159">
                  <c:v>110.2783078880407</c:v>
                </c:pt>
                <c:pt idx="160">
                  <c:v>110.63772264631039</c:v>
                </c:pt>
                <c:pt idx="161">
                  <c:v>110.7458651399491</c:v>
                </c:pt>
                <c:pt idx="162">
                  <c:v>110.625</c:v>
                </c:pt>
                <c:pt idx="163">
                  <c:v>110.535941475827</c:v>
                </c:pt>
                <c:pt idx="164">
                  <c:v>110.3546437659033</c:v>
                </c:pt>
                <c:pt idx="165">
                  <c:v>110.33715012722649</c:v>
                </c:pt>
                <c:pt idx="166">
                  <c:v>110.4007633587786</c:v>
                </c:pt>
                <c:pt idx="167">
                  <c:v>110.4596055979644</c:v>
                </c:pt>
                <c:pt idx="168">
                  <c:v>110.1638040712468</c:v>
                </c:pt>
                <c:pt idx="169">
                  <c:v>110.24173027989821</c:v>
                </c:pt>
                <c:pt idx="170">
                  <c:v>110.5041348600509</c:v>
                </c:pt>
                <c:pt idx="171">
                  <c:v>110.38167938931301</c:v>
                </c:pt>
                <c:pt idx="172">
                  <c:v>110.5550254452926</c:v>
                </c:pt>
                <c:pt idx="173">
                  <c:v>110.59001272264631</c:v>
                </c:pt>
                <c:pt idx="174">
                  <c:v>110.4150763358779</c:v>
                </c:pt>
                <c:pt idx="175">
                  <c:v>110.6727099236641</c:v>
                </c:pt>
                <c:pt idx="176">
                  <c:v>109.4688295165394</c:v>
                </c:pt>
                <c:pt idx="177">
                  <c:v>108.7309160305343</c:v>
                </c:pt>
                <c:pt idx="178">
                  <c:v>109.0458015267175</c:v>
                </c:pt>
                <c:pt idx="179">
                  <c:v>109.45928753180659</c:v>
                </c:pt>
                <c:pt idx="180">
                  <c:v>109.3256997455471</c:v>
                </c:pt>
                <c:pt idx="181">
                  <c:v>109.9316157760814</c:v>
                </c:pt>
                <c:pt idx="182">
                  <c:v>109.7248727735369</c:v>
                </c:pt>
                <c:pt idx="183">
                  <c:v>109.4147582697201</c:v>
                </c:pt>
                <c:pt idx="184">
                  <c:v>109.4417938931298</c:v>
                </c:pt>
                <c:pt idx="185">
                  <c:v>109.85368956743</c:v>
                </c:pt>
                <c:pt idx="186">
                  <c:v>109.68829516539439</c:v>
                </c:pt>
                <c:pt idx="187">
                  <c:v>109.6548982188295</c:v>
                </c:pt>
                <c:pt idx="188">
                  <c:v>109.59287531806611</c:v>
                </c:pt>
                <c:pt idx="189">
                  <c:v>109.497455470738</c:v>
                </c:pt>
                <c:pt idx="190">
                  <c:v>109.8361959287532</c:v>
                </c:pt>
                <c:pt idx="191">
                  <c:v>109.7185114503817</c:v>
                </c:pt>
                <c:pt idx="192">
                  <c:v>109.529262086514</c:v>
                </c:pt>
                <c:pt idx="193">
                  <c:v>109.50063613231551</c:v>
                </c:pt>
                <c:pt idx="194">
                  <c:v>109.1968829516539</c:v>
                </c:pt>
                <c:pt idx="195">
                  <c:v>109.38613231552161</c:v>
                </c:pt>
                <c:pt idx="196">
                  <c:v>109.390903307888</c:v>
                </c:pt>
                <c:pt idx="197">
                  <c:v>109.390903307888</c:v>
                </c:pt>
                <c:pt idx="198">
                  <c:v>109.13008905852421</c:v>
                </c:pt>
                <c:pt idx="199">
                  <c:v>109.2875318066157</c:v>
                </c:pt>
                <c:pt idx="200">
                  <c:v>109.24777353689571</c:v>
                </c:pt>
                <c:pt idx="201">
                  <c:v>108.9535623409669</c:v>
                </c:pt>
                <c:pt idx="202">
                  <c:v>108.9885496183206</c:v>
                </c:pt>
                <c:pt idx="203">
                  <c:v>108.4287531806615</c:v>
                </c:pt>
                <c:pt idx="204">
                  <c:v>107.9596055979644</c:v>
                </c:pt>
                <c:pt idx="205">
                  <c:v>107.5493002544529</c:v>
                </c:pt>
                <c:pt idx="206">
                  <c:v>107.6351781170483</c:v>
                </c:pt>
                <c:pt idx="207">
                  <c:v>107.5222646310433</c:v>
                </c:pt>
                <c:pt idx="208">
                  <c:v>107.46660305343509</c:v>
                </c:pt>
                <c:pt idx="209">
                  <c:v>107.76399491094151</c:v>
                </c:pt>
                <c:pt idx="210">
                  <c:v>107.8053435114504</c:v>
                </c:pt>
                <c:pt idx="211">
                  <c:v>108.11386768447839</c:v>
                </c:pt>
                <c:pt idx="212">
                  <c:v>108.2681297709924</c:v>
                </c:pt>
                <c:pt idx="213">
                  <c:v>108.0136768447837</c:v>
                </c:pt>
                <c:pt idx="214">
                  <c:v>107.9611959287532</c:v>
                </c:pt>
                <c:pt idx="215">
                  <c:v>107.32665394402041</c:v>
                </c:pt>
                <c:pt idx="216">
                  <c:v>107.2709923664122</c:v>
                </c:pt>
                <c:pt idx="217">
                  <c:v>107.0753816793893</c:v>
                </c:pt>
                <c:pt idx="218">
                  <c:v>106.81456743002551</c:v>
                </c:pt>
                <c:pt idx="219">
                  <c:v>106.558524173028</c:v>
                </c:pt>
                <c:pt idx="220">
                  <c:v>107.2232824427481</c:v>
                </c:pt>
                <c:pt idx="221">
                  <c:v>107.2232824427481</c:v>
                </c:pt>
                <c:pt idx="222">
                  <c:v>107.2232824427481</c:v>
                </c:pt>
                <c:pt idx="223">
                  <c:v>107.2232824427481</c:v>
                </c:pt>
                <c:pt idx="224">
                  <c:v>107.2694020356234</c:v>
                </c:pt>
                <c:pt idx="225">
                  <c:v>107.2694020356234</c:v>
                </c:pt>
                <c:pt idx="226">
                  <c:v>108.02003816793891</c:v>
                </c:pt>
                <c:pt idx="227">
                  <c:v>107.7290076335878</c:v>
                </c:pt>
                <c:pt idx="228">
                  <c:v>107.51272264631039</c:v>
                </c:pt>
                <c:pt idx="229">
                  <c:v>107.69720101781169</c:v>
                </c:pt>
                <c:pt idx="230">
                  <c:v>107.7146946564886</c:v>
                </c:pt>
                <c:pt idx="231">
                  <c:v>107.6129134860051</c:v>
                </c:pt>
                <c:pt idx="232">
                  <c:v>107.48568702290071</c:v>
                </c:pt>
                <c:pt idx="233">
                  <c:v>106.890903307888</c:v>
                </c:pt>
                <c:pt idx="234">
                  <c:v>106.90998727735369</c:v>
                </c:pt>
                <c:pt idx="235">
                  <c:v>106.77003816793891</c:v>
                </c:pt>
                <c:pt idx="236">
                  <c:v>106.37881679389309</c:v>
                </c:pt>
                <c:pt idx="237">
                  <c:v>106.5553435114503</c:v>
                </c:pt>
                <c:pt idx="238">
                  <c:v>106.348600508906</c:v>
                </c:pt>
                <c:pt idx="239">
                  <c:v>106.4583333333333</c:v>
                </c:pt>
              </c:numCache>
            </c:numRef>
          </c:val>
          <c:smooth val="0"/>
        </c:ser>
        <c:ser>
          <c:idx val="4"/>
          <c:order val="4"/>
          <c:tx>
            <c:strRef>
              <c:f>Currency!$T$3</c:f>
              <c:strCache>
                <c:ptCount val="1"/>
                <c:pt idx="0">
                  <c:v>Rand</c:v>
                </c:pt>
              </c:strCache>
            </c:strRef>
          </c:tx>
          <c:spPr>
            <a:ln w="28575" cap="rnd">
              <a:solidFill>
                <a:schemeClr val="accent5"/>
              </a:solidFill>
              <a:round/>
            </a:ln>
            <a:effectLst/>
          </c:spPr>
          <c:marker>
            <c:symbol val="none"/>
          </c:marker>
          <c:cat>
            <c:numRef>
              <c:f>Currency!$O$4:$O$243</c:f>
              <c:numCache>
                <c:formatCode>m/d/yyyy</c:formatCode>
                <c:ptCount val="240"/>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numCache>
            </c:numRef>
          </c:cat>
          <c:val>
            <c:numRef>
              <c:f>Currency!$T$4:$T$243</c:f>
              <c:numCache>
                <c:formatCode>General</c:formatCode>
                <c:ptCount val="240"/>
                <c:pt idx="0">
                  <c:v>100</c:v>
                </c:pt>
                <c:pt idx="1">
                  <c:v>100.3340973872739</c:v>
                </c:pt>
                <c:pt idx="2">
                  <c:v>99.908651853606116</c:v>
                </c:pt>
                <c:pt idx="3">
                  <c:v>100.39837941621769</c:v>
                </c:pt>
                <c:pt idx="4">
                  <c:v>101.09533194055599</c:v>
                </c:pt>
                <c:pt idx="5">
                  <c:v>101.9013947508648</c:v>
                </c:pt>
                <c:pt idx="6">
                  <c:v>102.177130822387</c:v>
                </c:pt>
                <c:pt idx="7">
                  <c:v>102.166135212173</c:v>
                </c:pt>
                <c:pt idx="8">
                  <c:v>101.1841426384389</c:v>
                </c:pt>
                <c:pt idx="9">
                  <c:v>101.67725346573179</c:v>
                </c:pt>
                <c:pt idx="10">
                  <c:v>102.1568312342995</c:v>
                </c:pt>
                <c:pt idx="11">
                  <c:v>102.0248839117306</c:v>
                </c:pt>
                <c:pt idx="12">
                  <c:v>101.3888301516548</c:v>
                </c:pt>
                <c:pt idx="13">
                  <c:v>100.8779571847854</c:v>
                </c:pt>
                <c:pt idx="14">
                  <c:v>101.1604597856702</c:v>
                </c:pt>
                <c:pt idx="15">
                  <c:v>102.2727080496325</c:v>
                </c:pt>
                <c:pt idx="16">
                  <c:v>104.2908254320006</c:v>
                </c:pt>
                <c:pt idx="17">
                  <c:v>104.2333099324193</c:v>
                </c:pt>
                <c:pt idx="18">
                  <c:v>105.58830743726161</c:v>
                </c:pt>
                <c:pt idx="19">
                  <c:v>105.16793680061571</c:v>
                </c:pt>
                <c:pt idx="20">
                  <c:v>104.629151900126</c:v>
                </c:pt>
                <c:pt idx="21">
                  <c:v>105.3235669759534</c:v>
                </c:pt>
                <c:pt idx="22">
                  <c:v>106.8401153693256</c:v>
                </c:pt>
                <c:pt idx="23">
                  <c:v>106.8511109795397</c:v>
                </c:pt>
                <c:pt idx="24">
                  <c:v>106.3546168875656</c:v>
                </c:pt>
                <c:pt idx="25">
                  <c:v>105.33456258616749</c:v>
                </c:pt>
                <c:pt idx="26">
                  <c:v>106.02728602965431</c:v>
                </c:pt>
                <c:pt idx="27">
                  <c:v>106.7208552893114</c:v>
                </c:pt>
                <c:pt idx="28">
                  <c:v>106.4214363650204</c:v>
                </c:pt>
                <c:pt idx="29">
                  <c:v>104.26460513072089</c:v>
                </c:pt>
                <c:pt idx="30">
                  <c:v>103.58287729744811</c:v>
                </c:pt>
                <c:pt idx="31">
                  <c:v>103.9990188532424</c:v>
                </c:pt>
                <c:pt idx="32">
                  <c:v>106.12709233775129</c:v>
                </c:pt>
                <c:pt idx="33">
                  <c:v>105.1078838525235</c:v>
                </c:pt>
                <c:pt idx="34">
                  <c:v>106.3140177113906</c:v>
                </c:pt>
                <c:pt idx="35">
                  <c:v>107.46348188684669</c:v>
                </c:pt>
                <c:pt idx="36">
                  <c:v>107.593737577075</c:v>
                </c:pt>
                <c:pt idx="37">
                  <c:v>106.2928723071327</c:v>
                </c:pt>
                <c:pt idx="38">
                  <c:v>105.57308274619589</c:v>
                </c:pt>
                <c:pt idx="39">
                  <c:v>104.942103883142</c:v>
                </c:pt>
                <c:pt idx="40">
                  <c:v>105.5849241725803</c:v>
                </c:pt>
                <c:pt idx="41">
                  <c:v>105.3853115563863</c:v>
                </c:pt>
                <c:pt idx="42">
                  <c:v>107.0168909489211</c:v>
                </c:pt>
                <c:pt idx="43">
                  <c:v>105.9528542066667</c:v>
                </c:pt>
                <c:pt idx="44">
                  <c:v>107.2689441676746</c:v>
                </c:pt>
                <c:pt idx="45">
                  <c:v>107.01519931658051</c:v>
                </c:pt>
                <c:pt idx="46">
                  <c:v>106.40874912246569</c:v>
                </c:pt>
                <c:pt idx="47">
                  <c:v>107.91683935413479</c:v>
                </c:pt>
                <c:pt idx="48">
                  <c:v>107.5988124740968</c:v>
                </c:pt>
                <c:pt idx="49">
                  <c:v>109.72688595860571</c:v>
                </c:pt>
                <c:pt idx="50">
                  <c:v>110.717336694043</c:v>
                </c:pt>
                <c:pt idx="51">
                  <c:v>111.0269054123777</c:v>
                </c:pt>
                <c:pt idx="52">
                  <c:v>112.29901293252919</c:v>
                </c:pt>
                <c:pt idx="53">
                  <c:v>112.001285640579</c:v>
                </c:pt>
                <c:pt idx="54">
                  <c:v>112.9841240304832</c:v>
                </c:pt>
                <c:pt idx="55">
                  <c:v>113.2767764254117</c:v>
                </c:pt>
                <c:pt idx="56">
                  <c:v>115.5055020341879</c:v>
                </c:pt>
                <c:pt idx="57">
                  <c:v>116.51456072537199</c:v>
                </c:pt>
                <c:pt idx="58">
                  <c:v>115.1274222060577</c:v>
                </c:pt>
                <c:pt idx="59">
                  <c:v>114.91765979582</c:v>
                </c:pt>
                <c:pt idx="60">
                  <c:v>113.4620101667104</c:v>
                </c:pt>
                <c:pt idx="61">
                  <c:v>115.2238452494735</c:v>
                </c:pt>
                <c:pt idx="62">
                  <c:v>114.32389684425991</c:v>
                </c:pt>
                <c:pt idx="63">
                  <c:v>117.3637601603667</c:v>
                </c:pt>
                <c:pt idx="64">
                  <c:v>116.8427373994536</c:v>
                </c:pt>
                <c:pt idx="65">
                  <c:v>116.35216402067179</c:v>
                </c:pt>
                <c:pt idx="66">
                  <c:v>117.69870336381091</c:v>
                </c:pt>
                <c:pt idx="67">
                  <c:v>116.18976731597149</c:v>
                </c:pt>
                <c:pt idx="68">
                  <c:v>115.8387536052914</c:v>
                </c:pt>
                <c:pt idx="69">
                  <c:v>114.60047873195241</c:v>
                </c:pt>
                <c:pt idx="70">
                  <c:v>114.13697147062059</c:v>
                </c:pt>
                <c:pt idx="71">
                  <c:v>113.2607059181757</c:v>
                </c:pt>
                <c:pt idx="72">
                  <c:v>112.8065026347174</c:v>
                </c:pt>
                <c:pt idx="73">
                  <c:v>114.11328861785179</c:v>
                </c:pt>
                <c:pt idx="74">
                  <c:v>112.2973213001886</c:v>
                </c:pt>
                <c:pt idx="75">
                  <c:v>112.3015503810402</c:v>
                </c:pt>
                <c:pt idx="76">
                  <c:v>111.8304307741755</c:v>
                </c:pt>
                <c:pt idx="77">
                  <c:v>112.26179702103551</c:v>
                </c:pt>
                <c:pt idx="78">
                  <c:v>112.0774090959071</c:v>
                </c:pt>
                <c:pt idx="79">
                  <c:v>114.7188929957963</c:v>
                </c:pt>
                <c:pt idx="80">
                  <c:v>113.9212883471906</c:v>
                </c:pt>
                <c:pt idx="81">
                  <c:v>114.2968307268098</c:v>
                </c:pt>
                <c:pt idx="82">
                  <c:v>112.5468370704311</c:v>
                </c:pt>
                <c:pt idx="83">
                  <c:v>111.57414847457051</c:v>
                </c:pt>
                <c:pt idx="84">
                  <c:v>111.75938221586919</c:v>
                </c:pt>
                <c:pt idx="85">
                  <c:v>111.60798112138301</c:v>
                </c:pt>
                <c:pt idx="86">
                  <c:v>111.3085621970921</c:v>
                </c:pt>
                <c:pt idx="87">
                  <c:v>110.78584780383829</c:v>
                </c:pt>
                <c:pt idx="88">
                  <c:v>111.9598406482335</c:v>
                </c:pt>
                <c:pt idx="89">
                  <c:v>113.1084590075193</c:v>
                </c:pt>
                <c:pt idx="90">
                  <c:v>112.4512598431857</c:v>
                </c:pt>
                <c:pt idx="91">
                  <c:v>113.4324066007494</c:v>
                </c:pt>
                <c:pt idx="92">
                  <c:v>112.721921017686</c:v>
                </c:pt>
                <c:pt idx="93">
                  <c:v>113.54574596757141</c:v>
                </c:pt>
                <c:pt idx="94">
                  <c:v>115.600233445263</c:v>
                </c:pt>
                <c:pt idx="95">
                  <c:v>118.94374476651249</c:v>
                </c:pt>
                <c:pt idx="96">
                  <c:v>122.473335645231</c:v>
                </c:pt>
                <c:pt idx="97">
                  <c:v>120.7385666799178</c:v>
                </c:pt>
                <c:pt idx="98">
                  <c:v>122.9613715755018</c:v>
                </c:pt>
                <c:pt idx="99">
                  <c:v>124.0457079058438</c:v>
                </c:pt>
                <c:pt idx="100">
                  <c:v>125.2180091178983</c:v>
                </c:pt>
                <c:pt idx="101">
                  <c:v>123.1482969491411</c:v>
                </c:pt>
                <c:pt idx="102">
                  <c:v>121.2392898527434</c:v>
                </c:pt>
                <c:pt idx="103">
                  <c:v>120.0153938542997</c:v>
                </c:pt>
                <c:pt idx="104">
                  <c:v>121.80006597366121</c:v>
                </c:pt>
                <c:pt idx="105">
                  <c:v>121.20714883827149</c:v>
                </c:pt>
                <c:pt idx="106">
                  <c:v>119.5087499682819</c:v>
                </c:pt>
                <c:pt idx="107">
                  <c:v>119.4427763069974</c:v>
                </c:pt>
                <c:pt idx="108">
                  <c:v>121.14455844166829</c:v>
                </c:pt>
                <c:pt idx="109">
                  <c:v>124.7908719518899</c:v>
                </c:pt>
                <c:pt idx="110">
                  <c:v>124.30537347012999</c:v>
                </c:pt>
                <c:pt idx="111">
                  <c:v>125.5216571230409</c:v>
                </c:pt>
                <c:pt idx="112">
                  <c:v>129.51644689543181</c:v>
                </c:pt>
                <c:pt idx="113">
                  <c:v>130.31320572786711</c:v>
                </c:pt>
                <c:pt idx="114">
                  <c:v>129.63824442395699</c:v>
                </c:pt>
                <c:pt idx="115">
                  <c:v>128.75013744512771</c:v>
                </c:pt>
                <c:pt idx="116">
                  <c:v>128.70108010724951</c:v>
                </c:pt>
                <c:pt idx="117">
                  <c:v>127.58460276243559</c:v>
                </c:pt>
                <c:pt idx="118">
                  <c:v>126.614451615086</c:v>
                </c:pt>
                <c:pt idx="119">
                  <c:v>125.2805995145015</c:v>
                </c:pt>
                <c:pt idx="120">
                  <c:v>126.3353322788825</c:v>
                </c:pt>
                <c:pt idx="121">
                  <c:v>125.8024680915849</c:v>
                </c:pt>
                <c:pt idx="122">
                  <c:v>125.90904092904449</c:v>
                </c:pt>
                <c:pt idx="123">
                  <c:v>123.99495893562489</c:v>
                </c:pt>
                <c:pt idx="124">
                  <c:v>121.22660261018871</c:v>
                </c:pt>
                <c:pt idx="125">
                  <c:v>121.08281386123539</c:v>
                </c:pt>
                <c:pt idx="126">
                  <c:v>120.52542100499871</c:v>
                </c:pt>
                <c:pt idx="127">
                  <c:v>121.5141801080953</c:v>
                </c:pt>
                <c:pt idx="128">
                  <c:v>119.80901470874321</c:v>
                </c:pt>
                <c:pt idx="129">
                  <c:v>118.9217535460843</c:v>
                </c:pt>
                <c:pt idx="130">
                  <c:v>119.84200153938539</c:v>
                </c:pt>
                <c:pt idx="131">
                  <c:v>120.1270415887811</c:v>
                </c:pt>
                <c:pt idx="132">
                  <c:v>121.2088404706121</c:v>
                </c:pt>
                <c:pt idx="133">
                  <c:v>122.225511507329</c:v>
                </c:pt>
                <c:pt idx="134">
                  <c:v>125.9961599945868</c:v>
                </c:pt>
                <c:pt idx="135">
                  <c:v>125.3068198157812</c:v>
                </c:pt>
                <c:pt idx="136">
                  <c:v>125.6409172030551</c:v>
                </c:pt>
                <c:pt idx="137">
                  <c:v>124.25293286757049</c:v>
                </c:pt>
                <c:pt idx="138">
                  <c:v>124.3163690803441</c:v>
                </c:pt>
                <c:pt idx="139">
                  <c:v>123.37497568278511</c:v>
                </c:pt>
                <c:pt idx="140">
                  <c:v>123.2252662206396</c:v>
                </c:pt>
                <c:pt idx="141">
                  <c:v>121.4710434834093</c:v>
                </c:pt>
                <c:pt idx="142">
                  <c:v>120.0559930304748</c:v>
                </c:pt>
                <c:pt idx="143">
                  <c:v>119.4486970201896</c:v>
                </c:pt>
                <c:pt idx="144">
                  <c:v>121.6909556876908</c:v>
                </c:pt>
                <c:pt idx="145">
                  <c:v>121.90410136260979</c:v>
                </c:pt>
                <c:pt idx="146">
                  <c:v>121.3035718816872</c:v>
                </c:pt>
                <c:pt idx="147">
                  <c:v>121.3754662561638</c:v>
                </c:pt>
                <c:pt idx="148">
                  <c:v>122.66364428355141</c:v>
                </c:pt>
                <c:pt idx="149">
                  <c:v>122.9089309729423</c:v>
                </c:pt>
                <c:pt idx="150">
                  <c:v>123.506923005354</c:v>
                </c:pt>
                <c:pt idx="151">
                  <c:v>123.1753630665911</c:v>
                </c:pt>
                <c:pt idx="152">
                  <c:v>123.82325825305131</c:v>
                </c:pt>
                <c:pt idx="153">
                  <c:v>124.9270483553105</c:v>
                </c:pt>
                <c:pt idx="154">
                  <c:v>122.3024807788275</c:v>
                </c:pt>
                <c:pt idx="155">
                  <c:v>121.246056382106</c:v>
                </c:pt>
                <c:pt idx="156">
                  <c:v>119.9155875462027</c:v>
                </c:pt>
                <c:pt idx="157">
                  <c:v>119.6931378934102</c:v>
                </c:pt>
                <c:pt idx="158">
                  <c:v>117.7672144736063</c:v>
                </c:pt>
                <c:pt idx="159">
                  <c:v>119.2727672567644</c:v>
                </c:pt>
                <c:pt idx="160">
                  <c:v>121.3771578885045</c:v>
                </c:pt>
                <c:pt idx="161">
                  <c:v>122.06142317028819</c:v>
                </c:pt>
                <c:pt idx="162">
                  <c:v>122.41497432947931</c:v>
                </c:pt>
                <c:pt idx="163">
                  <c:v>121.7958368928097</c:v>
                </c:pt>
                <c:pt idx="164">
                  <c:v>120.49074254201589</c:v>
                </c:pt>
                <c:pt idx="165">
                  <c:v>118.2755499919647</c:v>
                </c:pt>
                <c:pt idx="166">
                  <c:v>118.6697003273308</c:v>
                </c:pt>
                <c:pt idx="167">
                  <c:v>119.4114811086958</c:v>
                </c:pt>
                <c:pt idx="168">
                  <c:v>117.43057963782149</c:v>
                </c:pt>
                <c:pt idx="169">
                  <c:v>116.3462433074795</c:v>
                </c:pt>
                <c:pt idx="170">
                  <c:v>117.25042079354471</c:v>
                </c:pt>
                <c:pt idx="171">
                  <c:v>117.52192778421541</c:v>
                </c:pt>
                <c:pt idx="172">
                  <c:v>118.292466315371</c:v>
                </c:pt>
                <c:pt idx="173">
                  <c:v>116.75392670157071</c:v>
                </c:pt>
                <c:pt idx="174">
                  <c:v>115.6907357754865</c:v>
                </c:pt>
                <c:pt idx="175">
                  <c:v>117.7342276429641</c:v>
                </c:pt>
                <c:pt idx="176">
                  <c:v>115.5816254895161</c:v>
                </c:pt>
                <c:pt idx="177">
                  <c:v>116.714173341566</c:v>
                </c:pt>
                <c:pt idx="178">
                  <c:v>117.0888699050148</c:v>
                </c:pt>
                <c:pt idx="179">
                  <c:v>119.0249431188625</c:v>
                </c:pt>
                <c:pt idx="180">
                  <c:v>119.52735792402881</c:v>
                </c:pt>
                <c:pt idx="181">
                  <c:v>121.90410136260979</c:v>
                </c:pt>
                <c:pt idx="182">
                  <c:v>121.0523644791041</c:v>
                </c:pt>
                <c:pt idx="183">
                  <c:v>119.2702298082535</c:v>
                </c:pt>
                <c:pt idx="184">
                  <c:v>120.1794821913405</c:v>
                </c:pt>
                <c:pt idx="185">
                  <c:v>121.7493170034425</c:v>
                </c:pt>
                <c:pt idx="186">
                  <c:v>122.1180928536991</c:v>
                </c:pt>
                <c:pt idx="187">
                  <c:v>121.2925762714731</c:v>
                </c:pt>
                <c:pt idx="188">
                  <c:v>119.7159749300087</c:v>
                </c:pt>
                <c:pt idx="189">
                  <c:v>121.15555405188231</c:v>
                </c:pt>
                <c:pt idx="190">
                  <c:v>123.68454440111999</c:v>
                </c:pt>
                <c:pt idx="191">
                  <c:v>123.96197210498271</c:v>
                </c:pt>
                <c:pt idx="192">
                  <c:v>123.58473809302281</c:v>
                </c:pt>
                <c:pt idx="193">
                  <c:v>123.3563677270382</c:v>
                </c:pt>
                <c:pt idx="194">
                  <c:v>122.7363844741984</c:v>
                </c:pt>
                <c:pt idx="195">
                  <c:v>121.5547792842704</c:v>
                </c:pt>
                <c:pt idx="196">
                  <c:v>121.6385150851314</c:v>
                </c:pt>
                <c:pt idx="197">
                  <c:v>121.1530166033714</c:v>
                </c:pt>
                <c:pt idx="198">
                  <c:v>121.82374882643001</c:v>
                </c:pt>
                <c:pt idx="199">
                  <c:v>120.8121526867351</c:v>
                </c:pt>
                <c:pt idx="200">
                  <c:v>118.0649417655567</c:v>
                </c:pt>
                <c:pt idx="201">
                  <c:v>117.1759889705571</c:v>
                </c:pt>
                <c:pt idx="202">
                  <c:v>117.7308443782828</c:v>
                </c:pt>
                <c:pt idx="203">
                  <c:v>117.3519187339823</c:v>
                </c:pt>
                <c:pt idx="204">
                  <c:v>117.22589212460559</c:v>
                </c:pt>
                <c:pt idx="205">
                  <c:v>117.0279711407523</c:v>
                </c:pt>
                <c:pt idx="206">
                  <c:v>116.42828747599999</c:v>
                </c:pt>
                <c:pt idx="207">
                  <c:v>116.6989486505003</c:v>
                </c:pt>
                <c:pt idx="208">
                  <c:v>115.55540518823641</c:v>
                </c:pt>
                <c:pt idx="209">
                  <c:v>116.30987321215601</c:v>
                </c:pt>
                <c:pt idx="210">
                  <c:v>117.1083236769321</c:v>
                </c:pt>
                <c:pt idx="211">
                  <c:v>116.93408554584749</c:v>
                </c:pt>
                <c:pt idx="212">
                  <c:v>117.72746111360151</c:v>
                </c:pt>
                <c:pt idx="213">
                  <c:v>116.9129401415896</c:v>
                </c:pt>
                <c:pt idx="214">
                  <c:v>116.33271024875449</c:v>
                </c:pt>
                <c:pt idx="215">
                  <c:v>115.0597569124326</c:v>
                </c:pt>
                <c:pt idx="216">
                  <c:v>115.8192998333742</c:v>
                </c:pt>
                <c:pt idx="217">
                  <c:v>114.992937434978</c:v>
                </c:pt>
                <c:pt idx="218">
                  <c:v>114.8381530758105</c:v>
                </c:pt>
                <c:pt idx="219">
                  <c:v>112.6068900185233</c:v>
                </c:pt>
                <c:pt idx="220">
                  <c:v>112.7041588781094</c:v>
                </c:pt>
                <c:pt idx="221">
                  <c:v>113.5186798501214</c:v>
                </c:pt>
                <c:pt idx="222">
                  <c:v>113.1270669632662</c:v>
                </c:pt>
                <c:pt idx="223">
                  <c:v>114.5277385413054</c:v>
                </c:pt>
                <c:pt idx="224">
                  <c:v>115.27374840352191</c:v>
                </c:pt>
                <c:pt idx="225">
                  <c:v>115.2382241243688</c:v>
                </c:pt>
                <c:pt idx="226">
                  <c:v>116.8173629143442</c:v>
                </c:pt>
                <c:pt idx="227">
                  <c:v>116.45704522579059</c:v>
                </c:pt>
                <c:pt idx="228">
                  <c:v>118.95896945757811</c:v>
                </c:pt>
                <c:pt idx="229">
                  <c:v>119.51720812998509</c:v>
                </c:pt>
                <c:pt idx="230">
                  <c:v>119.1002207580204</c:v>
                </c:pt>
                <c:pt idx="231">
                  <c:v>119.3920273367786</c:v>
                </c:pt>
                <c:pt idx="232">
                  <c:v>118.794035304367</c:v>
                </c:pt>
                <c:pt idx="233">
                  <c:v>118.51914504901509</c:v>
                </c:pt>
                <c:pt idx="234">
                  <c:v>118.6206429894527</c:v>
                </c:pt>
                <c:pt idx="235">
                  <c:v>118.41510966006651</c:v>
                </c:pt>
                <c:pt idx="236">
                  <c:v>116.9222441194631</c:v>
                </c:pt>
                <c:pt idx="237">
                  <c:v>117.008517368835</c:v>
                </c:pt>
                <c:pt idx="238">
                  <c:v>117.87124986255481</c:v>
                </c:pt>
                <c:pt idx="239">
                  <c:v>119.1323617724923</c:v>
                </c:pt>
              </c:numCache>
            </c:numRef>
          </c:val>
          <c:smooth val="0"/>
        </c:ser>
        <c:ser>
          <c:idx val="5"/>
          <c:order val="5"/>
          <c:tx>
            <c:strRef>
              <c:f>Currency!$U$3</c:f>
              <c:strCache>
                <c:ptCount val="1"/>
                <c:pt idx="0">
                  <c:v>Won</c:v>
                </c:pt>
              </c:strCache>
            </c:strRef>
          </c:tx>
          <c:spPr>
            <a:ln w="28575" cap="rnd">
              <a:solidFill>
                <a:schemeClr val="accent6"/>
              </a:solidFill>
              <a:round/>
            </a:ln>
            <a:effectLst/>
          </c:spPr>
          <c:marker>
            <c:symbol val="none"/>
          </c:marker>
          <c:cat>
            <c:numRef>
              <c:f>Currency!$O$4:$O$243</c:f>
              <c:numCache>
                <c:formatCode>m/d/yyyy</c:formatCode>
                <c:ptCount val="240"/>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numCache>
            </c:numRef>
          </c:cat>
          <c:val>
            <c:numRef>
              <c:f>Currency!$U$4:$U$243</c:f>
              <c:numCache>
                <c:formatCode>General</c:formatCode>
                <c:ptCount val="240"/>
                <c:pt idx="0">
                  <c:v>100</c:v>
                </c:pt>
                <c:pt idx="1">
                  <c:v>99.654057518828836</c:v>
                </c:pt>
                <c:pt idx="2">
                  <c:v>99.539057565960022</c:v>
                </c:pt>
                <c:pt idx="3">
                  <c:v>100.045245883096</c:v>
                </c:pt>
                <c:pt idx="4">
                  <c:v>100.10934421748181</c:v>
                </c:pt>
                <c:pt idx="5">
                  <c:v>100.8455324403556</c:v>
                </c:pt>
                <c:pt idx="6">
                  <c:v>100.8907783234515</c:v>
                </c:pt>
                <c:pt idx="7">
                  <c:v>100.47508177250749</c:v>
                </c:pt>
                <c:pt idx="8">
                  <c:v>100.6324997407788</c:v>
                </c:pt>
                <c:pt idx="9">
                  <c:v>100.93036847116051</c:v>
                </c:pt>
                <c:pt idx="10">
                  <c:v>100.9737291091274</c:v>
                </c:pt>
                <c:pt idx="11">
                  <c:v>101.03499957582</c:v>
                </c:pt>
                <c:pt idx="12">
                  <c:v>100.59008172537639</c:v>
                </c:pt>
                <c:pt idx="13">
                  <c:v>100.3374588780906</c:v>
                </c:pt>
                <c:pt idx="14">
                  <c:v>100.5891391028118</c:v>
                </c:pt>
                <c:pt idx="15">
                  <c:v>101.0463110465938</c:v>
                </c:pt>
                <c:pt idx="16">
                  <c:v>101.809835323838</c:v>
                </c:pt>
                <c:pt idx="17">
                  <c:v>101.4563518621509</c:v>
                </c:pt>
                <c:pt idx="18">
                  <c:v>102.1652040306541</c:v>
                </c:pt>
                <c:pt idx="19">
                  <c:v>101.70803208687209</c:v>
                </c:pt>
                <c:pt idx="20">
                  <c:v>100.70508167824519</c:v>
                </c:pt>
                <c:pt idx="21">
                  <c:v>100.8493029306136</c:v>
                </c:pt>
                <c:pt idx="22">
                  <c:v>101.0510241594163</c:v>
                </c:pt>
                <c:pt idx="23">
                  <c:v>101.70803208687209</c:v>
                </c:pt>
                <c:pt idx="24">
                  <c:v>101.55249936372979</c:v>
                </c:pt>
                <c:pt idx="25">
                  <c:v>101.36114698313651</c:v>
                </c:pt>
                <c:pt idx="26">
                  <c:v>101.78721238228999</c:v>
                </c:pt>
                <c:pt idx="27">
                  <c:v>101.56475345706831</c:v>
                </c:pt>
                <c:pt idx="28">
                  <c:v>101.83999924590201</c:v>
                </c:pt>
                <c:pt idx="29">
                  <c:v>100.4977047140555</c:v>
                </c:pt>
                <c:pt idx="30">
                  <c:v>100.63815547616581</c:v>
                </c:pt>
                <c:pt idx="31">
                  <c:v>100.8738111172905</c:v>
                </c:pt>
                <c:pt idx="32">
                  <c:v>101.3884830375069</c:v>
                </c:pt>
                <c:pt idx="33">
                  <c:v>101.4799174262633</c:v>
                </c:pt>
                <c:pt idx="34">
                  <c:v>101.8503680941114</c:v>
                </c:pt>
                <c:pt idx="35">
                  <c:v>101.9182369187554</c:v>
                </c:pt>
                <c:pt idx="36">
                  <c:v>101.8296303976924</c:v>
                </c:pt>
                <c:pt idx="37">
                  <c:v>101.3809420569909</c:v>
                </c:pt>
                <c:pt idx="38">
                  <c:v>101.8484828489824</c:v>
                </c:pt>
                <c:pt idx="39">
                  <c:v>102.00778606238281</c:v>
                </c:pt>
                <c:pt idx="40">
                  <c:v>101.5421305155203</c:v>
                </c:pt>
                <c:pt idx="41">
                  <c:v>101.299876516444</c:v>
                </c:pt>
                <c:pt idx="42">
                  <c:v>102.20856466862109</c:v>
                </c:pt>
                <c:pt idx="43">
                  <c:v>101.6090567175997</c:v>
                </c:pt>
                <c:pt idx="44">
                  <c:v>101.98139263057681</c:v>
                </c:pt>
                <c:pt idx="45">
                  <c:v>101.1349175676567</c:v>
                </c:pt>
                <c:pt idx="46">
                  <c:v>100.92188486808</c:v>
                </c:pt>
                <c:pt idx="47">
                  <c:v>101.00672089888489</c:v>
                </c:pt>
                <c:pt idx="48">
                  <c:v>100.566516161264</c:v>
                </c:pt>
                <c:pt idx="49">
                  <c:v>101.0840159491738</c:v>
                </c:pt>
                <c:pt idx="50">
                  <c:v>101.3950813954584</c:v>
                </c:pt>
                <c:pt idx="51">
                  <c:v>101.47143382318281</c:v>
                </c:pt>
                <c:pt idx="52">
                  <c:v>101.7532779699681</c:v>
                </c:pt>
                <c:pt idx="53">
                  <c:v>102.1256138829452</c:v>
                </c:pt>
                <c:pt idx="54">
                  <c:v>102.3735236174084</c:v>
                </c:pt>
                <c:pt idx="55">
                  <c:v>103.9703262416696</c:v>
                </c:pt>
                <c:pt idx="56">
                  <c:v>104.34454739977571</c:v>
                </c:pt>
                <c:pt idx="57">
                  <c:v>104.9412274831035</c:v>
                </c:pt>
                <c:pt idx="58">
                  <c:v>104.558522721917</c:v>
                </c:pt>
                <c:pt idx="59">
                  <c:v>104.7715554214937</c:v>
                </c:pt>
                <c:pt idx="60">
                  <c:v>104.8535635846051</c:v>
                </c:pt>
                <c:pt idx="61">
                  <c:v>105.21835851706621</c:v>
                </c:pt>
                <c:pt idx="62">
                  <c:v>105.4210223684335</c:v>
                </c:pt>
                <c:pt idx="63">
                  <c:v>105.8725385768284</c:v>
                </c:pt>
                <c:pt idx="64">
                  <c:v>105.80749761987811</c:v>
                </c:pt>
                <c:pt idx="65">
                  <c:v>104.945940595926</c:v>
                </c:pt>
                <c:pt idx="66">
                  <c:v>105.6218009746717</c:v>
                </c:pt>
                <c:pt idx="67">
                  <c:v>105.33053060224159</c:v>
                </c:pt>
                <c:pt idx="68">
                  <c:v>105.16557165345419</c:v>
                </c:pt>
                <c:pt idx="69">
                  <c:v>105.3946289366275</c:v>
                </c:pt>
                <c:pt idx="70">
                  <c:v>105.14671920216431</c:v>
                </c:pt>
                <c:pt idx="71">
                  <c:v>104.89503897744299</c:v>
                </c:pt>
                <c:pt idx="72">
                  <c:v>105.05528481340789</c:v>
                </c:pt>
                <c:pt idx="73">
                  <c:v>106.0356122804868</c:v>
                </c:pt>
                <c:pt idx="74">
                  <c:v>105.9979073779068</c:v>
                </c:pt>
                <c:pt idx="75">
                  <c:v>106.55405469096119</c:v>
                </c:pt>
                <c:pt idx="76">
                  <c:v>106.3381941236909</c:v>
                </c:pt>
                <c:pt idx="77">
                  <c:v>106.298603975982</c:v>
                </c:pt>
                <c:pt idx="78">
                  <c:v>106.5729071422512</c:v>
                </c:pt>
                <c:pt idx="79">
                  <c:v>107.35622649334979</c:v>
                </c:pt>
                <c:pt idx="80">
                  <c:v>106.37495640370641</c:v>
                </c:pt>
                <c:pt idx="81">
                  <c:v>107.1083167588866</c:v>
                </c:pt>
                <c:pt idx="82">
                  <c:v>106.34007936882</c:v>
                </c:pt>
                <c:pt idx="83">
                  <c:v>105.94135002403701</c:v>
                </c:pt>
                <c:pt idx="84">
                  <c:v>105.70663700547669</c:v>
                </c:pt>
                <c:pt idx="85">
                  <c:v>105.348440430967</c:v>
                </c:pt>
                <c:pt idx="86">
                  <c:v>105.37389124020849</c:v>
                </c:pt>
                <c:pt idx="87">
                  <c:v>104.81397343689611</c:v>
                </c:pt>
                <c:pt idx="88">
                  <c:v>105.4040551622725</c:v>
                </c:pt>
                <c:pt idx="89">
                  <c:v>106.2279072836446</c:v>
                </c:pt>
                <c:pt idx="90">
                  <c:v>105.8876205378604</c:v>
                </c:pt>
                <c:pt idx="91">
                  <c:v>106.2316777739026</c:v>
                </c:pt>
                <c:pt idx="92">
                  <c:v>105.37671910790201</c:v>
                </c:pt>
                <c:pt idx="93">
                  <c:v>105.51057151206081</c:v>
                </c:pt>
                <c:pt idx="94">
                  <c:v>105.6378255582682</c:v>
                </c:pt>
                <c:pt idx="95">
                  <c:v>106.67659562434611</c:v>
                </c:pt>
                <c:pt idx="96">
                  <c:v>107.2120052409815</c:v>
                </c:pt>
                <c:pt idx="97">
                  <c:v>106.4974973370912</c:v>
                </c:pt>
                <c:pt idx="98">
                  <c:v>107.0687266111776</c:v>
                </c:pt>
                <c:pt idx="99">
                  <c:v>106.25995645083751</c:v>
                </c:pt>
                <c:pt idx="100">
                  <c:v>105.9045877440214</c:v>
                </c:pt>
                <c:pt idx="101">
                  <c:v>105.6020059008173</c:v>
                </c:pt>
                <c:pt idx="102">
                  <c:v>105.2287273652757</c:v>
                </c:pt>
                <c:pt idx="103">
                  <c:v>105.47003874178741</c:v>
                </c:pt>
                <c:pt idx="104">
                  <c:v>105.93192379839201</c:v>
                </c:pt>
                <c:pt idx="105">
                  <c:v>104.93839961541001</c:v>
                </c:pt>
                <c:pt idx="106">
                  <c:v>104.4143014695486</c:v>
                </c:pt>
                <c:pt idx="107">
                  <c:v>104.2927031587282</c:v>
                </c:pt>
                <c:pt idx="108">
                  <c:v>104.6065964727064</c:v>
                </c:pt>
                <c:pt idx="109">
                  <c:v>104.9186045415555</c:v>
                </c:pt>
                <c:pt idx="110">
                  <c:v>105.3097929058226</c:v>
                </c:pt>
                <c:pt idx="111">
                  <c:v>104.87618652615311</c:v>
                </c:pt>
                <c:pt idx="112">
                  <c:v>105.403112539708</c:v>
                </c:pt>
                <c:pt idx="113">
                  <c:v>105.6962681572672</c:v>
                </c:pt>
                <c:pt idx="114">
                  <c:v>105.9347516660854</c:v>
                </c:pt>
                <c:pt idx="115">
                  <c:v>106.30991544675599</c:v>
                </c:pt>
                <c:pt idx="116">
                  <c:v>106.6520874376691</c:v>
                </c:pt>
                <c:pt idx="117">
                  <c:v>106.13081715950121</c:v>
                </c:pt>
                <c:pt idx="118">
                  <c:v>105.47192398691639</c:v>
                </c:pt>
                <c:pt idx="119">
                  <c:v>105.6698747254612</c:v>
                </c:pt>
                <c:pt idx="120">
                  <c:v>105.71417798599261</c:v>
                </c:pt>
                <c:pt idx="121">
                  <c:v>106.0403253933093</c:v>
                </c:pt>
                <c:pt idx="122">
                  <c:v>105.8781943122154</c:v>
                </c:pt>
                <c:pt idx="123">
                  <c:v>105.63971080339719</c:v>
                </c:pt>
                <c:pt idx="124">
                  <c:v>105.463440383836</c:v>
                </c:pt>
                <c:pt idx="125">
                  <c:v>105.1288093734388</c:v>
                </c:pt>
                <c:pt idx="126">
                  <c:v>105.5718419787533</c:v>
                </c:pt>
                <c:pt idx="127">
                  <c:v>105.4851207028194</c:v>
                </c:pt>
                <c:pt idx="128">
                  <c:v>105.06282579392381</c:v>
                </c:pt>
                <c:pt idx="129">
                  <c:v>105.02229302365041</c:v>
                </c:pt>
                <c:pt idx="130">
                  <c:v>104.6207358111738</c:v>
                </c:pt>
                <c:pt idx="131">
                  <c:v>104.87335865845949</c:v>
                </c:pt>
                <c:pt idx="132">
                  <c:v>105.429505971514</c:v>
                </c:pt>
                <c:pt idx="133">
                  <c:v>105.7650796044756</c:v>
                </c:pt>
                <c:pt idx="134">
                  <c:v>106.81798900902101</c:v>
                </c:pt>
                <c:pt idx="135">
                  <c:v>106.8000791802954</c:v>
                </c:pt>
                <c:pt idx="136">
                  <c:v>107.2327429374004</c:v>
                </c:pt>
                <c:pt idx="137">
                  <c:v>106.9047102849548</c:v>
                </c:pt>
                <c:pt idx="138">
                  <c:v>107.5249559323951</c:v>
                </c:pt>
                <c:pt idx="139">
                  <c:v>106.9414725649703</c:v>
                </c:pt>
                <c:pt idx="140">
                  <c:v>106.87077587263281</c:v>
                </c:pt>
                <c:pt idx="141">
                  <c:v>106.6662267761366</c:v>
                </c:pt>
                <c:pt idx="142">
                  <c:v>105.9027024988924</c:v>
                </c:pt>
                <c:pt idx="143">
                  <c:v>106.1958581164514</c:v>
                </c:pt>
                <c:pt idx="144">
                  <c:v>107.29872651691539</c:v>
                </c:pt>
                <c:pt idx="145">
                  <c:v>106.6200382704761</c:v>
                </c:pt>
                <c:pt idx="146">
                  <c:v>106.8651201372459</c:v>
                </c:pt>
                <c:pt idx="147">
                  <c:v>107.209177373288</c:v>
                </c:pt>
                <c:pt idx="148">
                  <c:v>107.316636345641</c:v>
                </c:pt>
                <c:pt idx="149">
                  <c:v>107.0253659732107</c:v>
                </c:pt>
                <c:pt idx="150">
                  <c:v>107.5918821344745</c:v>
                </c:pt>
                <c:pt idx="151">
                  <c:v>107.5004477457182</c:v>
                </c:pt>
                <c:pt idx="152">
                  <c:v>107.4608575980092</c:v>
                </c:pt>
                <c:pt idx="153">
                  <c:v>107.6522099786025</c:v>
                </c:pt>
                <c:pt idx="154">
                  <c:v>105.89610414094101</c:v>
                </c:pt>
                <c:pt idx="155">
                  <c:v>105.56335837567281</c:v>
                </c:pt>
                <c:pt idx="156">
                  <c:v>105.7792189429431</c:v>
                </c:pt>
                <c:pt idx="157">
                  <c:v>105.8423746547645</c:v>
                </c:pt>
                <c:pt idx="158">
                  <c:v>105.2833994740166</c:v>
                </c:pt>
                <c:pt idx="159">
                  <c:v>105.52753871822181</c:v>
                </c:pt>
                <c:pt idx="160">
                  <c:v>106.61438253508911</c:v>
                </c:pt>
                <c:pt idx="161">
                  <c:v>107.32794781641481</c:v>
                </c:pt>
                <c:pt idx="162">
                  <c:v>106.9339315844543</c:v>
                </c:pt>
                <c:pt idx="163">
                  <c:v>106.9414725649703</c:v>
                </c:pt>
                <c:pt idx="164">
                  <c:v>106.3947514775609</c:v>
                </c:pt>
                <c:pt idx="165">
                  <c:v>105.6698747254612</c:v>
                </c:pt>
                <c:pt idx="166">
                  <c:v>106.14495649796871</c:v>
                </c:pt>
                <c:pt idx="167">
                  <c:v>106.47770226323679</c:v>
                </c:pt>
                <c:pt idx="168">
                  <c:v>106.2901203729015</c:v>
                </c:pt>
                <c:pt idx="169">
                  <c:v>106.6831939822976</c:v>
                </c:pt>
                <c:pt idx="170">
                  <c:v>106.7849972192635</c:v>
                </c:pt>
                <c:pt idx="171">
                  <c:v>106.3108580693205</c:v>
                </c:pt>
                <c:pt idx="172">
                  <c:v>106.65491530536259</c:v>
                </c:pt>
                <c:pt idx="173">
                  <c:v>105.9950795102133</c:v>
                </c:pt>
                <c:pt idx="174">
                  <c:v>105.5859813172208</c:v>
                </c:pt>
                <c:pt idx="175">
                  <c:v>105.64442391621969</c:v>
                </c:pt>
                <c:pt idx="176">
                  <c:v>104.60282598244839</c:v>
                </c:pt>
                <c:pt idx="177">
                  <c:v>104.7027439742853</c:v>
                </c:pt>
                <c:pt idx="178">
                  <c:v>105.01003893031189</c:v>
                </c:pt>
                <c:pt idx="179">
                  <c:v>105.5096288894964</c:v>
                </c:pt>
                <c:pt idx="180">
                  <c:v>106.06860407024431</c:v>
                </c:pt>
                <c:pt idx="181">
                  <c:v>106.5418005976227</c:v>
                </c:pt>
                <c:pt idx="182">
                  <c:v>106.52294814633269</c:v>
                </c:pt>
                <c:pt idx="183">
                  <c:v>105.95548936250439</c:v>
                </c:pt>
                <c:pt idx="184">
                  <c:v>106.1317597820657</c:v>
                </c:pt>
                <c:pt idx="185">
                  <c:v>106.8830299659714</c:v>
                </c:pt>
                <c:pt idx="186">
                  <c:v>106.5917595935411</c:v>
                </c:pt>
                <c:pt idx="187">
                  <c:v>106.3429072365134</c:v>
                </c:pt>
                <c:pt idx="188">
                  <c:v>105.7631943593466</c:v>
                </c:pt>
                <c:pt idx="189">
                  <c:v>105.82163695834549</c:v>
                </c:pt>
                <c:pt idx="190">
                  <c:v>106.3429072365134</c:v>
                </c:pt>
                <c:pt idx="191">
                  <c:v>106.18077615541959</c:v>
                </c:pt>
                <c:pt idx="192">
                  <c:v>106.0554073543412</c:v>
                </c:pt>
                <c:pt idx="193">
                  <c:v>106.35327608472291</c:v>
                </c:pt>
                <c:pt idx="194">
                  <c:v>105.7028665152187</c:v>
                </c:pt>
                <c:pt idx="195">
                  <c:v>105.1306946185678</c:v>
                </c:pt>
                <c:pt idx="196">
                  <c:v>104.96196517952249</c:v>
                </c:pt>
                <c:pt idx="197">
                  <c:v>104.8573340748631</c:v>
                </c:pt>
                <c:pt idx="198">
                  <c:v>105.5595878854148</c:v>
                </c:pt>
                <c:pt idx="199">
                  <c:v>106.0554073543412</c:v>
                </c:pt>
                <c:pt idx="200">
                  <c:v>105.29753881248401</c:v>
                </c:pt>
                <c:pt idx="201">
                  <c:v>105.2598339099042</c:v>
                </c:pt>
                <c:pt idx="202">
                  <c:v>105.91495659223099</c:v>
                </c:pt>
                <c:pt idx="203">
                  <c:v>105.4851207028194</c:v>
                </c:pt>
                <c:pt idx="204">
                  <c:v>105.3154486412096</c:v>
                </c:pt>
                <c:pt idx="205">
                  <c:v>105.391801068934</c:v>
                </c:pt>
                <c:pt idx="206">
                  <c:v>105.7000386475251</c:v>
                </c:pt>
                <c:pt idx="207">
                  <c:v>105.9875385296973</c:v>
                </c:pt>
                <c:pt idx="208">
                  <c:v>105.6048337685108</c:v>
                </c:pt>
                <c:pt idx="209">
                  <c:v>105.9592598527624</c:v>
                </c:pt>
                <c:pt idx="210">
                  <c:v>106.0695466928087</c:v>
                </c:pt>
                <c:pt idx="211">
                  <c:v>106.689792340249</c:v>
                </c:pt>
                <c:pt idx="212">
                  <c:v>106.4974973370912</c:v>
                </c:pt>
                <c:pt idx="213">
                  <c:v>106.33159576573949</c:v>
                </c:pt>
                <c:pt idx="214">
                  <c:v>106.45130883143079</c:v>
                </c:pt>
                <c:pt idx="215">
                  <c:v>105.4615551387069</c:v>
                </c:pt>
                <c:pt idx="216">
                  <c:v>105.5237682279638</c:v>
                </c:pt>
                <c:pt idx="217">
                  <c:v>105.354096166354</c:v>
                </c:pt>
                <c:pt idx="218">
                  <c:v>105.389915823805</c:v>
                </c:pt>
                <c:pt idx="219">
                  <c:v>104.97610451799</c:v>
                </c:pt>
                <c:pt idx="220">
                  <c:v>105.480407589997</c:v>
                </c:pt>
                <c:pt idx="221">
                  <c:v>105.6481944064777</c:v>
                </c:pt>
                <c:pt idx="222">
                  <c:v>105.76413698191109</c:v>
                </c:pt>
                <c:pt idx="223">
                  <c:v>105.5982354105592</c:v>
                </c:pt>
                <c:pt idx="224">
                  <c:v>105.9639729655848</c:v>
                </c:pt>
                <c:pt idx="225">
                  <c:v>105.92721068556941</c:v>
                </c:pt>
                <c:pt idx="226">
                  <c:v>106.0120467163743</c:v>
                </c:pt>
                <c:pt idx="227">
                  <c:v>105.93663691121441</c:v>
                </c:pt>
                <c:pt idx="228">
                  <c:v>105.7368009275406</c:v>
                </c:pt>
                <c:pt idx="229">
                  <c:v>106.06860407024431</c:v>
                </c:pt>
                <c:pt idx="230">
                  <c:v>106.39380885499639</c:v>
                </c:pt>
                <c:pt idx="231">
                  <c:v>106.10913684051771</c:v>
                </c:pt>
                <c:pt idx="232">
                  <c:v>106.3551613298519</c:v>
                </c:pt>
                <c:pt idx="233">
                  <c:v>105.9158992147954</c:v>
                </c:pt>
                <c:pt idx="234">
                  <c:v>106.0714319379377</c:v>
                </c:pt>
                <c:pt idx="235">
                  <c:v>106.0667188251153</c:v>
                </c:pt>
                <c:pt idx="236">
                  <c:v>105.6698747254612</c:v>
                </c:pt>
                <c:pt idx="237">
                  <c:v>105.4464731776749</c:v>
                </c:pt>
                <c:pt idx="238">
                  <c:v>105.4662682515294</c:v>
                </c:pt>
                <c:pt idx="239">
                  <c:v>105.99225164252</c:v>
                </c:pt>
              </c:numCache>
            </c:numRef>
          </c:val>
          <c:smooth val="0"/>
        </c:ser>
        <c:ser>
          <c:idx val="6"/>
          <c:order val="6"/>
          <c:tx>
            <c:strRef>
              <c:f>Currency!$V$3</c:f>
              <c:strCache>
                <c:ptCount val="1"/>
                <c:pt idx="0">
                  <c:v>Pound</c:v>
                </c:pt>
              </c:strCache>
            </c:strRef>
          </c:tx>
          <c:spPr>
            <a:ln w="28575" cap="rnd">
              <a:solidFill>
                <a:schemeClr val="accent1">
                  <a:lumMod val="60000"/>
                </a:schemeClr>
              </a:solidFill>
              <a:round/>
            </a:ln>
            <a:effectLst/>
          </c:spPr>
          <c:marker>
            <c:symbol val="none"/>
          </c:marker>
          <c:cat>
            <c:numRef>
              <c:f>Currency!$O$4:$O$243</c:f>
              <c:numCache>
                <c:formatCode>m/d/yyyy</c:formatCode>
                <c:ptCount val="240"/>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numCache>
            </c:numRef>
          </c:cat>
          <c:val>
            <c:numRef>
              <c:f>Currency!$V$4:$V$243</c:f>
              <c:numCache>
                <c:formatCode>General</c:formatCode>
                <c:ptCount val="240"/>
                <c:pt idx="0">
                  <c:v>100</c:v>
                </c:pt>
                <c:pt idx="1">
                  <c:v>100</c:v>
                </c:pt>
                <c:pt idx="2">
                  <c:v>99.845614035087721</c:v>
                </c:pt>
                <c:pt idx="3">
                  <c:v>99.663157894736784</c:v>
                </c:pt>
                <c:pt idx="4">
                  <c:v>100.3368421052631</c:v>
                </c:pt>
                <c:pt idx="5">
                  <c:v>99.649122807017534</c:v>
                </c:pt>
                <c:pt idx="6">
                  <c:v>99.298245614035096</c:v>
                </c:pt>
                <c:pt idx="7">
                  <c:v>99.214035087719296</c:v>
                </c:pt>
                <c:pt idx="8">
                  <c:v>99.003508771929802</c:v>
                </c:pt>
                <c:pt idx="9">
                  <c:v>98.62456140350875</c:v>
                </c:pt>
                <c:pt idx="10">
                  <c:v>98.484210526315806</c:v>
                </c:pt>
                <c:pt idx="11">
                  <c:v>97.978947368421004</c:v>
                </c:pt>
                <c:pt idx="12">
                  <c:v>98.231578947368433</c:v>
                </c:pt>
                <c:pt idx="13">
                  <c:v>98.73684210526315</c:v>
                </c:pt>
                <c:pt idx="14">
                  <c:v>98.863157894736815</c:v>
                </c:pt>
                <c:pt idx="15">
                  <c:v>99.985964912280679</c:v>
                </c:pt>
                <c:pt idx="16">
                  <c:v>100.6456140350877</c:v>
                </c:pt>
                <c:pt idx="17">
                  <c:v>100.43508771929829</c:v>
                </c:pt>
                <c:pt idx="18">
                  <c:v>100.6877192982456</c:v>
                </c:pt>
                <c:pt idx="19">
                  <c:v>100.7438596491228</c:v>
                </c:pt>
                <c:pt idx="20">
                  <c:v>101.8666666666667</c:v>
                </c:pt>
                <c:pt idx="21">
                  <c:v>101.9508771929824</c:v>
                </c:pt>
                <c:pt idx="22">
                  <c:v>103.0035087719298</c:v>
                </c:pt>
                <c:pt idx="23">
                  <c:v>103.1859649122807</c:v>
                </c:pt>
                <c:pt idx="24">
                  <c:v>103.340350877193</c:v>
                </c:pt>
                <c:pt idx="25">
                  <c:v>103.59298245614031</c:v>
                </c:pt>
                <c:pt idx="26">
                  <c:v>103.4807017543859</c:v>
                </c:pt>
                <c:pt idx="27">
                  <c:v>103.6070175438596</c:v>
                </c:pt>
                <c:pt idx="28">
                  <c:v>103.5228070175438</c:v>
                </c:pt>
                <c:pt idx="29">
                  <c:v>103.9719298245614</c:v>
                </c:pt>
                <c:pt idx="30">
                  <c:v>103.5649122807018</c:v>
                </c:pt>
                <c:pt idx="31">
                  <c:v>103.3263157894737</c:v>
                </c:pt>
                <c:pt idx="32">
                  <c:v>103.81754385964911</c:v>
                </c:pt>
                <c:pt idx="33">
                  <c:v>103.9719298245614</c:v>
                </c:pt>
                <c:pt idx="34">
                  <c:v>103.84561403508771</c:v>
                </c:pt>
                <c:pt idx="35">
                  <c:v>104.09824561403509</c:v>
                </c:pt>
                <c:pt idx="36">
                  <c:v>104.659649122807</c:v>
                </c:pt>
                <c:pt idx="37">
                  <c:v>104.4912280701755</c:v>
                </c:pt>
                <c:pt idx="38">
                  <c:v>105.2210526315789</c:v>
                </c:pt>
                <c:pt idx="39">
                  <c:v>104.8561403508772</c:v>
                </c:pt>
                <c:pt idx="40">
                  <c:v>105.3894736842105</c:v>
                </c:pt>
                <c:pt idx="41">
                  <c:v>105.43157894736839</c:v>
                </c:pt>
                <c:pt idx="42">
                  <c:v>105.9929824561404</c:v>
                </c:pt>
                <c:pt idx="43">
                  <c:v>105.6</c:v>
                </c:pt>
                <c:pt idx="44">
                  <c:v>105.5859649122807</c:v>
                </c:pt>
                <c:pt idx="45">
                  <c:v>105.15087719298241</c:v>
                </c:pt>
                <c:pt idx="46">
                  <c:v>105.4175438596491</c:v>
                </c:pt>
                <c:pt idx="47">
                  <c:v>104.8842105263158</c:v>
                </c:pt>
                <c:pt idx="48">
                  <c:v>104.6456140350877</c:v>
                </c:pt>
                <c:pt idx="49">
                  <c:v>104.6315789473684</c:v>
                </c:pt>
                <c:pt idx="50">
                  <c:v>104.659649122807</c:v>
                </c:pt>
                <c:pt idx="51">
                  <c:v>104.8982456140351</c:v>
                </c:pt>
                <c:pt idx="52">
                  <c:v>104.7859649122807</c:v>
                </c:pt>
                <c:pt idx="53">
                  <c:v>104.8280701754386</c:v>
                </c:pt>
                <c:pt idx="54">
                  <c:v>105.51578947368419</c:v>
                </c:pt>
                <c:pt idx="55">
                  <c:v>105.65614035087719</c:v>
                </c:pt>
                <c:pt idx="56">
                  <c:v>105.9929824561404</c:v>
                </c:pt>
                <c:pt idx="57">
                  <c:v>106.54035087719301</c:v>
                </c:pt>
                <c:pt idx="58">
                  <c:v>106.3578947368421</c:v>
                </c:pt>
                <c:pt idx="59">
                  <c:v>105.9368421052632</c:v>
                </c:pt>
                <c:pt idx="60">
                  <c:v>105.9087719298246</c:v>
                </c:pt>
                <c:pt idx="61">
                  <c:v>105.7964912280702</c:v>
                </c:pt>
                <c:pt idx="62">
                  <c:v>106.1052631578947</c:v>
                </c:pt>
                <c:pt idx="63">
                  <c:v>106.8070175438596</c:v>
                </c:pt>
                <c:pt idx="64">
                  <c:v>107.1859649122807</c:v>
                </c:pt>
                <c:pt idx="65">
                  <c:v>106.37192982456141</c:v>
                </c:pt>
                <c:pt idx="66">
                  <c:v>106.93333333333329</c:v>
                </c:pt>
                <c:pt idx="67">
                  <c:v>106.6105263157895</c:v>
                </c:pt>
                <c:pt idx="68">
                  <c:v>106.119298245614</c:v>
                </c:pt>
                <c:pt idx="69">
                  <c:v>106.1473684210526</c:v>
                </c:pt>
                <c:pt idx="70">
                  <c:v>105.8245614035088</c:v>
                </c:pt>
                <c:pt idx="71">
                  <c:v>106.2035087719298</c:v>
                </c:pt>
                <c:pt idx="72">
                  <c:v>105.9087719298246</c:v>
                </c:pt>
                <c:pt idx="73">
                  <c:v>106.1614035087719</c:v>
                </c:pt>
                <c:pt idx="74">
                  <c:v>106.1614035087719</c:v>
                </c:pt>
                <c:pt idx="75">
                  <c:v>106.1894736842105</c:v>
                </c:pt>
                <c:pt idx="76">
                  <c:v>106.0912280701754</c:v>
                </c:pt>
                <c:pt idx="77">
                  <c:v>106.87719298245609</c:v>
                </c:pt>
                <c:pt idx="78">
                  <c:v>107.4526315789474</c:v>
                </c:pt>
                <c:pt idx="79">
                  <c:v>108.0561403508772</c:v>
                </c:pt>
                <c:pt idx="80">
                  <c:v>106.98947368421049</c:v>
                </c:pt>
                <c:pt idx="81">
                  <c:v>107.0877192982456</c:v>
                </c:pt>
                <c:pt idx="82">
                  <c:v>106.82105263157899</c:v>
                </c:pt>
                <c:pt idx="83">
                  <c:v>106.7228070175438</c:v>
                </c:pt>
                <c:pt idx="84">
                  <c:v>106.919298245614</c:v>
                </c:pt>
                <c:pt idx="85">
                  <c:v>107.0315789473684</c:v>
                </c:pt>
                <c:pt idx="86">
                  <c:v>106.82105263157899</c:v>
                </c:pt>
                <c:pt idx="87">
                  <c:v>106.919298245614</c:v>
                </c:pt>
                <c:pt idx="88">
                  <c:v>106.98947368421049</c:v>
                </c:pt>
                <c:pt idx="89">
                  <c:v>107.67719298245611</c:v>
                </c:pt>
                <c:pt idx="90">
                  <c:v>107.78947368421051</c:v>
                </c:pt>
                <c:pt idx="91">
                  <c:v>108.4350877192982</c:v>
                </c:pt>
                <c:pt idx="92">
                  <c:v>108.378947368421</c:v>
                </c:pt>
                <c:pt idx="93">
                  <c:v>108.9684210526316</c:v>
                </c:pt>
                <c:pt idx="94">
                  <c:v>109.23508771929821</c:v>
                </c:pt>
                <c:pt idx="95">
                  <c:v>110.0771929824561</c:v>
                </c:pt>
                <c:pt idx="96">
                  <c:v>110.119298245614</c:v>
                </c:pt>
                <c:pt idx="97">
                  <c:v>110.4</c:v>
                </c:pt>
                <c:pt idx="98">
                  <c:v>110.51228070175441</c:v>
                </c:pt>
                <c:pt idx="99">
                  <c:v>110.45614035087721</c:v>
                </c:pt>
                <c:pt idx="100">
                  <c:v>110.25964912280701</c:v>
                </c:pt>
                <c:pt idx="101">
                  <c:v>109.7684210526316</c:v>
                </c:pt>
                <c:pt idx="102">
                  <c:v>108.9684210526316</c:v>
                </c:pt>
                <c:pt idx="103">
                  <c:v>108.7298245614035</c:v>
                </c:pt>
                <c:pt idx="104">
                  <c:v>109.51578947368419</c:v>
                </c:pt>
                <c:pt idx="105">
                  <c:v>109.20701754385961</c:v>
                </c:pt>
                <c:pt idx="106">
                  <c:v>108.8561403508772</c:v>
                </c:pt>
                <c:pt idx="107">
                  <c:v>108.8982456140351</c:v>
                </c:pt>
                <c:pt idx="108">
                  <c:v>107.92982456140351</c:v>
                </c:pt>
                <c:pt idx="109">
                  <c:v>107.8877192982456</c:v>
                </c:pt>
                <c:pt idx="110">
                  <c:v>108.3087719298245</c:v>
                </c:pt>
                <c:pt idx="111">
                  <c:v>108.9543859649123</c:v>
                </c:pt>
                <c:pt idx="112">
                  <c:v>109.1929824561403</c:v>
                </c:pt>
                <c:pt idx="113">
                  <c:v>108.7719298245614</c:v>
                </c:pt>
                <c:pt idx="114">
                  <c:v>108.5052631578947</c:v>
                </c:pt>
                <c:pt idx="115">
                  <c:v>108.561403508772</c:v>
                </c:pt>
                <c:pt idx="116">
                  <c:v>107.7192982456141</c:v>
                </c:pt>
                <c:pt idx="117">
                  <c:v>107.90175438596501</c:v>
                </c:pt>
                <c:pt idx="118">
                  <c:v>107.4666666666667</c:v>
                </c:pt>
                <c:pt idx="119">
                  <c:v>107.0736842105263</c:v>
                </c:pt>
                <c:pt idx="120">
                  <c:v>107.3543859649123</c:v>
                </c:pt>
                <c:pt idx="121">
                  <c:v>106.65263157894741</c:v>
                </c:pt>
                <c:pt idx="122">
                  <c:v>106.8631578947368</c:v>
                </c:pt>
                <c:pt idx="123">
                  <c:v>106.62456140350881</c:v>
                </c:pt>
                <c:pt idx="124">
                  <c:v>105.9649122807018</c:v>
                </c:pt>
                <c:pt idx="125">
                  <c:v>107.2561403508772</c:v>
                </c:pt>
                <c:pt idx="126">
                  <c:v>106.9473684210526</c:v>
                </c:pt>
                <c:pt idx="127">
                  <c:v>106.56842105263161</c:v>
                </c:pt>
                <c:pt idx="128">
                  <c:v>106.4982456140351</c:v>
                </c:pt>
                <c:pt idx="129">
                  <c:v>107.1298245614035</c:v>
                </c:pt>
                <c:pt idx="130">
                  <c:v>107.62105263157891</c:v>
                </c:pt>
                <c:pt idx="131">
                  <c:v>107.67719298245611</c:v>
                </c:pt>
                <c:pt idx="132">
                  <c:v>108.12631578947369</c:v>
                </c:pt>
                <c:pt idx="133">
                  <c:v>108.0561403508772</c:v>
                </c:pt>
                <c:pt idx="134">
                  <c:v>107.8877192982456</c:v>
                </c:pt>
                <c:pt idx="135">
                  <c:v>107.1859649122807</c:v>
                </c:pt>
                <c:pt idx="136">
                  <c:v>107.3543859649123</c:v>
                </c:pt>
                <c:pt idx="137">
                  <c:v>106.8912280701754</c:v>
                </c:pt>
                <c:pt idx="138">
                  <c:v>106.2456140350877</c:v>
                </c:pt>
                <c:pt idx="139">
                  <c:v>106.34385964912281</c:v>
                </c:pt>
                <c:pt idx="140">
                  <c:v>106.6666666666667</c:v>
                </c:pt>
                <c:pt idx="141">
                  <c:v>106.6666666666667</c:v>
                </c:pt>
                <c:pt idx="142">
                  <c:v>106.42807017543861</c:v>
                </c:pt>
                <c:pt idx="143">
                  <c:v>106.79298245614039</c:v>
                </c:pt>
                <c:pt idx="144">
                  <c:v>107.6070175438596</c:v>
                </c:pt>
                <c:pt idx="145">
                  <c:v>107.3824561403509</c:v>
                </c:pt>
                <c:pt idx="146">
                  <c:v>108.1964912280702</c:v>
                </c:pt>
                <c:pt idx="147">
                  <c:v>108</c:v>
                </c:pt>
                <c:pt idx="148">
                  <c:v>108.940350877193</c:v>
                </c:pt>
                <c:pt idx="149">
                  <c:v>109.4456140350877</c:v>
                </c:pt>
                <c:pt idx="150">
                  <c:v>109.37543859649119</c:v>
                </c:pt>
                <c:pt idx="151">
                  <c:v>109.6140350877193</c:v>
                </c:pt>
                <c:pt idx="152">
                  <c:v>110.42807017543861</c:v>
                </c:pt>
                <c:pt idx="153">
                  <c:v>110.0491228070176</c:v>
                </c:pt>
                <c:pt idx="154">
                  <c:v>107.9438596491228</c:v>
                </c:pt>
                <c:pt idx="155">
                  <c:v>108.2807017543859</c:v>
                </c:pt>
                <c:pt idx="156">
                  <c:v>107.81754385964911</c:v>
                </c:pt>
                <c:pt idx="157">
                  <c:v>107.2701754385965</c:v>
                </c:pt>
                <c:pt idx="158">
                  <c:v>106.6947368421053</c:v>
                </c:pt>
                <c:pt idx="159">
                  <c:v>107.2</c:v>
                </c:pt>
                <c:pt idx="160">
                  <c:v>108.15438596491229</c:v>
                </c:pt>
                <c:pt idx="161">
                  <c:v>109.20701754385961</c:v>
                </c:pt>
                <c:pt idx="162">
                  <c:v>108.0561403508772</c:v>
                </c:pt>
                <c:pt idx="163">
                  <c:v>108.3649122807018</c:v>
                </c:pt>
                <c:pt idx="164">
                  <c:v>110.1052631578947</c:v>
                </c:pt>
                <c:pt idx="165">
                  <c:v>109.4736842105263</c:v>
                </c:pt>
                <c:pt idx="166">
                  <c:v>109.12280701754381</c:v>
                </c:pt>
                <c:pt idx="167">
                  <c:v>109.6982456140351</c:v>
                </c:pt>
                <c:pt idx="168">
                  <c:v>109.7684210526316</c:v>
                </c:pt>
                <c:pt idx="169">
                  <c:v>109.0526315789474</c:v>
                </c:pt>
                <c:pt idx="170">
                  <c:v>109.5578947368421</c:v>
                </c:pt>
                <c:pt idx="171">
                  <c:v>109.48771929824559</c:v>
                </c:pt>
                <c:pt idx="172">
                  <c:v>110.2035087719298</c:v>
                </c:pt>
                <c:pt idx="173">
                  <c:v>109.5859649122807</c:v>
                </c:pt>
                <c:pt idx="174">
                  <c:v>109.8245614035088</c:v>
                </c:pt>
                <c:pt idx="175">
                  <c:v>110.021052631579</c:v>
                </c:pt>
                <c:pt idx="176">
                  <c:v>110.1473684210526</c:v>
                </c:pt>
                <c:pt idx="177">
                  <c:v>110.4</c:v>
                </c:pt>
                <c:pt idx="178">
                  <c:v>110.0771929824561</c:v>
                </c:pt>
                <c:pt idx="179">
                  <c:v>109.6982456140351</c:v>
                </c:pt>
                <c:pt idx="180">
                  <c:v>110.2456140350877</c:v>
                </c:pt>
                <c:pt idx="181">
                  <c:v>111.67719298245611</c:v>
                </c:pt>
                <c:pt idx="182">
                  <c:v>112.15438596491229</c:v>
                </c:pt>
                <c:pt idx="183">
                  <c:v>110.96140350877199</c:v>
                </c:pt>
                <c:pt idx="184">
                  <c:v>111.1298245614035</c:v>
                </c:pt>
                <c:pt idx="185">
                  <c:v>111.67719298245611</c:v>
                </c:pt>
                <c:pt idx="186">
                  <c:v>111.2561403508772</c:v>
                </c:pt>
                <c:pt idx="187">
                  <c:v>111.1017543859649</c:v>
                </c:pt>
                <c:pt idx="188">
                  <c:v>110.9192982456141</c:v>
                </c:pt>
                <c:pt idx="189">
                  <c:v>110.70877192982449</c:v>
                </c:pt>
                <c:pt idx="190">
                  <c:v>111.059649122807</c:v>
                </c:pt>
                <c:pt idx="191">
                  <c:v>110.3578947368421</c:v>
                </c:pt>
                <c:pt idx="192">
                  <c:v>110.7228070175438</c:v>
                </c:pt>
                <c:pt idx="193">
                  <c:v>111.01754385964909</c:v>
                </c:pt>
                <c:pt idx="194">
                  <c:v>111.0736842105263</c:v>
                </c:pt>
                <c:pt idx="195">
                  <c:v>110.51228070175441</c:v>
                </c:pt>
                <c:pt idx="196">
                  <c:v>110.119298245614</c:v>
                </c:pt>
                <c:pt idx="197">
                  <c:v>110.1052631578947</c:v>
                </c:pt>
                <c:pt idx="198">
                  <c:v>111.5228070175438</c:v>
                </c:pt>
                <c:pt idx="199">
                  <c:v>111.0035087719298</c:v>
                </c:pt>
                <c:pt idx="200">
                  <c:v>110.28771929824561</c:v>
                </c:pt>
                <c:pt idx="201">
                  <c:v>109.8385964912281</c:v>
                </c:pt>
                <c:pt idx="202">
                  <c:v>110.31578947368421</c:v>
                </c:pt>
                <c:pt idx="203">
                  <c:v>109.8526315789474</c:v>
                </c:pt>
                <c:pt idx="204">
                  <c:v>110.0491228070176</c:v>
                </c:pt>
                <c:pt idx="205">
                  <c:v>109.1368421052631</c:v>
                </c:pt>
                <c:pt idx="206">
                  <c:v>108.8842105263158</c:v>
                </c:pt>
                <c:pt idx="207">
                  <c:v>110.25964912280701</c:v>
                </c:pt>
                <c:pt idx="208">
                  <c:v>109.1929824561403</c:v>
                </c:pt>
                <c:pt idx="209">
                  <c:v>108.2807017543859</c:v>
                </c:pt>
                <c:pt idx="210">
                  <c:v>108.8842105263158</c:v>
                </c:pt>
                <c:pt idx="211">
                  <c:v>108.8280701754386</c:v>
                </c:pt>
                <c:pt idx="212">
                  <c:v>108.2526315789474</c:v>
                </c:pt>
                <c:pt idx="213">
                  <c:v>107.4105263157895</c:v>
                </c:pt>
                <c:pt idx="214">
                  <c:v>107.81754385964911</c:v>
                </c:pt>
                <c:pt idx="215">
                  <c:v>106.5263157894737</c:v>
                </c:pt>
                <c:pt idx="216">
                  <c:v>106.56842105263161</c:v>
                </c:pt>
                <c:pt idx="217">
                  <c:v>106.8631578947368</c:v>
                </c:pt>
                <c:pt idx="218">
                  <c:v>107.4526315789474</c:v>
                </c:pt>
                <c:pt idx="219">
                  <c:v>106.96140350877199</c:v>
                </c:pt>
                <c:pt idx="220">
                  <c:v>107.2842105263158</c:v>
                </c:pt>
                <c:pt idx="221">
                  <c:v>107.67719298245611</c:v>
                </c:pt>
                <c:pt idx="222">
                  <c:v>108.378947368421</c:v>
                </c:pt>
                <c:pt idx="223">
                  <c:v>108.5473684210526</c:v>
                </c:pt>
                <c:pt idx="224">
                  <c:v>108.3649122807018</c:v>
                </c:pt>
                <c:pt idx="225">
                  <c:v>108.4350877192982</c:v>
                </c:pt>
                <c:pt idx="226">
                  <c:v>109.1368421052631</c:v>
                </c:pt>
                <c:pt idx="227">
                  <c:v>108.8701754385965</c:v>
                </c:pt>
                <c:pt idx="228">
                  <c:v>109.26315789473681</c:v>
                </c:pt>
                <c:pt idx="229">
                  <c:v>109.642105263158</c:v>
                </c:pt>
                <c:pt idx="230">
                  <c:v>108.8842105263158</c:v>
                </c:pt>
                <c:pt idx="231">
                  <c:v>108.6035087719298</c:v>
                </c:pt>
                <c:pt idx="232">
                  <c:v>107.4385964912281</c:v>
                </c:pt>
                <c:pt idx="233">
                  <c:v>107.5508771929824</c:v>
                </c:pt>
                <c:pt idx="234">
                  <c:v>107.6070175438596</c:v>
                </c:pt>
                <c:pt idx="235">
                  <c:v>107.5087719298245</c:v>
                </c:pt>
                <c:pt idx="236">
                  <c:v>107.1578947368421</c:v>
                </c:pt>
                <c:pt idx="237">
                  <c:v>105.9087719298246</c:v>
                </c:pt>
                <c:pt idx="238">
                  <c:v>105.45964912280699</c:v>
                </c:pt>
                <c:pt idx="239">
                  <c:v>105.8245614035088</c:v>
                </c:pt>
              </c:numCache>
            </c:numRef>
          </c:val>
          <c:smooth val="0"/>
        </c:ser>
        <c:ser>
          <c:idx val="7"/>
          <c:order val="7"/>
          <c:tx>
            <c:strRef>
              <c:f>Currency!$W$3</c:f>
              <c:strCache>
                <c:ptCount val="1"/>
                <c:pt idx="0">
                  <c:v>Euro</c:v>
                </c:pt>
              </c:strCache>
            </c:strRef>
          </c:tx>
          <c:spPr>
            <a:ln w="28575" cap="rnd">
              <a:solidFill>
                <a:schemeClr val="accent2">
                  <a:lumMod val="60000"/>
                </a:schemeClr>
              </a:solidFill>
              <a:round/>
            </a:ln>
            <a:effectLst/>
          </c:spPr>
          <c:marker>
            <c:symbol val="none"/>
          </c:marker>
          <c:cat>
            <c:numRef>
              <c:f>Currency!$O$4:$O$243</c:f>
              <c:numCache>
                <c:formatCode>m/d/yyyy</c:formatCode>
                <c:ptCount val="240"/>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numCache>
            </c:numRef>
          </c:cat>
          <c:val>
            <c:numRef>
              <c:f>Currency!$W$4:$W$243</c:f>
              <c:numCache>
                <c:formatCode>General</c:formatCode>
                <c:ptCount val="240"/>
                <c:pt idx="0">
                  <c:v>100</c:v>
                </c:pt>
                <c:pt idx="1">
                  <c:v>100.25884383088869</c:v>
                </c:pt>
                <c:pt idx="2">
                  <c:v>100.4807099716504</c:v>
                </c:pt>
                <c:pt idx="3">
                  <c:v>100.25884383088869</c:v>
                </c:pt>
                <c:pt idx="4">
                  <c:v>100.7272279058302</c:v>
                </c:pt>
                <c:pt idx="5">
                  <c:v>100.41908048810549</c:v>
                </c:pt>
                <c:pt idx="6">
                  <c:v>100.061629483545</c:v>
                </c:pt>
                <c:pt idx="7">
                  <c:v>99.87674103291009</c:v>
                </c:pt>
                <c:pt idx="8">
                  <c:v>99.617897202021396</c:v>
                </c:pt>
                <c:pt idx="9">
                  <c:v>99.926044619746094</c:v>
                </c:pt>
                <c:pt idx="10">
                  <c:v>99.864415136201146</c:v>
                </c:pt>
                <c:pt idx="11">
                  <c:v>99.531615925058574</c:v>
                </c:pt>
                <c:pt idx="12">
                  <c:v>99.765807962529252</c:v>
                </c:pt>
                <c:pt idx="13">
                  <c:v>99.469986441513626</c:v>
                </c:pt>
                <c:pt idx="14">
                  <c:v>99.839763342783172</c:v>
                </c:pt>
                <c:pt idx="15">
                  <c:v>100.23419203747071</c:v>
                </c:pt>
                <c:pt idx="16">
                  <c:v>100.887464563047</c:v>
                </c:pt>
                <c:pt idx="17">
                  <c:v>100.6902502157032</c:v>
                </c:pt>
                <c:pt idx="18">
                  <c:v>101.1463083939356</c:v>
                </c:pt>
                <c:pt idx="19">
                  <c:v>101.6393442622951</c:v>
                </c:pt>
                <c:pt idx="20">
                  <c:v>101.77492912609389</c:v>
                </c:pt>
                <c:pt idx="21">
                  <c:v>101.8612104030568</c:v>
                </c:pt>
                <c:pt idx="22">
                  <c:v>102.57611241217801</c:v>
                </c:pt>
                <c:pt idx="23">
                  <c:v>102.9951929002835</c:v>
                </c:pt>
                <c:pt idx="24">
                  <c:v>102.8349562430667</c:v>
                </c:pt>
                <c:pt idx="25">
                  <c:v>103.0198446937015</c:v>
                </c:pt>
                <c:pt idx="26">
                  <c:v>103.2910144212992</c:v>
                </c:pt>
                <c:pt idx="27">
                  <c:v>103.74707259953161</c:v>
                </c:pt>
                <c:pt idx="28">
                  <c:v>103.9566128435844</c:v>
                </c:pt>
                <c:pt idx="29">
                  <c:v>103.488228768643</c:v>
                </c:pt>
                <c:pt idx="30">
                  <c:v>103.08147417724641</c:v>
                </c:pt>
                <c:pt idx="31">
                  <c:v>102.92123752002961</c:v>
                </c:pt>
                <c:pt idx="32">
                  <c:v>103.8826574633305</c:v>
                </c:pt>
                <c:pt idx="33">
                  <c:v>104.3510415382719</c:v>
                </c:pt>
                <c:pt idx="34">
                  <c:v>104.41267102181681</c:v>
                </c:pt>
                <c:pt idx="35">
                  <c:v>104.59755947245159</c:v>
                </c:pt>
                <c:pt idx="36">
                  <c:v>104.7084925428325</c:v>
                </c:pt>
                <c:pt idx="37">
                  <c:v>104.59755947245159</c:v>
                </c:pt>
                <c:pt idx="38">
                  <c:v>105.4110686552447</c:v>
                </c:pt>
                <c:pt idx="39">
                  <c:v>105.0659435473931</c:v>
                </c:pt>
                <c:pt idx="40">
                  <c:v>105.6945642795513</c:v>
                </c:pt>
                <c:pt idx="41">
                  <c:v>105.990385800567</c:v>
                </c:pt>
                <c:pt idx="42">
                  <c:v>106.7422654998151</c:v>
                </c:pt>
                <c:pt idx="43">
                  <c:v>105.6945642795513</c:v>
                </c:pt>
                <c:pt idx="44">
                  <c:v>105.6329347960064</c:v>
                </c:pt>
                <c:pt idx="45">
                  <c:v>105.6575865894244</c:v>
                </c:pt>
                <c:pt idx="46">
                  <c:v>105.4850240354986</c:v>
                </c:pt>
                <c:pt idx="47">
                  <c:v>105.213854307901</c:v>
                </c:pt>
                <c:pt idx="48">
                  <c:v>104.6715148527055</c:v>
                </c:pt>
                <c:pt idx="49">
                  <c:v>104.3756933316898</c:v>
                </c:pt>
                <c:pt idx="50">
                  <c:v>104.7084925428325</c:v>
                </c:pt>
                <c:pt idx="51">
                  <c:v>104.5605817823246</c:v>
                </c:pt>
                <c:pt idx="52">
                  <c:v>104.6961666461235</c:v>
                </c:pt>
                <c:pt idx="53">
                  <c:v>104.5359299889067</c:v>
                </c:pt>
                <c:pt idx="54">
                  <c:v>105.95340811043999</c:v>
                </c:pt>
                <c:pt idx="55">
                  <c:v>106.1999260446197</c:v>
                </c:pt>
                <c:pt idx="56">
                  <c:v>106.2122519413287</c:v>
                </c:pt>
                <c:pt idx="57">
                  <c:v>106.5327252557623</c:v>
                </c:pt>
                <c:pt idx="58">
                  <c:v>106.3601627018365</c:v>
                </c:pt>
                <c:pt idx="59">
                  <c:v>106.1876001479108</c:v>
                </c:pt>
                <c:pt idx="60">
                  <c:v>105.8178232466412</c:v>
                </c:pt>
                <c:pt idx="61">
                  <c:v>105.42339455195361</c:v>
                </c:pt>
                <c:pt idx="62">
                  <c:v>105.7315419696783</c:v>
                </c:pt>
                <c:pt idx="63">
                  <c:v>106.42179218538151</c:v>
                </c:pt>
                <c:pt idx="64">
                  <c:v>106.42179218538151</c:v>
                </c:pt>
                <c:pt idx="65">
                  <c:v>105.5589794157525</c:v>
                </c:pt>
                <c:pt idx="66">
                  <c:v>106.26155552816471</c:v>
                </c:pt>
                <c:pt idx="67">
                  <c:v>105.7931714532232</c:v>
                </c:pt>
                <c:pt idx="68">
                  <c:v>105.62060889929739</c:v>
                </c:pt>
                <c:pt idx="69">
                  <c:v>105.3617650684087</c:v>
                </c:pt>
                <c:pt idx="70">
                  <c:v>104.95501047701219</c:v>
                </c:pt>
                <c:pt idx="71">
                  <c:v>104.93035868359421</c:v>
                </c:pt>
                <c:pt idx="72">
                  <c:v>105.0536176506841</c:v>
                </c:pt>
                <c:pt idx="73">
                  <c:v>105.3617650684087</c:v>
                </c:pt>
                <c:pt idx="74">
                  <c:v>105.5096758289166</c:v>
                </c:pt>
                <c:pt idx="75">
                  <c:v>105.58363120917051</c:v>
                </c:pt>
                <c:pt idx="76">
                  <c:v>105.3001355848638</c:v>
                </c:pt>
                <c:pt idx="77">
                  <c:v>105.76851965980531</c:v>
                </c:pt>
                <c:pt idx="78">
                  <c:v>105.76851965980531</c:v>
                </c:pt>
                <c:pt idx="79">
                  <c:v>106.1876001479108</c:v>
                </c:pt>
                <c:pt idx="80">
                  <c:v>105.26315789473681</c:v>
                </c:pt>
                <c:pt idx="81">
                  <c:v>105.3494391716997</c:v>
                </c:pt>
                <c:pt idx="82">
                  <c:v>105.4973499322076</c:v>
                </c:pt>
                <c:pt idx="83">
                  <c:v>105.5220017256255</c:v>
                </c:pt>
                <c:pt idx="84">
                  <c:v>105.6822383828424</c:v>
                </c:pt>
                <c:pt idx="85">
                  <c:v>105.7315419696783</c:v>
                </c:pt>
                <c:pt idx="86">
                  <c:v>105.213854307901</c:v>
                </c:pt>
                <c:pt idx="87">
                  <c:v>105.3001355848638</c:v>
                </c:pt>
                <c:pt idx="88">
                  <c:v>105.6452606927154</c:v>
                </c:pt>
                <c:pt idx="89">
                  <c:v>106.1752742512018</c:v>
                </c:pt>
                <c:pt idx="90">
                  <c:v>106.3108591150006</c:v>
                </c:pt>
                <c:pt idx="91">
                  <c:v>106.60668063601631</c:v>
                </c:pt>
                <c:pt idx="92">
                  <c:v>106.3231850117096</c:v>
                </c:pt>
                <c:pt idx="93">
                  <c:v>106.3108591150006</c:v>
                </c:pt>
                <c:pt idx="94">
                  <c:v>106.6559842228522</c:v>
                </c:pt>
                <c:pt idx="95">
                  <c:v>108.09811413780351</c:v>
                </c:pt>
                <c:pt idx="96">
                  <c:v>108.1843954147664</c:v>
                </c:pt>
                <c:pt idx="97">
                  <c:v>108.6774312831258</c:v>
                </c:pt>
                <c:pt idx="98">
                  <c:v>108.6651053864169</c:v>
                </c:pt>
                <c:pt idx="99">
                  <c:v>108.46789103907309</c:v>
                </c:pt>
                <c:pt idx="100">
                  <c:v>108.0364846542586</c:v>
                </c:pt>
                <c:pt idx="101">
                  <c:v>107.5681005793171</c:v>
                </c:pt>
                <c:pt idx="102">
                  <c:v>106.6313324294342</c:v>
                </c:pt>
                <c:pt idx="103">
                  <c:v>106.3355109084186</c:v>
                </c:pt>
                <c:pt idx="104">
                  <c:v>106.6559842228522</c:v>
                </c:pt>
                <c:pt idx="105">
                  <c:v>106.027363490694</c:v>
                </c:pt>
                <c:pt idx="106">
                  <c:v>105.4726981387896</c:v>
                </c:pt>
                <c:pt idx="107">
                  <c:v>105.1892025144829</c:v>
                </c:pt>
                <c:pt idx="108">
                  <c:v>105.3001355848638</c:v>
                </c:pt>
                <c:pt idx="109">
                  <c:v>105.7438678663873</c:v>
                </c:pt>
                <c:pt idx="110">
                  <c:v>106.3355109084186</c:v>
                </c:pt>
                <c:pt idx="111">
                  <c:v>106.10131887094779</c:v>
                </c:pt>
                <c:pt idx="112">
                  <c:v>106.43411808209051</c:v>
                </c:pt>
                <c:pt idx="113">
                  <c:v>106.052015284112</c:v>
                </c:pt>
                <c:pt idx="114">
                  <c:v>106.027363490694</c:v>
                </c:pt>
                <c:pt idx="115">
                  <c:v>106.61900653272519</c:v>
                </c:pt>
                <c:pt idx="116">
                  <c:v>106.24922963145571</c:v>
                </c:pt>
                <c:pt idx="117">
                  <c:v>106.3724885985455</c:v>
                </c:pt>
                <c:pt idx="118">
                  <c:v>106.002711697276</c:v>
                </c:pt>
                <c:pt idx="119">
                  <c:v>105.5466535190435</c:v>
                </c:pt>
                <c:pt idx="120">
                  <c:v>105.8917786268951</c:v>
                </c:pt>
                <c:pt idx="121">
                  <c:v>105.3864168618267</c:v>
                </c:pt>
                <c:pt idx="122">
                  <c:v>105.6945642795513</c:v>
                </c:pt>
                <c:pt idx="123">
                  <c:v>105.4973499322076</c:v>
                </c:pt>
                <c:pt idx="124">
                  <c:v>104.8317515099223</c:v>
                </c:pt>
                <c:pt idx="125">
                  <c:v>104.9673363737212</c:v>
                </c:pt>
                <c:pt idx="126">
                  <c:v>104.75779612966841</c:v>
                </c:pt>
                <c:pt idx="127">
                  <c:v>104.6961666461235</c:v>
                </c:pt>
                <c:pt idx="128">
                  <c:v>104.8933809934673</c:v>
                </c:pt>
                <c:pt idx="129">
                  <c:v>105.58363120917051</c:v>
                </c:pt>
                <c:pt idx="130">
                  <c:v>106.12597066436579</c:v>
                </c:pt>
                <c:pt idx="131">
                  <c:v>106.5450511524713</c:v>
                </c:pt>
                <c:pt idx="132">
                  <c:v>106.7052878096881</c:v>
                </c:pt>
                <c:pt idx="133">
                  <c:v>107.0504129175397</c:v>
                </c:pt>
                <c:pt idx="134">
                  <c:v>107.1490200912117</c:v>
                </c:pt>
                <c:pt idx="135">
                  <c:v>107.0627388142487</c:v>
                </c:pt>
                <c:pt idx="136">
                  <c:v>107.3585603352644</c:v>
                </c:pt>
                <c:pt idx="137">
                  <c:v>107.3585603352644</c:v>
                </c:pt>
                <c:pt idx="138">
                  <c:v>106.8038949833601</c:v>
                </c:pt>
                <c:pt idx="139">
                  <c:v>106.4834216689264</c:v>
                </c:pt>
                <c:pt idx="140">
                  <c:v>106.60668063601631</c:v>
                </c:pt>
                <c:pt idx="141">
                  <c:v>106.3971403919635</c:v>
                </c:pt>
                <c:pt idx="142">
                  <c:v>106.4094662886725</c:v>
                </c:pt>
                <c:pt idx="143">
                  <c:v>106.92715395045001</c:v>
                </c:pt>
                <c:pt idx="144">
                  <c:v>107.44484161222729</c:v>
                </c:pt>
                <c:pt idx="145">
                  <c:v>107.0011093307038</c:v>
                </c:pt>
                <c:pt idx="146">
                  <c:v>107.4694934056453</c:v>
                </c:pt>
                <c:pt idx="147">
                  <c:v>107.3339085418464</c:v>
                </c:pt>
                <c:pt idx="148">
                  <c:v>108.1720695180574</c:v>
                </c:pt>
                <c:pt idx="149">
                  <c:v>108.3816097621102</c:v>
                </c:pt>
                <c:pt idx="150">
                  <c:v>108.1597436213485</c:v>
                </c:pt>
                <c:pt idx="151">
                  <c:v>108.2336990016024</c:v>
                </c:pt>
                <c:pt idx="152">
                  <c:v>108.61580179958089</c:v>
                </c:pt>
                <c:pt idx="153">
                  <c:v>109.0102304942685</c:v>
                </c:pt>
                <c:pt idx="154">
                  <c:v>108.0241587575496</c:v>
                </c:pt>
                <c:pt idx="155">
                  <c:v>108.28300258843829</c:v>
                </c:pt>
                <c:pt idx="156">
                  <c:v>108.1720695180574</c:v>
                </c:pt>
                <c:pt idx="157">
                  <c:v>108.0118328608406</c:v>
                </c:pt>
                <c:pt idx="158">
                  <c:v>107.5064710957722</c:v>
                </c:pt>
                <c:pt idx="159">
                  <c:v>108.1843954147664</c:v>
                </c:pt>
                <c:pt idx="160">
                  <c:v>108.77603845679771</c:v>
                </c:pt>
                <c:pt idx="161">
                  <c:v>109.61419943300869</c:v>
                </c:pt>
                <c:pt idx="162">
                  <c:v>109.28140022186609</c:v>
                </c:pt>
                <c:pt idx="163">
                  <c:v>109.1458153580673</c:v>
                </c:pt>
                <c:pt idx="164">
                  <c:v>108.93627511401451</c:v>
                </c:pt>
                <c:pt idx="165">
                  <c:v>107.9995069641316</c:v>
                </c:pt>
                <c:pt idx="166">
                  <c:v>107.5681005793171</c:v>
                </c:pt>
                <c:pt idx="167">
                  <c:v>108.3692838654012</c:v>
                </c:pt>
                <c:pt idx="168">
                  <c:v>108.1597436213485</c:v>
                </c:pt>
                <c:pt idx="169">
                  <c:v>108.0488105509676</c:v>
                </c:pt>
                <c:pt idx="170">
                  <c:v>108.7267348699618</c:v>
                </c:pt>
                <c:pt idx="171">
                  <c:v>108.7020830765438</c:v>
                </c:pt>
                <c:pt idx="172">
                  <c:v>109.2320966350302</c:v>
                </c:pt>
                <c:pt idx="173">
                  <c:v>108.6404535929989</c:v>
                </c:pt>
                <c:pt idx="174">
                  <c:v>108.3692838654012</c:v>
                </c:pt>
                <c:pt idx="175">
                  <c:v>108.94860101072349</c:v>
                </c:pt>
                <c:pt idx="176">
                  <c:v>108.5664982127449</c:v>
                </c:pt>
                <c:pt idx="177">
                  <c:v>108.6774312831258</c:v>
                </c:pt>
                <c:pt idx="178">
                  <c:v>108.60347590287191</c:v>
                </c:pt>
                <c:pt idx="179">
                  <c:v>108.2460248983114</c:v>
                </c:pt>
                <c:pt idx="180">
                  <c:v>108.1597436213485</c:v>
                </c:pt>
                <c:pt idx="181">
                  <c:v>108.492542832491</c:v>
                </c:pt>
                <c:pt idx="182">
                  <c:v>108.8992974238876</c:v>
                </c:pt>
                <c:pt idx="183">
                  <c:v>108.3446320719832</c:v>
                </c:pt>
                <c:pt idx="184">
                  <c:v>108.529520522618</c:v>
                </c:pt>
                <c:pt idx="185">
                  <c:v>109.0472081843954</c:v>
                </c:pt>
                <c:pt idx="186">
                  <c:v>108.59115000616301</c:v>
                </c:pt>
                <c:pt idx="187">
                  <c:v>108.5171946259091</c:v>
                </c:pt>
                <c:pt idx="188">
                  <c:v>107.8762479970418</c:v>
                </c:pt>
                <c:pt idx="189">
                  <c:v>107.5681005793171</c:v>
                </c:pt>
                <c:pt idx="190">
                  <c:v>108.25835079502031</c:v>
                </c:pt>
                <c:pt idx="191">
                  <c:v>108.0241587575496</c:v>
                </c:pt>
                <c:pt idx="192">
                  <c:v>108.1967213114754</c:v>
                </c:pt>
                <c:pt idx="193">
                  <c:v>108.541846419327</c:v>
                </c:pt>
                <c:pt idx="194">
                  <c:v>107.77764082336989</c:v>
                </c:pt>
                <c:pt idx="195">
                  <c:v>107.740663133243</c:v>
                </c:pt>
                <c:pt idx="196">
                  <c:v>107.666707752989</c:v>
                </c:pt>
                <c:pt idx="197">
                  <c:v>107.5681005793171</c:v>
                </c:pt>
                <c:pt idx="198">
                  <c:v>108.7267348699618</c:v>
                </c:pt>
                <c:pt idx="199">
                  <c:v>108.13509182793049</c:v>
                </c:pt>
                <c:pt idx="200">
                  <c:v>108.0734623443855</c:v>
                </c:pt>
                <c:pt idx="201">
                  <c:v>107.4694934056453</c:v>
                </c:pt>
                <c:pt idx="202">
                  <c:v>107.60507826944411</c:v>
                </c:pt>
                <c:pt idx="203">
                  <c:v>106.8778503636139</c:v>
                </c:pt>
                <c:pt idx="204">
                  <c:v>107.12436829779369</c:v>
                </c:pt>
                <c:pt idx="205">
                  <c:v>107.3462344385554</c:v>
                </c:pt>
                <c:pt idx="206">
                  <c:v>107.3955380253913</c:v>
                </c:pt>
                <c:pt idx="207">
                  <c:v>108.2213731048934</c:v>
                </c:pt>
                <c:pt idx="208">
                  <c:v>108.12276593122149</c:v>
                </c:pt>
                <c:pt idx="209">
                  <c:v>108.2460248983114</c:v>
                </c:pt>
                <c:pt idx="210">
                  <c:v>108.5048687292001</c:v>
                </c:pt>
                <c:pt idx="211">
                  <c:v>108.4185874522372</c:v>
                </c:pt>
                <c:pt idx="212">
                  <c:v>108.4062615555282</c:v>
                </c:pt>
                <c:pt idx="213">
                  <c:v>108.1967213114754</c:v>
                </c:pt>
                <c:pt idx="214">
                  <c:v>109.0841858745224</c:v>
                </c:pt>
                <c:pt idx="215">
                  <c:v>108.0611364476766</c:v>
                </c:pt>
                <c:pt idx="216">
                  <c:v>107.78996672007899</c:v>
                </c:pt>
                <c:pt idx="217">
                  <c:v>107.8639221003328</c:v>
                </c:pt>
                <c:pt idx="218">
                  <c:v>107.93787748058671</c:v>
                </c:pt>
                <c:pt idx="219">
                  <c:v>107.666707752989</c:v>
                </c:pt>
                <c:pt idx="220">
                  <c:v>107.59275237273511</c:v>
                </c:pt>
                <c:pt idx="221">
                  <c:v>107.77764082336989</c:v>
                </c:pt>
                <c:pt idx="222">
                  <c:v>108.0611364476766</c:v>
                </c:pt>
                <c:pt idx="223">
                  <c:v>108.4802169357821</c:v>
                </c:pt>
                <c:pt idx="224">
                  <c:v>108.6774312831258</c:v>
                </c:pt>
                <c:pt idx="225">
                  <c:v>108.8623197337606</c:v>
                </c:pt>
                <c:pt idx="226">
                  <c:v>109.3183779119931</c:v>
                </c:pt>
                <c:pt idx="227">
                  <c:v>108.8253420436337</c:v>
                </c:pt>
                <c:pt idx="228">
                  <c:v>109.45396277579189</c:v>
                </c:pt>
                <c:pt idx="229">
                  <c:v>109.12116356464929</c:v>
                </c:pt>
                <c:pt idx="230">
                  <c:v>109.13348946135829</c:v>
                </c:pt>
                <c:pt idx="231">
                  <c:v>108.9732528041415</c:v>
                </c:pt>
                <c:pt idx="232">
                  <c:v>108.6651053864169</c:v>
                </c:pt>
                <c:pt idx="233">
                  <c:v>108.7144089732528</c:v>
                </c:pt>
                <c:pt idx="234">
                  <c:v>108.7390607666708</c:v>
                </c:pt>
                <c:pt idx="235">
                  <c:v>108.7390607666708</c:v>
                </c:pt>
                <c:pt idx="236">
                  <c:v>108.529520522618</c:v>
                </c:pt>
                <c:pt idx="237">
                  <c:v>108.2213731048934</c:v>
                </c:pt>
                <c:pt idx="238">
                  <c:v>108.4062615555282</c:v>
                </c:pt>
                <c:pt idx="239">
                  <c:v>108.3939356588192</c:v>
                </c:pt>
              </c:numCache>
            </c:numRef>
          </c:val>
          <c:smooth val="0"/>
        </c:ser>
        <c:dLbls>
          <c:showLegendKey val="0"/>
          <c:showVal val="0"/>
          <c:showCatName val="0"/>
          <c:showSerName val="0"/>
          <c:showPercent val="0"/>
          <c:showBubbleSize val="0"/>
        </c:dLbls>
        <c:smooth val="0"/>
        <c:axId val="497654552"/>
        <c:axId val="497656120"/>
      </c:lineChart>
      <c:dateAx>
        <c:axId val="497654552"/>
        <c:scaling>
          <c:orientation val="minMax"/>
        </c:scaling>
        <c:delete val="0"/>
        <c:axPos val="b"/>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7656120"/>
        <c:crosses val="autoZero"/>
        <c:auto val="1"/>
        <c:lblOffset val="100"/>
        <c:baseTimeUnit val="days"/>
        <c:majorUnit val="30"/>
        <c:majorTimeUnit val="days"/>
      </c:dateAx>
      <c:valAx>
        <c:axId val="497656120"/>
        <c:scaling>
          <c:orientation val="minMax"/>
          <c:max val="135"/>
          <c:min val="9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76545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1855225789083997E-2"/>
          <c:y val="1.26141084333261E-2"/>
          <c:w val="0.93036699643313803"/>
          <c:h val="0.85057876740958005"/>
        </c:manualLayout>
      </c:layout>
      <c:lineChart>
        <c:grouping val="standard"/>
        <c:varyColors val="0"/>
        <c:ser>
          <c:idx val="10"/>
          <c:order val="0"/>
          <c:tx>
            <c:strRef>
              <c:f>Currency!$Z$3</c:f>
              <c:strCache>
                <c:ptCount val="1"/>
                <c:pt idx="0">
                  <c:v>USD Index</c:v>
                </c:pt>
              </c:strCache>
            </c:strRef>
          </c:tx>
          <c:spPr>
            <a:ln w="28575" cap="rnd">
              <a:solidFill>
                <a:schemeClr val="accent5">
                  <a:lumMod val="60000"/>
                </a:schemeClr>
              </a:solidFill>
              <a:round/>
            </a:ln>
            <a:effectLst/>
          </c:spPr>
          <c:marker>
            <c:symbol val="none"/>
          </c:marker>
          <c:cat>
            <c:numRef>
              <c:f>Currency!$O$4:$O$244</c:f>
              <c:numCache>
                <c:formatCode>m/d/yyyy</c:formatCode>
                <c:ptCount val="241"/>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numCache>
            </c:numRef>
          </c:cat>
          <c:val>
            <c:numRef>
              <c:f>Currency!$Z$4:$Z$244</c:f>
              <c:numCache>
                <c:formatCode>General</c:formatCode>
                <c:ptCount val="241"/>
                <c:pt idx="0">
                  <c:v>100</c:v>
                </c:pt>
                <c:pt idx="1">
                  <c:v>100.08669171093869</c:v>
                </c:pt>
                <c:pt idx="2">
                  <c:v>100.251183675284</c:v>
                </c:pt>
                <c:pt idx="3">
                  <c:v>100.1867206081757</c:v>
                </c:pt>
                <c:pt idx="4">
                  <c:v>100.5401560450797</c:v>
                </c:pt>
                <c:pt idx="5">
                  <c:v>100.1489319136639</c:v>
                </c:pt>
                <c:pt idx="6">
                  <c:v>99.848845221952999</c:v>
                </c:pt>
                <c:pt idx="7">
                  <c:v>99.569875741880978</c:v>
                </c:pt>
                <c:pt idx="8">
                  <c:v>99.548758530242068</c:v>
                </c:pt>
                <c:pt idx="9">
                  <c:v>99.752150621290596</c:v>
                </c:pt>
                <c:pt idx="10">
                  <c:v>99.806610798675166</c:v>
                </c:pt>
                <c:pt idx="11">
                  <c:v>99.389823726854388</c:v>
                </c:pt>
                <c:pt idx="12">
                  <c:v>99.490964056282934</c:v>
                </c:pt>
                <c:pt idx="13">
                  <c:v>99.609887300775753</c:v>
                </c:pt>
                <c:pt idx="14">
                  <c:v>99.962211305488253</c:v>
                </c:pt>
                <c:pt idx="15">
                  <c:v>100.3801098095005</c:v>
                </c:pt>
                <c:pt idx="16">
                  <c:v>101.0803120901594</c:v>
                </c:pt>
                <c:pt idx="17">
                  <c:v>100.8802542956854</c:v>
                </c:pt>
                <c:pt idx="18">
                  <c:v>101.33149576544329</c:v>
                </c:pt>
                <c:pt idx="19">
                  <c:v>101.7638428879454</c:v>
                </c:pt>
                <c:pt idx="20">
                  <c:v>101.74272567630651</c:v>
                </c:pt>
                <c:pt idx="21">
                  <c:v>102.0750439015715</c:v>
                </c:pt>
                <c:pt idx="22">
                  <c:v>102.750794674017</c:v>
                </c:pt>
                <c:pt idx="23">
                  <c:v>102.8208149020828</c:v>
                </c:pt>
                <c:pt idx="24">
                  <c:v>102.7118945473137</c:v>
                </c:pt>
                <c:pt idx="25">
                  <c:v>102.88083224042499</c:v>
                </c:pt>
                <c:pt idx="26">
                  <c:v>103.08422433147349</c:v>
                </c:pt>
                <c:pt idx="27">
                  <c:v>103.4965656745282</c:v>
                </c:pt>
                <c:pt idx="28">
                  <c:v>103.4076510992065</c:v>
                </c:pt>
                <c:pt idx="29">
                  <c:v>102.974192544513</c:v>
                </c:pt>
                <c:pt idx="30">
                  <c:v>102.8486007068709</c:v>
                </c:pt>
                <c:pt idx="31">
                  <c:v>102.9041723164469</c:v>
                </c:pt>
                <c:pt idx="32">
                  <c:v>103.6065974614888</c:v>
                </c:pt>
                <c:pt idx="33">
                  <c:v>103.7988752306222</c:v>
                </c:pt>
                <c:pt idx="34">
                  <c:v>103.8844555093694</c:v>
                </c:pt>
                <c:pt idx="35">
                  <c:v>104.07117611754499</c:v>
                </c:pt>
                <c:pt idx="36">
                  <c:v>104.115633405206</c:v>
                </c:pt>
                <c:pt idx="37">
                  <c:v>104.0400560161824</c:v>
                </c:pt>
                <c:pt idx="38">
                  <c:v>104.47796029964211</c:v>
                </c:pt>
                <c:pt idx="39">
                  <c:v>104.22455375997509</c:v>
                </c:pt>
                <c:pt idx="40">
                  <c:v>104.75581834752261</c:v>
                </c:pt>
                <c:pt idx="41">
                  <c:v>104.9392046591238</c:v>
                </c:pt>
                <c:pt idx="42">
                  <c:v>105.38600040011561</c:v>
                </c:pt>
                <c:pt idx="43">
                  <c:v>104.5513148242826</c:v>
                </c:pt>
                <c:pt idx="44">
                  <c:v>104.4512859270456</c:v>
                </c:pt>
                <c:pt idx="45">
                  <c:v>104.648009424945</c:v>
                </c:pt>
                <c:pt idx="46">
                  <c:v>104.5168604263454</c:v>
                </c:pt>
                <c:pt idx="47">
                  <c:v>104.3368084113188</c:v>
                </c:pt>
                <c:pt idx="48">
                  <c:v>104.0456131771401</c:v>
                </c:pt>
                <c:pt idx="49">
                  <c:v>103.8466668148576</c:v>
                </c:pt>
                <c:pt idx="50">
                  <c:v>103.9578100340098</c:v>
                </c:pt>
                <c:pt idx="51">
                  <c:v>104.0389445839909</c:v>
                </c:pt>
                <c:pt idx="52">
                  <c:v>104.27234534421051</c:v>
                </c:pt>
                <c:pt idx="53">
                  <c:v>103.9678129237335</c:v>
                </c:pt>
                <c:pt idx="54">
                  <c:v>105.45157489941541</c:v>
                </c:pt>
                <c:pt idx="55">
                  <c:v>105.3504345699869</c:v>
                </c:pt>
                <c:pt idx="56">
                  <c:v>105.3148687398582</c:v>
                </c:pt>
                <c:pt idx="57">
                  <c:v>105.60050681307931</c:v>
                </c:pt>
                <c:pt idx="58">
                  <c:v>105.7238757863383</c:v>
                </c:pt>
                <c:pt idx="59">
                  <c:v>105.4326805521595</c:v>
                </c:pt>
                <c:pt idx="60">
                  <c:v>105.052570742659</c:v>
                </c:pt>
                <c:pt idx="61">
                  <c:v>104.7958299064174</c:v>
                </c:pt>
                <c:pt idx="62">
                  <c:v>105.2259541645364</c:v>
                </c:pt>
                <c:pt idx="63">
                  <c:v>105.9083735301309</c:v>
                </c:pt>
                <c:pt idx="64">
                  <c:v>105.9328250383444</c:v>
                </c:pt>
                <c:pt idx="65">
                  <c:v>104.99699913308289</c:v>
                </c:pt>
                <c:pt idx="66">
                  <c:v>105.4426834418832</c:v>
                </c:pt>
                <c:pt idx="67">
                  <c:v>105.131482428257</c:v>
                </c:pt>
                <c:pt idx="68">
                  <c:v>105.06479649676579</c:v>
                </c:pt>
                <c:pt idx="69">
                  <c:v>104.91364171871879</c:v>
                </c:pt>
                <c:pt idx="70">
                  <c:v>104.4335030119812</c:v>
                </c:pt>
                <c:pt idx="71">
                  <c:v>104.5602062818148</c:v>
                </c:pt>
                <c:pt idx="72">
                  <c:v>104.650232289328</c:v>
                </c:pt>
                <c:pt idx="73">
                  <c:v>105.2737457487718</c:v>
                </c:pt>
                <c:pt idx="74">
                  <c:v>105.3937804254562</c:v>
                </c:pt>
                <c:pt idx="75">
                  <c:v>105.2270655967279</c:v>
                </c:pt>
                <c:pt idx="76">
                  <c:v>105.04256785293531</c:v>
                </c:pt>
                <c:pt idx="77">
                  <c:v>105.5693867117167</c:v>
                </c:pt>
                <c:pt idx="78">
                  <c:v>105.680529930869</c:v>
                </c:pt>
                <c:pt idx="79">
                  <c:v>105.7683330739991</c:v>
                </c:pt>
                <c:pt idx="80">
                  <c:v>105.003667726232</c:v>
                </c:pt>
                <c:pt idx="81">
                  <c:v>105.1770511481094</c:v>
                </c:pt>
                <c:pt idx="82">
                  <c:v>105.1559339364705</c:v>
                </c:pt>
                <c:pt idx="83">
                  <c:v>104.7335897036922</c:v>
                </c:pt>
                <c:pt idx="84">
                  <c:v>105.34710027341229</c:v>
                </c:pt>
                <c:pt idx="85">
                  <c:v>105.2181741391958</c:v>
                </c:pt>
                <c:pt idx="86">
                  <c:v>104.8614044057172</c:v>
                </c:pt>
                <c:pt idx="87">
                  <c:v>105.0903594371707</c:v>
                </c:pt>
                <c:pt idx="88">
                  <c:v>105.20928268166359</c:v>
                </c:pt>
                <c:pt idx="89">
                  <c:v>105.7750016671483</c:v>
                </c:pt>
                <c:pt idx="90">
                  <c:v>105.76499877742459</c:v>
                </c:pt>
                <c:pt idx="91">
                  <c:v>105.9839509191544</c:v>
                </c:pt>
                <c:pt idx="92">
                  <c:v>105.7927845822127</c:v>
                </c:pt>
                <c:pt idx="93">
                  <c:v>105.68830995620959</c:v>
                </c:pt>
                <c:pt idx="94">
                  <c:v>106.1462200191167</c:v>
                </c:pt>
                <c:pt idx="95">
                  <c:v>107.0942716784849</c:v>
                </c:pt>
                <c:pt idx="96">
                  <c:v>107.13206037299661</c:v>
                </c:pt>
                <c:pt idx="97">
                  <c:v>107.5099473181141</c:v>
                </c:pt>
                <c:pt idx="98">
                  <c:v>107.4710471914108</c:v>
                </c:pt>
                <c:pt idx="99">
                  <c:v>107.41436414964321</c:v>
                </c:pt>
                <c:pt idx="100">
                  <c:v>106.8097450374552</c:v>
                </c:pt>
                <c:pt idx="101">
                  <c:v>106.5863471669593</c:v>
                </c:pt>
                <c:pt idx="102">
                  <c:v>105.8705848356192</c:v>
                </c:pt>
                <c:pt idx="103">
                  <c:v>105.7483272945517</c:v>
                </c:pt>
                <c:pt idx="104">
                  <c:v>106.3262720341432</c:v>
                </c:pt>
                <c:pt idx="105">
                  <c:v>105.7483272945517</c:v>
                </c:pt>
                <c:pt idx="106">
                  <c:v>105.34043168026319</c:v>
                </c:pt>
                <c:pt idx="107">
                  <c:v>105.27485718096339</c:v>
                </c:pt>
                <c:pt idx="108">
                  <c:v>105.1414853179807</c:v>
                </c:pt>
                <c:pt idx="109">
                  <c:v>105.2781914775379</c:v>
                </c:pt>
                <c:pt idx="110">
                  <c:v>105.7416587014026</c:v>
                </c:pt>
                <c:pt idx="111">
                  <c:v>105.7416587014026</c:v>
                </c:pt>
                <c:pt idx="112">
                  <c:v>106.0739769266677</c:v>
                </c:pt>
                <c:pt idx="113">
                  <c:v>105.7905617178296</c:v>
                </c:pt>
                <c:pt idx="114">
                  <c:v>105.60939827061151</c:v>
                </c:pt>
                <c:pt idx="115">
                  <c:v>105.9917309444951</c:v>
                </c:pt>
                <c:pt idx="116">
                  <c:v>105.7527730233178</c:v>
                </c:pt>
                <c:pt idx="117">
                  <c:v>105.8628048102785</c:v>
                </c:pt>
                <c:pt idx="118">
                  <c:v>105.3626603240936</c:v>
                </c:pt>
                <c:pt idx="119">
                  <c:v>105.0503478782759</c:v>
                </c:pt>
                <c:pt idx="120">
                  <c:v>105.5049236446085</c:v>
                </c:pt>
                <c:pt idx="121">
                  <c:v>105.0258963700624</c:v>
                </c:pt>
                <c:pt idx="122">
                  <c:v>105.1859426056416</c:v>
                </c:pt>
                <c:pt idx="123">
                  <c:v>105.07146508991499</c:v>
                </c:pt>
                <c:pt idx="124">
                  <c:v>104.3768199702136</c:v>
                </c:pt>
                <c:pt idx="125">
                  <c:v>104.71914108520239</c:v>
                </c:pt>
                <c:pt idx="126">
                  <c:v>104.6802409584991</c:v>
                </c:pt>
                <c:pt idx="127">
                  <c:v>104.62244648454001</c:v>
                </c:pt>
                <c:pt idx="128">
                  <c:v>104.6891324160313</c:v>
                </c:pt>
                <c:pt idx="129">
                  <c:v>105.4682463822882</c:v>
                </c:pt>
                <c:pt idx="130">
                  <c:v>105.7327672438705</c:v>
                </c:pt>
                <c:pt idx="131">
                  <c:v>105.9172649876631</c:v>
                </c:pt>
                <c:pt idx="132">
                  <c:v>106.1495543156912</c:v>
                </c:pt>
                <c:pt idx="133">
                  <c:v>106.4329695245293</c:v>
                </c:pt>
                <c:pt idx="134">
                  <c:v>106.4207437704225</c:v>
                </c:pt>
                <c:pt idx="135">
                  <c:v>106.2795918820992</c:v>
                </c:pt>
                <c:pt idx="136">
                  <c:v>106.43185809233781</c:v>
                </c:pt>
                <c:pt idx="137">
                  <c:v>106.3284948985262</c:v>
                </c:pt>
                <c:pt idx="138">
                  <c:v>106.1506657478827</c:v>
                </c:pt>
                <c:pt idx="139">
                  <c:v>105.60495254184541</c:v>
                </c:pt>
                <c:pt idx="140">
                  <c:v>105.831684708916</c:v>
                </c:pt>
                <c:pt idx="141">
                  <c:v>105.6516326938893</c:v>
                </c:pt>
                <c:pt idx="142">
                  <c:v>105.6394069397826</c:v>
                </c:pt>
                <c:pt idx="143">
                  <c:v>106.2251317047147</c:v>
                </c:pt>
                <c:pt idx="144">
                  <c:v>106.5863471669593</c:v>
                </c:pt>
                <c:pt idx="145">
                  <c:v>106.3785093471447</c:v>
                </c:pt>
                <c:pt idx="146">
                  <c:v>106.7119390046014</c:v>
                </c:pt>
                <c:pt idx="147">
                  <c:v>106.6541445306422</c:v>
                </c:pt>
                <c:pt idx="148">
                  <c:v>107.1798519572321</c:v>
                </c:pt>
                <c:pt idx="149">
                  <c:v>107.45215284415499</c:v>
                </c:pt>
                <c:pt idx="150">
                  <c:v>107.096494542868</c:v>
                </c:pt>
                <c:pt idx="151">
                  <c:v>107.3410096250028</c:v>
                </c:pt>
                <c:pt idx="152">
                  <c:v>107.8211483317403</c:v>
                </c:pt>
                <c:pt idx="153">
                  <c:v>107.9500744659568</c:v>
                </c:pt>
                <c:pt idx="154">
                  <c:v>107.00535710316311</c:v>
                </c:pt>
                <c:pt idx="155">
                  <c:v>107.2998866339165</c:v>
                </c:pt>
                <c:pt idx="156">
                  <c:v>107.00757996754621</c:v>
                </c:pt>
                <c:pt idx="157">
                  <c:v>107.049814390824</c:v>
                </c:pt>
                <c:pt idx="158">
                  <c:v>106.694156089537</c:v>
                </c:pt>
                <c:pt idx="159">
                  <c:v>107.50216729277339</c:v>
                </c:pt>
                <c:pt idx="160">
                  <c:v>107.70333651943891</c:v>
                </c:pt>
                <c:pt idx="161">
                  <c:v>108.4113188254385</c:v>
                </c:pt>
                <c:pt idx="162">
                  <c:v>108.14568653166469</c:v>
                </c:pt>
                <c:pt idx="163">
                  <c:v>107.58997043590369</c:v>
                </c:pt>
                <c:pt idx="164">
                  <c:v>107.72778802765239</c:v>
                </c:pt>
                <c:pt idx="165">
                  <c:v>107.2143063551693</c:v>
                </c:pt>
                <c:pt idx="166">
                  <c:v>106.9119967990753</c:v>
                </c:pt>
                <c:pt idx="167">
                  <c:v>107.62664769822391</c:v>
                </c:pt>
                <c:pt idx="168">
                  <c:v>107.48883010647521</c:v>
                </c:pt>
                <c:pt idx="169">
                  <c:v>107.48883010647521</c:v>
                </c:pt>
                <c:pt idx="170">
                  <c:v>107.7155622735457</c:v>
                </c:pt>
                <c:pt idx="171">
                  <c:v>107.8911685598062</c:v>
                </c:pt>
                <c:pt idx="172">
                  <c:v>108.2190410563052</c:v>
                </c:pt>
                <c:pt idx="173">
                  <c:v>107.5710760886478</c:v>
                </c:pt>
                <c:pt idx="174">
                  <c:v>107.5621846311157</c:v>
                </c:pt>
                <c:pt idx="175">
                  <c:v>108.1112321337275</c:v>
                </c:pt>
                <c:pt idx="176">
                  <c:v>107.8533798652944</c:v>
                </c:pt>
                <c:pt idx="177">
                  <c:v>107.7700224509303</c:v>
                </c:pt>
                <c:pt idx="178">
                  <c:v>107.88672283104</c:v>
                </c:pt>
                <c:pt idx="179">
                  <c:v>107.5977504612444</c:v>
                </c:pt>
                <c:pt idx="180">
                  <c:v>107.2687665325538</c:v>
                </c:pt>
                <c:pt idx="181">
                  <c:v>108.0523262275768</c:v>
                </c:pt>
                <c:pt idx="182">
                  <c:v>108.2401582679441</c:v>
                </c:pt>
                <c:pt idx="183">
                  <c:v>107.8578255940605</c:v>
                </c:pt>
                <c:pt idx="184">
                  <c:v>107.8800542378909</c:v>
                </c:pt>
                <c:pt idx="185">
                  <c:v>108.3012870384778</c:v>
                </c:pt>
                <c:pt idx="186">
                  <c:v>107.92006579678571</c:v>
                </c:pt>
                <c:pt idx="187">
                  <c:v>107.92451152555179</c:v>
                </c:pt>
                <c:pt idx="188">
                  <c:v>107.84782270433681</c:v>
                </c:pt>
                <c:pt idx="189">
                  <c:v>107.0042456709716</c:v>
                </c:pt>
                <c:pt idx="190">
                  <c:v>107.7600195612066</c:v>
                </c:pt>
                <c:pt idx="191">
                  <c:v>107.31211238802319</c:v>
                </c:pt>
                <c:pt idx="192">
                  <c:v>107.3432324893858</c:v>
                </c:pt>
                <c:pt idx="193">
                  <c:v>107.8644941872096</c:v>
                </c:pt>
                <c:pt idx="194">
                  <c:v>107.2320892702336</c:v>
                </c:pt>
                <c:pt idx="195">
                  <c:v>107.1442861271034</c:v>
                </c:pt>
                <c:pt idx="196">
                  <c:v>106.88976815524479</c:v>
                </c:pt>
                <c:pt idx="197">
                  <c:v>106.7919621223909</c:v>
                </c:pt>
                <c:pt idx="198">
                  <c:v>107.6077533509681</c:v>
                </c:pt>
                <c:pt idx="199">
                  <c:v>107.0364772045258</c:v>
                </c:pt>
                <c:pt idx="200">
                  <c:v>106.896436748394</c:v>
                </c:pt>
                <c:pt idx="201">
                  <c:v>106.3262720341432</c:v>
                </c:pt>
                <c:pt idx="202">
                  <c:v>106.58968146353391</c:v>
                </c:pt>
                <c:pt idx="203">
                  <c:v>105.8294618445328</c:v>
                </c:pt>
                <c:pt idx="204">
                  <c:v>106.18512014581989</c:v>
                </c:pt>
                <c:pt idx="205">
                  <c:v>106.3307177629093</c:v>
                </c:pt>
                <c:pt idx="206">
                  <c:v>106.264031831418</c:v>
                </c:pt>
                <c:pt idx="207">
                  <c:v>106.74083624158089</c:v>
                </c:pt>
                <c:pt idx="208">
                  <c:v>106.7630648854114</c:v>
                </c:pt>
                <c:pt idx="209">
                  <c:v>106.7697334785605</c:v>
                </c:pt>
                <c:pt idx="210">
                  <c:v>107.07093160246291</c:v>
                </c:pt>
                <c:pt idx="211">
                  <c:v>107.07093160246291</c:v>
                </c:pt>
                <c:pt idx="212">
                  <c:v>107.0342543401427</c:v>
                </c:pt>
                <c:pt idx="213">
                  <c:v>106.8341965456688</c:v>
                </c:pt>
                <c:pt idx="214">
                  <c:v>107.3654611332162</c:v>
                </c:pt>
                <c:pt idx="215">
                  <c:v>106.468535354658</c:v>
                </c:pt>
                <c:pt idx="216">
                  <c:v>106.4151866094649</c:v>
                </c:pt>
                <c:pt idx="217">
                  <c:v>106.4985440238291</c:v>
                </c:pt>
                <c:pt idx="218">
                  <c:v>105.96394513970699</c:v>
                </c:pt>
                <c:pt idx="219">
                  <c:v>106.22846600128921</c:v>
                </c:pt>
                <c:pt idx="220">
                  <c:v>106.2295774334808</c:v>
                </c:pt>
                <c:pt idx="221">
                  <c:v>106.53299842176629</c:v>
                </c:pt>
                <c:pt idx="222">
                  <c:v>106.7719563429435</c:v>
                </c:pt>
                <c:pt idx="223">
                  <c:v>107.1309489408051</c:v>
                </c:pt>
                <c:pt idx="224">
                  <c:v>107.2609865072132</c:v>
                </c:pt>
                <c:pt idx="225">
                  <c:v>107.405472692111</c:v>
                </c:pt>
                <c:pt idx="226">
                  <c:v>107.87227421255029</c:v>
                </c:pt>
                <c:pt idx="227">
                  <c:v>107.4854958099006</c:v>
                </c:pt>
                <c:pt idx="228">
                  <c:v>107.9522973303399</c:v>
                </c:pt>
                <c:pt idx="229">
                  <c:v>107.78447106941999</c:v>
                </c:pt>
                <c:pt idx="230">
                  <c:v>107.7022250872475</c:v>
                </c:pt>
                <c:pt idx="231">
                  <c:v>107.7022250872475</c:v>
                </c:pt>
                <c:pt idx="232">
                  <c:v>107.275435125703</c:v>
                </c:pt>
                <c:pt idx="233">
                  <c:v>107.20208060106251</c:v>
                </c:pt>
                <c:pt idx="234">
                  <c:v>107.3699068619824</c:v>
                </c:pt>
                <c:pt idx="235">
                  <c:v>107.2609865072132</c:v>
                </c:pt>
                <c:pt idx="236">
                  <c:v>107.15651188121009</c:v>
                </c:pt>
                <c:pt idx="237">
                  <c:v>106.7008246826861</c:v>
                </c:pt>
                <c:pt idx="238">
                  <c:v>106.8686509436059</c:v>
                </c:pt>
                <c:pt idx="239">
                  <c:v>106.87198524018051</c:v>
                </c:pt>
              </c:numCache>
            </c:numRef>
          </c:val>
          <c:smooth val="0"/>
        </c:ser>
        <c:ser>
          <c:idx val="11"/>
          <c:order val="1"/>
          <c:tx>
            <c:strRef>
              <c:f>Currency!$AA$3</c:f>
              <c:strCache>
                <c:ptCount val="1"/>
                <c:pt idx="0">
                  <c:v>MSCI EM Index</c:v>
                </c:pt>
              </c:strCache>
            </c:strRef>
          </c:tx>
          <c:spPr>
            <a:ln w="28575" cap="rnd">
              <a:solidFill>
                <a:schemeClr val="accent6">
                  <a:lumMod val="60000"/>
                </a:schemeClr>
              </a:solidFill>
              <a:round/>
            </a:ln>
            <a:effectLst/>
          </c:spPr>
          <c:marker>
            <c:symbol val="none"/>
          </c:marker>
          <c:cat>
            <c:numRef>
              <c:f>Currency!$O$4:$O$244</c:f>
              <c:numCache>
                <c:formatCode>m/d/yyyy</c:formatCode>
                <c:ptCount val="241"/>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numCache>
            </c:numRef>
          </c:cat>
          <c:val>
            <c:numRef>
              <c:f>Currency!$AA$4:$AA$244</c:f>
              <c:numCache>
                <c:formatCode>General</c:formatCode>
                <c:ptCount val="241"/>
                <c:pt idx="0">
                  <c:v>100</c:v>
                </c:pt>
                <c:pt idx="1">
                  <c:v>100.2494937597549</c:v>
                </c:pt>
                <c:pt idx="2">
                  <c:v>100.3133177448085</c:v>
                </c:pt>
                <c:pt idx="3">
                  <c:v>99.99883956390812</c:v>
                </c:pt>
                <c:pt idx="4">
                  <c:v>100.03655373689431</c:v>
                </c:pt>
                <c:pt idx="5">
                  <c:v>99.700607488294096</c:v>
                </c:pt>
                <c:pt idx="6">
                  <c:v>99.519579457960305</c:v>
                </c:pt>
                <c:pt idx="7">
                  <c:v>99.425584134517749</c:v>
                </c:pt>
                <c:pt idx="8">
                  <c:v>99.491148773709156</c:v>
                </c:pt>
                <c:pt idx="9">
                  <c:v>99.603130856575845</c:v>
                </c:pt>
                <c:pt idx="10">
                  <c:v>99.493469645892986</c:v>
                </c:pt>
                <c:pt idx="11">
                  <c:v>99.341452517856183</c:v>
                </c:pt>
                <c:pt idx="12">
                  <c:v>99.633302194964813</c:v>
                </c:pt>
                <c:pt idx="13">
                  <c:v>99.702928360477856</c:v>
                </c:pt>
                <c:pt idx="14">
                  <c:v>99.758049074842333</c:v>
                </c:pt>
                <c:pt idx="15">
                  <c:v>99.306639435099711</c:v>
                </c:pt>
                <c:pt idx="16">
                  <c:v>98.869155028459673</c:v>
                </c:pt>
                <c:pt idx="17">
                  <c:v>98.600514073188677</c:v>
                </c:pt>
                <c:pt idx="18">
                  <c:v>98.174634027467505</c:v>
                </c:pt>
                <c:pt idx="19">
                  <c:v>98.190299914707964</c:v>
                </c:pt>
                <c:pt idx="20">
                  <c:v>98.399758629292904</c:v>
                </c:pt>
                <c:pt idx="21">
                  <c:v>98.353921403663477</c:v>
                </c:pt>
                <c:pt idx="22">
                  <c:v>98.155486831951379</c:v>
                </c:pt>
                <c:pt idx="23">
                  <c:v>97.667523455314551</c:v>
                </c:pt>
                <c:pt idx="24">
                  <c:v>97.677967380141453</c:v>
                </c:pt>
                <c:pt idx="25">
                  <c:v>97.814318620937755</c:v>
                </c:pt>
                <c:pt idx="26">
                  <c:v>97.653018004165943</c:v>
                </c:pt>
                <c:pt idx="27">
                  <c:v>97.447620815902653</c:v>
                </c:pt>
                <c:pt idx="28">
                  <c:v>97.295023469819995</c:v>
                </c:pt>
                <c:pt idx="29">
                  <c:v>97.801553823927023</c:v>
                </c:pt>
                <c:pt idx="30">
                  <c:v>98.128796801838092</c:v>
                </c:pt>
                <c:pt idx="31">
                  <c:v>98.005790576098434</c:v>
                </c:pt>
                <c:pt idx="32">
                  <c:v>97.300825650279407</c:v>
                </c:pt>
                <c:pt idx="33">
                  <c:v>97.253247770512161</c:v>
                </c:pt>
                <c:pt idx="34">
                  <c:v>97.191744657642332</c:v>
                </c:pt>
                <c:pt idx="35">
                  <c:v>96.842453393985451</c:v>
                </c:pt>
                <c:pt idx="36">
                  <c:v>96.708423025372966</c:v>
                </c:pt>
                <c:pt idx="37">
                  <c:v>97.154030484656118</c:v>
                </c:pt>
                <c:pt idx="38">
                  <c:v>97.014778153630076</c:v>
                </c:pt>
                <c:pt idx="39">
                  <c:v>97.145907432012919</c:v>
                </c:pt>
                <c:pt idx="40">
                  <c:v>97.182461168907281</c:v>
                </c:pt>
                <c:pt idx="41">
                  <c:v>97.256148860741845</c:v>
                </c:pt>
                <c:pt idx="42">
                  <c:v>96.877846694787877</c:v>
                </c:pt>
                <c:pt idx="43">
                  <c:v>96.834330341342294</c:v>
                </c:pt>
                <c:pt idx="44">
                  <c:v>96.985767251333044</c:v>
                </c:pt>
                <c:pt idx="45">
                  <c:v>97.02754295064085</c:v>
                </c:pt>
                <c:pt idx="46">
                  <c:v>97.200447928331471</c:v>
                </c:pt>
                <c:pt idx="47">
                  <c:v>97.056553852937938</c:v>
                </c:pt>
                <c:pt idx="48">
                  <c:v>97.183041386953164</c:v>
                </c:pt>
                <c:pt idx="49">
                  <c:v>96.997951830297822</c:v>
                </c:pt>
                <c:pt idx="50">
                  <c:v>96.705521935143224</c:v>
                </c:pt>
                <c:pt idx="51">
                  <c:v>96.98692768742491</c:v>
                </c:pt>
                <c:pt idx="52">
                  <c:v>96.797196386402007</c:v>
                </c:pt>
                <c:pt idx="53">
                  <c:v>96.761803085599567</c:v>
                </c:pt>
                <c:pt idx="54">
                  <c:v>96.664906671927326</c:v>
                </c:pt>
                <c:pt idx="55">
                  <c:v>95.983150467945904</c:v>
                </c:pt>
                <c:pt idx="56">
                  <c:v>95.834614648184797</c:v>
                </c:pt>
                <c:pt idx="57">
                  <c:v>95.345490835455905</c:v>
                </c:pt>
                <c:pt idx="58">
                  <c:v>95.542184753030185</c:v>
                </c:pt>
                <c:pt idx="59">
                  <c:v>95.188831963051655</c:v>
                </c:pt>
                <c:pt idx="60">
                  <c:v>95.513173850733111</c:v>
                </c:pt>
                <c:pt idx="61">
                  <c:v>95.122687105814322</c:v>
                </c:pt>
                <c:pt idx="62">
                  <c:v>95.041456579382526</c:v>
                </c:pt>
                <c:pt idx="63">
                  <c:v>94.572060180215729</c:v>
                </c:pt>
                <c:pt idx="64">
                  <c:v>94.165327330010584</c:v>
                </c:pt>
                <c:pt idx="65">
                  <c:v>94.497212052289257</c:v>
                </c:pt>
                <c:pt idx="66">
                  <c:v>93.987200389906562</c:v>
                </c:pt>
                <c:pt idx="67">
                  <c:v>94.110786833692046</c:v>
                </c:pt>
                <c:pt idx="68">
                  <c:v>94.412500217581751</c:v>
                </c:pt>
                <c:pt idx="69">
                  <c:v>94.360860811492927</c:v>
                </c:pt>
                <c:pt idx="70">
                  <c:v>94.447893518384205</c:v>
                </c:pt>
                <c:pt idx="71">
                  <c:v>94.923672316056312</c:v>
                </c:pt>
                <c:pt idx="72">
                  <c:v>94.897562503988979</c:v>
                </c:pt>
                <c:pt idx="73">
                  <c:v>94.57728214262913</c:v>
                </c:pt>
                <c:pt idx="74">
                  <c:v>94.541308623780807</c:v>
                </c:pt>
                <c:pt idx="75">
                  <c:v>94.489088999646071</c:v>
                </c:pt>
                <c:pt idx="76">
                  <c:v>94.45717700711927</c:v>
                </c:pt>
                <c:pt idx="77">
                  <c:v>94.592948029869603</c:v>
                </c:pt>
                <c:pt idx="78">
                  <c:v>94.205942593226496</c:v>
                </c:pt>
                <c:pt idx="79">
                  <c:v>93.668080464638578</c:v>
                </c:pt>
                <c:pt idx="80">
                  <c:v>93.820097592675296</c:v>
                </c:pt>
                <c:pt idx="81">
                  <c:v>93.855490893477722</c:v>
                </c:pt>
                <c:pt idx="82">
                  <c:v>93.877539179223547</c:v>
                </c:pt>
                <c:pt idx="83">
                  <c:v>94.295876390347502</c:v>
                </c:pt>
                <c:pt idx="84">
                  <c:v>94.380008007008996</c:v>
                </c:pt>
                <c:pt idx="85">
                  <c:v>94.344614706206599</c:v>
                </c:pt>
                <c:pt idx="86">
                  <c:v>94.342874052068723</c:v>
                </c:pt>
                <c:pt idx="87">
                  <c:v>94.327208164828349</c:v>
                </c:pt>
                <c:pt idx="88">
                  <c:v>94.433968285281594</c:v>
                </c:pt>
                <c:pt idx="89">
                  <c:v>93.950066434966246</c:v>
                </c:pt>
                <c:pt idx="90">
                  <c:v>93.922215968761066</c:v>
                </c:pt>
                <c:pt idx="91">
                  <c:v>93.979657555309302</c:v>
                </c:pt>
                <c:pt idx="92">
                  <c:v>94.169388856332176</c:v>
                </c:pt>
                <c:pt idx="93">
                  <c:v>94.064369390016765</c:v>
                </c:pt>
                <c:pt idx="94">
                  <c:v>93.7818032016432</c:v>
                </c:pt>
                <c:pt idx="95">
                  <c:v>92.993286877208462</c:v>
                </c:pt>
                <c:pt idx="96">
                  <c:v>92.380576620694043</c:v>
                </c:pt>
                <c:pt idx="97">
                  <c:v>92.59467707964653</c:v>
                </c:pt>
                <c:pt idx="98">
                  <c:v>92.127021334617538</c:v>
                </c:pt>
                <c:pt idx="99">
                  <c:v>92.330677868743052</c:v>
                </c:pt>
                <c:pt idx="100">
                  <c:v>92.254089086678775</c:v>
                </c:pt>
                <c:pt idx="101">
                  <c:v>92.556382688614349</c:v>
                </c:pt>
                <c:pt idx="102">
                  <c:v>92.790790779174813</c:v>
                </c:pt>
                <c:pt idx="103">
                  <c:v>92.696215237686289</c:v>
                </c:pt>
                <c:pt idx="104">
                  <c:v>92.450783004252983</c:v>
                </c:pt>
                <c:pt idx="105">
                  <c:v>92.572048575854751</c:v>
                </c:pt>
                <c:pt idx="106">
                  <c:v>93.064653696859295</c:v>
                </c:pt>
                <c:pt idx="107">
                  <c:v>92.994447313300313</c:v>
                </c:pt>
                <c:pt idx="108">
                  <c:v>92.653279102286575</c:v>
                </c:pt>
                <c:pt idx="109">
                  <c:v>92.361429425178002</c:v>
                </c:pt>
                <c:pt idx="110">
                  <c:v>92.460066492988062</c:v>
                </c:pt>
                <c:pt idx="111">
                  <c:v>92.381156838739955</c:v>
                </c:pt>
                <c:pt idx="112">
                  <c:v>91.9546965749729</c:v>
                </c:pt>
                <c:pt idx="113">
                  <c:v>91.719128048320584</c:v>
                </c:pt>
                <c:pt idx="114">
                  <c:v>91.704622597172062</c:v>
                </c:pt>
                <c:pt idx="115">
                  <c:v>91.969782244167362</c:v>
                </c:pt>
                <c:pt idx="116">
                  <c:v>91.575814190972949</c:v>
                </c:pt>
                <c:pt idx="117">
                  <c:v>91.523594566838213</c:v>
                </c:pt>
                <c:pt idx="118">
                  <c:v>91.743497206250112</c:v>
                </c:pt>
                <c:pt idx="119">
                  <c:v>92.066098439793649</c:v>
                </c:pt>
                <c:pt idx="120">
                  <c:v>92.169377251971255</c:v>
                </c:pt>
                <c:pt idx="121">
                  <c:v>91.9198834922164</c:v>
                </c:pt>
                <c:pt idx="122">
                  <c:v>92.044050154047895</c:v>
                </c:pt>
                <c:pt idx="123">
                  <c:v>92.281939552883941</c:v>
                </c:pt>
                <c:pt idx="124">
                  <c:v>92.442659951609826</c:v>
                </c:pt>
                <c:pt idx="125">
                  <c:v>92.786729252853206</c:v>
                </c:pt>
                <c:pt idx="126">
                  <c:v>92.851133455952763</c:v>
                </c:pt>
                <c:pt idx="127">
                  <c:v>92.5146069893066</c:v>
                </c:pt>
                <c:pt idx="128">
                  <c:v>92.698536109870076</c:v>
                </c:pt>
                <c:pt idx="129">
                  <c:v>92.967757283187026</c:v>
                </c:pt>
                <c:pt idx="130">
                  <c:v>93.004311020081346</c:v>
                </c:pt>
                <c:pt idx="131">
                  <c:v>92.899291553765877</c:v>
                </c:pt>
                <c:pt idx="132">
                  <c:v>92.758298568602086</c:v>
                </c:pt>
                <c:pt idx="133">
                  <c:v>92.866219125147254</c:v>
                </c:pt>
                <c:pt idx="134">
                  <c:v>92.198968372314283</c:v>
                </c:pt>
                <c:pt idx="135">
                  <c:v>92.265113229551673</c:v>
                </c:pt>
                <c:pt idx="136">
                  <c:v>92.157772891052389</c:v>
                </c:pt>
                <c:pt idx="137">
                  <c:v>92.109614793239302</c:v>
                </c:pt>
                <c:pt idx="138">
                  <c:v>92.191425537717095</c:v>
                </c:pt>
                <c:pt idx="139">
                  <c:v>92.043469936001941</c:v>
                </c:pt>
                <c:pt idx="140">
                  <c:v>92.438018207242294</c:v>
                </c:pt>
                <c:pt idx="141">
                  <c:v>92.56102443298191</c:v>
                </c:pt>
                <c:pt idx="142">
                  <c:v>92.866799343193179</c:v>
                </c:pt>
                <c:pt idx="143">
                  <c:v>92.898711335719923</c:v>
                </c:pt>
                <c:pt idx="144">
                  <c:v>92.546518981833401</c:v>
                </c:pt>
                <c:pt idx="145">
                  <c:v>92.605701222519357</c:v>
                </c:pt>
                <c:pt idx="146">
                  <c:v>92.75365682423454</c:v>
                </c:pt>
                <c:pt idx="147">
                  <c:v>92.42119188390997</c:v>
                </c:pt>
                <c:pt idx="148">
                  <c:v>92.491978485514863</c:v>
                </c:pt>
                <c:pt idx="149">
                  <c:v>92.361429425178002</c:v>
                </c:pt>
                <c:pt idx="150">
                  <c:v>92.256409958862534</c:v>
                </c:pt>
                <c:pt idx="151">
                  <c:v>92.291803259665002</c:v>
                </c:pt>
                <c:pt idx="152">
                  <c:v>92.128761988755343</c:v>
                </c:pt>
                <c:pt idx="153">
                  <c:v>91.9546965749729</c:v>
                </c:pt>
                <c:pt idx="154">
                  <c:v>92.32951743265113</c:v>
                </c:pt>
                <c:pt idx="155">
                  <c:v>93.068135005134906</c:v>
                </c:pt>
                <c:pt idx="156">
                  <c:v>92.941647471119666</c:v>
                </c:pt>
                <c:pt idx="157">
                  <c:v>92.912056350776609</c:v>
                </c:pt>
                <c:pt idx="158">
                  <c:v>93.035642794562179</c:v>
                </c:pt>
                <c:pt idx="159">
                  <c:v>93.077998711915939</c:v>
                </c:pt>
                <c:pt idx="160">
                  <c:v>92.621367109759788</c:v>
                </c:pt>
                <c:pt idx="161">
                  <c:v>92.302247184491875</c:v>
                </c:pt>
                <c:pt idx="162">
                  <c:v>92.238423199438344</c:v>
                </c:pt>
                <c:pt idx="163">
                  <c:v>92.445561041839525</c:v>
                </c:pt>
                <c:pt idx="164">
                  <c:v>92.764100749061498</c:v>
                </c:pt>
                <c:pt idx="165">
                  <c:v>92.988645132840901</c:v>
                </c:pt>
                <c:pt idx="166">
                  <c:v>93.100046997661664</c:v>
                </c:pt>
                <c:pt idx="167">
                  <c:v>93.065814132951104</c:v>
                </c:pt>
                <c:pt idx="168">
                  <c:v>93.053049335940443</c:v>
                </c:pt>
                <c:pt idx="169">
                  <c:v>93.214349952712226</c:v>
                </c:pt>
                <c:pt idx="170">
                  <c:v>93.046666937435106</c:v>
                </c:pt>
                <c:pt idx="171">
                  <c:v>92.970078155370757</c:v>
                </c:pt>
                <c:pt idx="172">
                  <c:v>92.866799343193179</c:v>
                </c:pt>
                <c:pt idx="173">
                  <c:v>92.876663049974198</c:v>
                </c:pt>
                <c:pt idx="174">
                  <c:v>93.505039193728962</c:v>
                </c:pt>
                <c:pt idx="175">
                  <c:v>93.297901351327823</c:v>
                </c:pt>
                <c:pt idx="176">
                  <c:v>93.852589803248051</c:v>
                </c:pt>
                <c:pt idx="177">
                  <c:v>94.07191222461401</c:v>
                </c:pt>
                <c:pt idx="178">
                  <c:v>93.6692409007305</c:v>
                </c:pt>
                <c:pt idx="179">
                  <c:v>93.202165373747462</c:v>
                </c:pt>
                <c:pt idx="180">
                  <c:v>93.508520502004615</c:v>
                </c:pt>
                <c:pt idx="181">
                  <c:v>92.870860869514729</c:v>
                </c:pt>
                <c:pt idx="182">
                  <c:v>92.906834388363166</c:v>
                </c:pt>
                <c:pt idx="183">
                  <c:v>93.26076739638755</c:v>
                </c:pt>
                <c:pt idx="184">
                  <c:v>93.311826584430435</c:v>
                </c:pt>
                <c:pt idx="185">
                  <c:v>92.9004519898578</c:v>
                </c:pt>
                <c:pt idx="186">
                  <c:v>92.961374884681646</c:v>
                </c:pt>
                <c:pt idx="187">
                  <c:v>93.142402915015452</c:v>
                </c:pt>
                <c:pt idx="188">
                  <c:v>93.421487795113407</c:v>
                </c:pt>
                <c:pt idx="189">
                  <c:v>93.365206644657107</c:v>
                </c:pt>
                <c:pt idx="190">
                  <c:v>93.272951975352342</c:v>
                </c:pt>
                <c:pt idx="191">
                  <c:v>93.201585155701508</c:v>
                </c:pt>
                <c:pt idx="192">
                  <c:v>93.209708208344679</c:v>
                </c:pt>
                <c:pt idx="193">
                  <c:v>93.188240140644822</c:v>
                </c:pt>
                <c:pt idx="194">
                  <c:v>93.340257268681569</c:v>
                </c:pt>
                <c:pt idx="195">
                  <c:v>93.628625637514574</c:v>
                </c:pt>
                <c:pt idx="196">
                  <c:v>93.694190276705982</c:v>
                </c:pt>
                <c:pt idx="197">
                  <c:v>93.702893547395121</c:v>
                </c:pt>
                <c:pt idx="198">
                  <c:v>93.806752577618624</c:v>
                </c:pt>
                <c:pt idx="199">
                  <c:v>93.720880306819254</c:v>
                </c:pt>
                <c:pt idx="200">
                  <c:v>94.251199600809997</c:v>
                </c:pt>
                <c:pt idx="201">
                  <c:v>94.633563293085544</c:v>
                </c:pt>
                <c:pt idx="202">
                  <c:v>94.380008007008996</c:v>
                </c:pt>
                <c:pt idx="203">
                  <c:v>94.616736969753205</c:v>
                </c:pt>
                <c:pt idx="204">
                  <c:v>94.997940225936901</c:v>
                </c:pt>
                <c:pt idx="205">
                  <c:v>95.082071842598381</c:v>
                </c:pt>
                <c:pt idx="206">
                  <c:v>94.951522782261577</c:v>
                </c:pt>
                <c:pt idx="207">
                  <c:v>95.007803932717906</c:v>
                </c:pt>
                <c:pt idx="208">
                  <c:v>95.034493962831235</c:v>
                </c:pt>
                <c:pt idx="209">
                  <c:v>94.814591323419307</c:v>
                </c:pt>
                <c:pt idx="210">
                  <c:v>94.930054714561706</c:v>
                </c:pt>
                <c:pt idx="211">
                  <c:v>94.660253323198873</c:v>
                </c:pt>
                <c:pt idx="212">
                  <c:v>94.438029811603201</c:v>
                </c:pt>
                <c:pt idx="213">
                  <c:v>94.624279804350479</c:v>
                </c:pt>
                <c:pt idx="214">
                  <c:v>94.791962819627614</c:v>
                </c:pt>
                <c:pt idx="215">
                  <c:v>95.08787402305785</c:v>
                </c:pt>
                <c:pt idx="216">
                  <c:v>95.219003301440694</c:v>
                </c:pt>
                <c:pt idx="217">
                  <c:v>95.397710459590712</c:v>
                </c:pt>
                <c:pt idx="218">
                  <c:v>95.555529768086856</c:v>
                </c:pt>
                <c:pt idx="219">
                  <c:v>96.103835821501676</c:v>
                </c:pt>
                <c:pt idx="220">
                  <c:v>95.808504836117379</c:v>
                </c:pt>
                <c:pt idx="221">
                  <c:v>95.717410602904593</c:v>
                </c:pt>
                <c:pt idx="222">
                  <c:v>95.712188640491078</c:v>
                </c:pt>
                <c:pt idx="223">
                  <c:v>95.622835061416055</c:v>
                </c:pt>
                <c:pt idx="224">
                  <c:v>95.451670737863282</c:v>
                </c:pt>
                <c:pt idx="225">
                  <c:v>95.448769647633597</c:v>
                </c:pt>
                <c:pt idx="226">
                  <c:v>95.081491624552513</c:v>
                </c:pt>
                <c:pt idx="227">
                  <c:v>95.223064827762286</c:v>
                </c:pt>
                <c:pt idx="228">
                  <c:v>95.19927588787867</c:v>
                </c:pt>
                <c:pt idx="229">
                  <c:v>94.82503524824628</c:v>
                </c:pt>
                <c:pt idx="230">
                  <c:v>94.9016240303106</c:v>
                </c:pt>
                <c:pt idx="231">
                  <c:v>95.031012654555582</c:v>
                </c:pt>
                <c:pt idx="232">
                  <c:v>95.120946451676517</c:v>
                </c:pt>
                <c:pt idx="233">
                  <c:v>95.510852978549309</c:v>
                </c:pt>
                <c:pt idx="234">
                  <c:v>95.439486158898504</c:v>
                </c:pt>
                <c:pt idx="235">
                  <c:v>95.491705783033296</c:v>
                </c:pt>
                <c:pt idx="236">
                  <c:v>95.812566362438972</c:v>
                </c:pt>
                <c:pt idx="237">
                  <c:v>95.708127114169471</c:v>
                </c:pt>
                <c:pt idx="238">
                  <c:v>95.772531317268985</c:v>
                </c:pt>
                <c:pt idx="239">
                  <c:v>95.61993397118637</c:v>
                </c:pt>
              </c:numCache>
            </c:numRef>
          </c:val>
          <c:smooth val="0"/>
        </c:ser>
        <c:dLbls>
          <c:showLegendKey val="0"/>
          <c:showVal val="0"/>
          <c:showCatName val="0"/>
          <c:showSerName val="0"/>
          <c:showPercent val="0"/>
          <c:showBubbleSize val="0"/>
        </c:dLbls>
        <c:smooth val="0"/>
        <c:axId val="497656512"/>
        <c:axId val="500393424"/>
      </c:lineChart>
      <c:dateAx>
        <c:axId val="497656512"/>
        <c:scaling>
          <c:orientation val="minMax"/>
        </c:scaling>
        <c:delete val="0"/>
        <c:axPos val="b"/>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500393424"/>
        <c:crosses val="autoZero"/>
        <c:auto val="1"/>
        <c:lblOffset val="100"/>
        <c:baseTimeUnit val="days"/>
        <c:majorUnit val="1"/>
        <c:majorTimeUnit val="months"/>
      </c:dateAx>
      <c:valAx>
        <c:axId val="500393424"/>
        <c:scaling>
          <c:orientation val="minMax"/>
          <c:min val="9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97656512"/>
        <c:crosses val="autoZero"/>
        <c:crossBetween val="between"/>
      </c:valAx>
      <c:spPr>
        <a:noFill/>
        <a:ln>
          <a:noFill/>
        </a:ln>
        <a:effectLst/>
      </c:spPr>
    </c:plotArea>
    <c:legend>
      <c:legendPos val="b"/>
      <c:layout>
        <c:manualLayout>
          <c:xMode val="edge"/>
          <c:yMode val="edge"/>
          <c:x val="0.46242981968192998"/>
          <c:y val="0.36220170754517755"/>
          <c:w val="0.38987807567805999"/>
          <c:h val="0.18183632218386492"/>
        </c:manualLayout>
      </c:layout>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latin typeface="Garamond" panose="02020404030301010803"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3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9010E3-74F8-45FB-8A21-CD74DD794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18731</Words>
  <Characters>106772</Characters>
  <Application>Microsoft Office Word</Application>
  <DocSecurity>0</DocSecurity>
  <Lines>889</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Vanessa Quadri</cp:lastModifiedBy>
  <cp:revision>2</cp:revision>
  <cp:lastPrinted>2019-02-15T09:34:00Z</cp:lastPrinted>
  <dcterms:created xsi:type="dcterms:W3CDTF">2019-03-26T06:58:00Z</dcterms:created>
  <dcterms:modified xsi:type="dcterms:W3CDTF">2019-03-26T06:58:00Z</dcterms:modified>
</cp:coreProperties>
</file>